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0"/>
        <w:gridCol w:w="1190"/>
        <w:tblGridChange w:id="0">
          <w:tblGrid>
            <w:gridCol w:w="7650"/>
            <w:gridCol w:w="119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Compute Platform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Cloud‐based Application Platform (Azure Web App)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Cloud Native Application Platform (Azure Logic App, Azure Functions)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Creation or Migration to cloud based RDBMS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Infrastructure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Geographical redundancy (must demonstrate the failure case during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demo)  Web App + 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Container dynamic auto scaling (auto scaling of containers based on the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application load without needing to scale the number of VM)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2) 0 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API and other 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Proper use of Analytics API/Services (App Insights)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Proper use of Common services (App Alert, DB Alert, notification, SendGrid email, SendGrid sms)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Real‐time/Stream analytics (</w:t>
            </w:r>
            <w:r w:rsidDel="00000000" w:rsidR="00000000" w:rsidRPr="00000000">
              <w:rPr>
                <w:rtl w:val="0"/>
              </w:rPr>
              <w:t xml:space="preserve">App Insights</w:t>
            </w:r>
            <w:r w:rsidDel="00000000" w:rsidR="00000000" w:rsidRPr="00000000">
              <w:rPr>
                <w:rtl w:val="0"/>
              </w:rPr>
              <w:t xml:space="preserve"> Live Steam)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Social Collaboration Framework (VSST)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Security and tenant credential management (Azure AD)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?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Report Builder Services (Power BI)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?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Innovation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Uniquely cloud (impossible or very hard to do using traditional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technology on‐premise). Cloud innovation relates to using cloud to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renew or improve, and novelty is a consequence of the improvement.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Using cloud for access ubiquity and remote storage has other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advantages. For instance, if you were to lose your mobile phone or your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laptop, your applications and data would remain accessible, and all you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would require is an ability to access the cloud environment. (Blob storage read only geography redundancy)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Others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Migration of existing application to cloud with significant modification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(Revamp from local file system to blob storage, integration with RedisCache, Auto switching when failing over to secondary geographical data center)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