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80" w:after="200" w:line="680" w:lineRule="exact"/>
        <w:ind w:firstLine="0"/>
        <w:jc w:val="center"/>
      </w:pPr>
      <w:r>
        <w:rPr>
          <w:rFonts w:ascii="Times New Roman" w:hAnsi="Times New Roman" w:eastAsia="楷体" w:cs="Times New Roman"/>
          <w:b w:val="0"/>
          <w:sz w:val="52"/>
        </w:rPr>
        <w:t>北京信息科技大学</w:t>
      </w:r>
    </w:p>
    <w:p>
      <w:pPr>
        <w:spacing w:before="0" w:after="0" w:line="440" w:lineRule="exact"/>
        <w:ind w:firstLine="0"/>
        <w:jc w:val="center"/>
      </w:pPr>
    </w:p>
    <w:p>
      <w:pPr>
        <w:spacing w:before="80" w:after="240" w:line="960" w:lineRule="exact"/>
        <w:ind w:firstLine="0"/>
        <w:jc w:val="center"/>
      </w:pPr>
      <w:r>
        <w:rPr>
          <w:rFonts w:ascii="Times New Roman" w:hAnsi="Times New Roman" w:eastAsia="楷体" w:cs="Times New Roman"/>
          <w:b/>
          <w:sz w:val="84"/>
        </w:rPr>
        <w:t>毕业设计（论文）</w:t>
      </w: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p>
      <w:pPr>
        <w:spacing w:before="0" w:after="0" w:line="440" w:lineRule="exact"/>
        <w:ind w:firstLine="0"/>
        <w:jc w:val="center"/>
      </w:pPr>
    </w:p>
    <w:tbl>
      <w:tblPr>
        <w:tblW w:type="auto" w:w="0"/>
        <w:tblLayout w:type="autofit"/>
        <w:tblLook w:firstColumn="1" w:firstRow="1" w:lastColumn="0" w:lastRow="0" w:noHBand="0" w:noVBand="1" w:val="04A0"/>
        <w:jc w:val="center"/>
      </w:tblPr>
      <w:tblGrid>
        <w:gridCol w:w="2268"/>
        <w:gridCol w:w="2268"/>
        <w:gridCol w:w="2268"/>
        <w:gridCol w:w="2268"/>
      </w:tblGrid>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题    目：</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基于 LangGraph 的多 Agent 协作框架在医疗审计</w:t>
            </w:r>
          </w:p>
          <w:p>
            <w:pPr>
              <w:spacing w:before="0" w:after="0" w:line="440" w:lineRule="exact"/>
              <w:ind w:firstLine="0"/>
              <w:jc w:val="center"/>
            </w:pPr>
            <w:r>
              <w:rPr>
                <w:rFonts w:ascii="Times New Roman" w:hAnsi="Times New Roman" w:eastAsia="宋体" w:cs="Times New Roman"/>
                <w:b w:val="0"/>
                <w:sz w:val="28"/>
                <w:u w:val="single"/>
              </w:rPr>
              <w:t>场景的设计与实现</w:t>
            </w:r>
          </w:p>
        </w:tc>
      </w:tr>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学    院：</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计算机学院</w:t>
            </w:r>
          </w:p>
        </w:tc>
      </w:tr>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专    业：</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计算机科学与技术</w:t>
            </w:r>
          </w:p>
        </w:tc>
      </w:tr>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学生姓名：</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程浩然</w:t>
            </w:r>
          </w:p>
        </w:tc>
      </w:tr>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班级/学号：</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计科2401-本/2024070013</w:t>
            </w:r>
          </w:p>
        </w:tc>
      </w:tr>
      <w:tr>
        <w:tc>
          <w:tcPr>
            <w:tcW w:type="dxa" w:w="2948"/>
            <w:gridSpan w:val="2"/>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指导老师/督导老师：</w:t>
            </w:r>
          </w:p>
        </w:tc>
        <w:tc>
          <w:tcPr>
            <w:tcW w:type="dxa" w:w="5670"/>
            <w:gridSpan w:val="2"/>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乔文豹</w:t>
            </w:r>
          </w:p>
        </w:tc>
      </w:tr>
      <w:tr>
        <w:tc>
          <w:tcPr>
            <w:tcW w:type="dxa" w:w="1701"/>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sz w:val="28"/>
                <w:u w:val="none"/>
              </w:rPr>
              <w:t>起止时间：</w:t>
            </w:r>
          </w:p>
        </w:tc>
        <w:tc>
          <w:tcPr>
            <w:tcW w:type="dxa" w:w="6917"/>
            <w:gridSpan w:val="3"/>
            <w:vAlign w:val="center"/>
            <w:tcMar>
              <w:top w:w="60" w:type="dxa"/>
              <w:left w:w="40" w:type="dxa"/>
              <w:bottom w:w="60" w:type="dxa"/>
              <w:right w:w="40" w:type="dxa"/>
              <w:start w:w="80" w:type="dxa"/>
              <w:end w:w="80" w:type="dxa"/>
            </w:tcMar>
          </w:tcPr>
          <w:p>
            <w:pPr>
              <w:spacing w:before="0" w:after="0" w:line="440" w:lineRule="exact"/>
              <w:ind w:firstLine="0"/>
              <w:jc w:val="center"/>
            </w:pPr>
            <w:r>
              <w:rPr>
                <w:rFonts w:ascii="Times New Roman" w:hAnsi="Times New Roman" w:eastAsia="宋体" w:cs="Times New Roman"/>
                <w:b w:val="0"/>
                <w:sz w:val="28"/>
                <w:u w:val="single"/>
              </w:rPr>
              <w:t>2026年2月23日至2026年5月22日</w:t>
            </w:r>
          </w:p>
        </w:tc>
      </w:tr>
    </w:tbl>
    <w:p>
      <w:pPr>
        <w:spacing w:before="0" w:after="0" w:line="440" w:lineRule="exact"/>
        <w:ind w:firstLine="0"/>
        <w:jc w:val="center"/>
        <w:sectPr>
          <w:headerReference w:type="default" r:id="rId9"/>
          <w:footerReference w:type="default" r:id="rId10"/>
          <w:pgSz w:w="11906" w:h="16838"/>
          <w:pgMar w:top="1134" w:right="1134" w:bottom="1134" w:left="1701" w:header="850" w:footer="992" w:gutter="0"/>
          <w:cols w:space="720"/>
          <w:docGrid w:linePitch="360"/>
        </w:sectPr>
      </w:pPr>
    </w:p>
    <w:p>
      <w:pPr>
        <w:pStyle w:val="Heading1"/>
        <w:keepNext/>
        <w:pageBreakBefore w:val="0"/>
        <w:spacing w:before="0" w:after="240" w:line="480" w:lineRule="exact"/>
        <w:ind w:firstLine="0"/>
        <w:jc w:val="center"/>
      </w:pPr>
      <w:r>
        <w:rPr>
          <w:rFonts w:ascii="Times New Roman" w:hAnsi="Times New Roman" w:eastAsia="宋体" w:cs="Times New Roman"/>
          <w:b/>
          <w:color w:val="000000"/>
          <w:sz w:val="32"/>
        </w:rPr>
        <w:t>摘    要</w:t>
      </w:r>
    </w:p>
    <w:p>
      <w:pPr>
        <w:spacing w:before="0" w:after="0" w:line="360" w:lineRule="exact"/>
        <w:ind w:firstLine="0"/>
        <w:jc w:val="both"/>
      </w:pPr>
      <w:r>
        <w:rPr>
          <w:rFonts w:ascii="Times New Roman" w:hAnsi="Times New Roman" w:eastAsia="宋体" w:cs="Times New Roman"/>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120" w:after="0" w:line="360" w:lineRule="exact"/>
        <w:ind w:firstLine="0"/>
        <w:jc w:val="left"/>
      </w:pPr>
      <w:r>
        <w:rPr>
          <w:rFonts w:ascii="Times New Roman" w:hAnsi="Times New Roman" w:eastAsia="宋体" w:cs="Times New Roman"/>
          <w:b/>
          <w:sz w:val="21"/>
        </w:rPr>
        <w:t>关键词：</w:t>
      </w:r>
      <w:r>
        <w:rPr>
          <w:rFonts w:ascii="Times New Roman" w:hAnsi="Times New Roman" w:eastAsia="宋体" w:cs="Times New Roman"/>
          <w:b w:val="0"/>
          <w:sz w:val="21"/>
        </w:rPr>
        <w:t>LangGraph；多 Agent；医疗审计；OCR；结构化入库；证据追溯；FastAPI</w:t>
      </w:r>
    </w:p>
    <w:p>
      <w:pPr>
        <w:spacing w:before="0" w:after="0" w:line="360" w:lineRule="exact"/>
        <w:ind w:firstLine="0"/>
        <w:jc w:val="both"/>
        <w:sectPr>
          <w:headerReference w:type="default" r:id="rId11"/>
          <w:footerReference w:type="default" r:id="rId12"/>
          <w:pgSz w:w="11906" w:h="16838"/>
          <w:pgMar w:top="1134" w:right="1134" w:bottom="1134" w:left="1701" w:header="850" w:footer="992" w:gutter="0"/>
          <w:cols w:space="720"/>
          <w:docGrid w:linePitch="360"/>
          <w:pgNumType w:start="1" w:fmt="upperRoman"/>
        </w:sectPr>
      </w:pPr>
    </w:p>
    <w:p>
      <w:pPr>
        <w:pStyle w:val="Heading1"/>
        <w:keepNext/>
        <w:pageBreakBefore/>
        <w:spacing w:before="0" w:after="240" w:line="440" w:lineRule="exact"/>
        <w:ind w:firstLine="0"/>
        <w:jc w:val="center"/>
      </w:pPr>
      <w:r>
        <w:rPr>
          <w:rFonts w:ascii="Times New Roman" w:hAnsi="Times New Roman" w:eastAsia="Times New Roman" w:cs="Times New Roman"/>
          <w:b/>
          <w:color w:val="000000"/>
          <w:sz w:val="32"/>
        </w:rPr>
        <w:t>Abstract</w:t>
      </w:r>
    </w:p>
    <w:p>
      <w:pPr>
        <w:spacing w:before="0" w:after="0" w:line="360" w:lineRule="exact"/>
        <w:ind w:firstLine="0"/>
        <w:jc w:val="both"/>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120" w:after="0" w:line="360" w:lineRule="exact"/>
        <w:ind w:firstLine="0"/>
        <w:jc w:val="left"/>
      </w:pPr>
      <w:r>
        <w:rPr>
          <w:rFonts w:ascii="Times New Roman" w:hAnsi="Times New Roman" w:eastAsia="Times New Roman" w:cs="Times New Roman"/>
          <w:b/>
          <w:sz w:val="24"/>
        </w:rPr>
        <w:t>Keywords: LangGraph; multi-agent; medical audit; OCR; normalization; evidence traceability; FastAPI</w:t>
      </w:r>
    </w:p>
    <w:p>
      <w:pPr>
        <w:spacing w:before="0" w:after="0" w:line="360" w:lineRule="exact"/>
        <w:ind w:firstLine="0"/>
        <w:jc w:val="both"/>
        <w:sectPr>
          <w:headerReference w:type="default" r:id="rId13"/>
          <w:footerReference w:type="default" r:id="rId14"/>
          <w:pgSz w:w="11906" w:h="16838"/>
          <w:pgMar w:top="1134" w:right="1134" w:bottom="1134" w:left="1701" w:header="850" w:footer="992" w:gutter="0"/>
          <w:cols w:space="720"/>
          <w:docGrid w:linePitch="360"/>
          <w:pgNumType w:start="2" w:fmt="upperRoman"/>
        </w:sectPr>
      </w:pPr>
    </w:p>
    <w:p>
      <w:pPr>
        <w:pStyle w:val="Heading1"/>
        <w:keepNext/>
        <w:pageBreakBefore/>
        <w:spacing w:before="0" w:after="240" w:line="440" w:lineRule="exact"/>
        <w:ind w:firstLine="0"/>
        <w:jc w:val="center"/>
      </w:pPr>
      <w:r>
        <w:rPr>
          <w:rFonts w:ascii="Times New Roman" w:hAnsi="Times New Roman" w:eastAsia="黑体" w:cs="Times New Roman"/>
          <w:b/>
          <w:color w:val="000000"/>
          <w:sz w:val="32"/>
        </w:rPr>
        <w:t>目    录</w:t>
      </w:r>
    </w:p>
    <w:tbl>
      <w:tblPr>
        <w:tblW w:type="auto" w:w="0"/>
        <w:tblLayout w:type="autofit"/>
        <w:tblLook w:firstColumn="1" w:firstRow="1" w:lastColumn="0" w:lastRow="0" w:noHBand="0" w:noVBand="1" w:val="04A0"/>
        <w:jc w:val="center"/>
      </w:tblPr>
      <w:tblGrid>
        <w:gridCol w:w="4394"/>
        <w:gridCol w:w="4394"/>
      </w:tblGrid>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摘要（中文）</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I</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（英文）</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II</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第一章 绪论</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1</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1.1 实现背景和意义</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1.2 国内外实现现状</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1.3 本文主要工作</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3</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第二章 相关技术与系统基础</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5</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2.1 医疗资料标准化与电子病历文本挖掘</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6</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2.2 医疗大模型、知识增强与 RAG 方法</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7</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2.3 Agent 工作流与状态机编排</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8</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2.4 Provider 抽象与外部能力接入</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9</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2.5 本项目已有实现基础</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10</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第三章 需求分析与总体设计</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13</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3.1 需求分析</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13</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3.2 系统总体架构</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14</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3.3 业务流程设计</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14</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3.4 后端分层与接口设计</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15</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3.5 数据库设计</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18</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3.6 安全与可追溯设计</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19</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第四章 系统详细实现</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22</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4.1 文件上传与 OCR 处理实现</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22</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4.2 标准化与版本化入库实现</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23</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4.3 综合审计报告 LangGraph 实现</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23</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4.4 审计事件与节点状态持久化</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26</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4.5 前端模块实现</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26</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第五章 测试与运行效果分析</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30</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5.1 Mock 体检数据构造</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30</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5.2 接口与端到端测试</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31</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5.3 真实演示运行截图</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34</w:t>
            </w:r>
          </w:p>
        </w:tc>
      </w:tr>
      <w:tr>
        <w:trPr>
          <w:trHeight w:hRule="auto"/>
        </w:trPr>
        <w:tc>
          <w:tcPr>
            <w:tcW w:type="dxa" w:w="8051"/>
            <w:vAlign w:val="center"/>
            <w:tcMar>
              <w:top w:w="0" w:type="dxa"/>
              <w:start w:w="80" w:type="dxa"/>
              <w:bottom w:w="0" w:type="dxa"/>
              <w:end w:w="80" w:type="dxa"/>
            </w:tcMar>
          </w:tcPr>
          <w:p>
            <w:pPr>
              <w:spacing w:before="0" w:after="0" w:line="300" w:lineRule="exact"/>
              <w:ind w:left="369" w:firstLine="0"/>
              <w:jc w:val="left"/>
            </w:pPr>
            <w:r>
              <w:rPr>
                <w:rFonts w:eastAsia="宋体" w:ascii="Times New Roman" w:hAnsi="Times New Roman" w:cs="Times New Roman"/>
                <w:b w:val="0"/>
                <w:sz w:val="21"/>
              </w:rPr>
              <w:t>5.4 运行效果与不足分析</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val="0"/>
                <w:sz w:val="21"/>
              </w:rPr>
              <w:t>37</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结束语</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39</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参考文献</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40</w:t>
            </w:r>
          </w:p>
        </w:tc>
      </w:tr>
      <w:tr>
        <w:trPr>
          <w:trHeight w:hRule="auto"/>
        </w:trPr>
        <w:tc>
          <w:tcPr>
            <w:tcW w:type="dxa" w:w="8051"/>
            <w:vAlign w:val="center"/>
            <w:tcMar>
              <w:top w:w="0" w:type="dxa"/>
              <w:start w:w="80" w:type="dxa"/>
              <w:bottom w:w="0" w:type="dxa"/>
              <w:end w:w="80" w:type="dxa"/>
            </w:tcMar>
          </w:tcPr>
          <w:p>
            <w:pPr>
              <w:spacing w:before="0" w:after="0" w:line="300" w:lineRule="exact"/>
              <w:ind w:left="0" w:firstLine="0"/>
              <w:jc w:val="left"/>
            </w:pPr>
            <w:r>
              <w:rPr>
                <w:rFonts w:eastAsia="宋体" w:ascii="Times New Roman" w:hAnsi="Times New Roman" w:cs="Times New Roman"/>
                <w:b/>
                <w:sz w:val="21"/>
              </w:rPr>
              <w:t>致谢</w:t>
            </w:r>
          </w:p>
        </w:tc>
        <w:tc>
          <w:tcPr>
            <w:tcW w:type="dxa" w:w="680"/>
            <w:vAlign w:val="center"/>
            <w:tcMar>
              <w:top w:w="0" w:type="dxa"/>
              <w:start w:w="80" w:type="dxa"/>
              <w:bottom w:w="0" w:type="dxa"/>
              <w:end w:w="80" w:type="dxa"/>
            </w:tcMar>
          </w:tcPr>
          <w:p>
            <w:pPr>
              <w:spacing w:before="0" w:after="0" w:line="300" w:lineRule="exact"/>
              <w:ind w:left="0" w:firstLine="0"/>
              <w:jc w:val="right"/>
            </w:pPr>
            <w:r>
              <w:rPr>
                <w:rFonts w:eastAsia="宋体" w:ascii="Times New Roman" w:hAnsi="Times New Roman" w:cs="Times New Roman"/>
                <w:b/>
                <w:sz w:val="21"/>
              </w:rPr>
              <w:t>42</w:t>
            </w:r>
          </w:p>
        </w:tc>
      </w:tr>
    </w:tbl>
    <w:p>
      <w:pPr>
        <w:spacing w:before="0" w:after="0" w:line="360" w:lineRule="exact"/>
        <w:ind w:firstLine="0"/>
        <w:jc w:val="left"/>
        <w:sectPr>
          <w:headerReference w:type="default" r:id="rId15"/>
          <w:footerReference w:type="default" r:id="rId16"/>
          <w:pgSz w:w="11906" w:h="16838"/>
          <w:pgMar w:top="1134" w:right="1134" w:bottom="1134" w:left="1701" w:header="850" w:footer="992" w:gutter="0"/>
          <w:cols w:space="720"/>
          <w:docGrid w:linePitch="360"/>
          <w:pgNumType w:start="3" w:fmt="upperRoman"/>
        </w:sectPr>
      </w:pPr>
    </w:p>
    <w:p>
      <w:pPr>
        <w:pStyle w:val="Heading1"/>
        <w:keepNext/>
        <w:pageBreakBefore w:val="0"/>
        <w:spacing w:before="0" w:after="200" w:line="480" w:lineRule="exact"/>
        <w:ind w:firstLine="0"/>
        <w:jc w:val="center"/>
      </w:pPr>
      <w:r>
        <w:rPr>
          <w:rFonts w:ascii="Times New Roman" w:hAnsi="Times New Roman" w:eastAsia="黑体" w:cs="Times New Roman"/>
          <w:b/>
          <w:color w:val="000000"/>
          <w:sz w:val="36"/>
        </w:rPr>
        <w:t>第一章 绪论</w:t>
      </w:r>
    </w:p>
    <w:p>
      <w:pPr>
        <w:spacing w:before="0" w:after="0" w:line="400" w:lineRule="exact"/>
        <w:ind w:firstLine="480"/>
        <w:jc w:val="both"/>
      </w:pPr>
      <w:r>
        <w:rPr>
          <w:rFonts w:ascii="Times New Roman" w:hAnsi="Times New Roman" w:eastAsia="宋体" w:cs="Times New Roman"/>
          <w:b w:val="0"/>
          <w:sz w:val="24"/>
        </w:rPr>
        <w:t>本章首先说明课题的实现背景和意义，随后概述国内外相关技术实现现状，最后说明本文围绕基于 LangGraph 的多 Agent 协作框架所完成的主要工程实现工作。</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1.1 实现背景和意义</w:t>
      </w:r>
    </w:p>
    <w:p>
      <w:pPr>
        <w:spacing w:before="0" w:after="0" w:line="400" w:lineRule="exact"/>
        <w:ind w:firstLine="480"/>
        <w:jc w:val="both"/>
      </w:pPr>
      <w:r>
        <w:rPr>
          <w:rFonts w:ascii="Times New Roman" w:hAnsi="Times New Roman" w:eastAsia="宋体" w:cs="Times New Roman"/>
          <w:b w:val="0"/>
          <w:sz w:val="24"/>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400" w:lineRule="exact"/>
        <w:ind w:firstLine="480"/>
        <w:jc w:val="both"/>
      </w:pPr>
      <w:r>
        <w:rPr>
          <w:rFonts w:ascii="Times New Roman" w:hAnsi="Times New Roman" w:eastAsia="宋体" w:cs="Times New Roman"/>
          <w:b w:val="0"/>
          <w:sz w:val="24"/>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ref_009 \h</w:instrText>
        <w:fldChar w:fldCharType="separate"/>
        <w:t>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ref_013 \h</w:instrText>
        <w:fldChar w:fldCharType="separate"/>
        <w:t>13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400" w:lineRule="exact"/>
        <w:ind w:firstLine="480"/>
        <w:jc w:val="both"/>
      </w:pPr>
      <w:r>
        <w:rPr>
          <w:rFonts w:ascii="Times New Roman" w:hAnsi="Times New Roman" w:eastAsia="宋体" w:cs="Times New Roman"/>
          <w:b w:val="0"/>
          <w:sz w:val="24"/>
        </w:rPr>
        <w:t>国家医院信息化建设和电子病历应用评价均强调数据标准化、质量控制、过程留痕和信息安全</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ref_001 \h</w:instrText>
        <w:fldChar w:fldCharType="separate"/>
        <w:t>1</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ref_002 \h</w:instrText>
        <w:fldChar w:fldCharType="separate"/>
        <w:t>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，个人信息安全规范也要求在个人敏感信息处理过程中落实最小必要、访问控制和可追溯措施</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ref_003 \h</w:instrText>
        <w:fldChar w:fldCharType="separate"/>
        <w:t>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400" w:lineRule="exact"/>
        <w:ind w:firstLine="480"/>
        <w:jc w:val="both"/>
      </w:pPr>
      <w:r>
        <w:rPr>
          <w:rFonts w:ascii="Times New Roman" w:hAnsi="Times New Roman" w:eastAsia="宋体" w:cs="Times New Roman"/>
          <w:b w:val="0"/>
          <w:sz w:val="24"/>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keepNext/>
        <w:spacing w:before="0" w:after="0" w:line="400" w:lineRule="exact"/>
        <w:ind w:firstLine="480"/>
        <w:jc w:val="both"/>
      </w:pPr>
      <w:r>
        <w:rPr>
          <w:rFonts w:ascii="Times New Roman" w:hAnsi="Times New Roman" w:eastAsia="宋体" w:cs="Times New Roman"/>
          <w:b w:val="0"/>
          <w:sz w:val="24"/>
        </w:rPr>
        <w:t>图1-1给出了本文系统面向的医疗审计场景与系统边界。图中将输入资料、处理流程、审计输出和非诊断性边界分开表示，强调系统输出是健康资料审计和风险提示，而不是临床诊断。</w:t>
      </w:r>
    </w:p>
    <w:p>
      <w:pPr>
        <w:keepNext/>
        <w:keepLines/>
        <w:pageBreakBefore/>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图1-1 医疗审计场景与系统边界</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1.2 国内外实现现状</w:t>
      </w:r>
    </w:p>
    <w:p>
      <w:pPr>
        <w:spacing w:before="0" w:after="0" w:line="400" w:lineRule="exact"/>
        <w:ind w:firstLine="480"/>
        <w:jc w:val="both"/>
      </w:pPr>
      <w:r>
        <w:rPr>
          <w:rFonts w:ascii="Times New Roman" w:hAnsi="Times New Roman" w:eastAsia="宋体" w:cs="Times New Roman"/>
          <w:b w:val="0"/>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ref_009 \h</w:instrText>
        <w:fldChar w:fldCharType="separate"/>
        <w:t>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ref_013 \h</w:instrText>
        <w:fldChar w:fldCharType="separate"/>
        <w:t>13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。同时，电子病历文本挖掘、中文电子病历命名实体识别和真实世界病历数据治理等研究，为本文将原始医疗资料转化为结构化字段提供了直接参考</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ref_004 \h</w:instrText>
        <w:fldChar w:fldCharType="separate"/>
        <w:t>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ref_008 \h</w:instrText>
        <w:fldChar w:fldCharType="separate"/>
        <w:t>8</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ref_019 \h</w:instrText>
        <w:fldChar w:fldCharType="separate"/>
        <w:t>19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；ReAct 将推理轨迹和行动调用交替组织，使系统能够根据环境反馈调整任务计划</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ref_020 \h</w:instrText>
        <w:fldChar w:fldCharType="separate"/>
        <w:t>20</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；AutoGen 等多 Agent 框架则强调用不同角色承担拆解、执行、评审和修正职责</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ref_021 \h</w:instrText>
        <w:fldChar w:fldCharType="separate"/>
        <w:t>21</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。这些工作为本文拆分审计节点、保存中间状态和设计回环复核提供了参考。</w:t>
      </w:r>
    </w:p>
    <w:p>
      <w:pPr>
        <w:spacing w:before="0" w:after="0" w:line="400" w:lineRule="exact"/>
        <w:ind w:firstLine="480"/>
        <w:jc w:val="both"/>
      </w:pPr>
      <w:r>
        <w:rPr>
          <w:rFonts w:ascii="Times New Roman" w:hAnsi="Times New Roman" w:eastAsia="宋体" w:cs="Times New Roman"/>
          <w:b w:val="0"/>
          <w:sz w:val="24"/>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ref_014 \h</w:instrText>
        <w:fldChar w:fldCharType="separate"/>
        <w:t>14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ref_015 \h</w:instrText>
        <w:fldChar w:fldCharType="separate"/>
        <w:t>15</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；自然语言处理、机器学习和深度学习教材为 OCR 文本处理、指标抽取和语言模型能力边界提供了基本方法参考</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ref_016 \h</w:instrText>
        <w:fldChar w:fldCharType="separate"/>
        <w:t>16</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ref_018 \h</w:instrText>
        <w:fldChar w:fldCharType="separate"/>
        <w:t>18</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400" w:lineRule="exact"/>
        <w:ind w:firstLine="480"/>
        <w:jc w:val="both"/>
      </w:pPr>
      <w:r>
        <w:rPr>
          <w:rFonts w:ascii="Times New Roman" w:hAnsi="Times New Roman" w:eastAsia="宋体" w:cs="Times New Roman"/>
          <w:b w:val="0"/>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1.3 本文主要工作</w:t>
      </w:r>
    </w:p>
    <w:p>
      <w:pPr>
        <w:spacing w:before="0" w:after="0" w:line="400" w:lineRule="exact"/>
        <w:ind w:firstLine="480"/>
        <w:jc w:val="both"/>
      </w:pPr>
      <w:r>
        <w:rPr>
          <w:rFonts w:ascii="Times New Roman" w:hAnsi="Times New Roman" w:eastAsia="宋体" w:cs="Times New Roman"/>
          <w:b w:val="0"/>
          <w:sz w:val="24"/>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400" w:lineRule="exact"/>
        <w:ind w:firstLine="480"/>
        <w:jc w:val="both"/>
      </w:pPr>
      <w:r>
        <w:rPr>
          <w:rFonts w:ascii="Times New Roman" w:hAnsi="Times New Roman" w:eastAsia="宋体" w:cs="Times New Roman"/>
          <w:b w:val="0"/>
          <w:sz w:val="24"/>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400" w:lineRule="exact"/>
        <w:ind w:firstLine="480"/>
        <w:jc w:val="both"/>
      </w:pPr>
      <w:r>
        <w:rPr>
          <w:rFonts w:ascii="Times New Roman" w:hAnsi="Times New Roman" w:eastAsia="宋体" w:cs="Times New Roman"/>
          <w:b w:val="0"/>
          <w:sz w:val="24"/>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400" w:lineRule="exact"/>
        <w:ind w:firstLine="480"/>
        <w:jc w:val="both"/>
      </w:pPr>
      <w:r>
        <w:rPr>
          <w:rFonts w:ascii="Times New Roman" w:hAnsi="Times New Roman" w:eastAsia="宋体" w:cs="Times New Roman"/>
          <w:b w:val="0"/>
          <w:sz w:val="24"/>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400" w:lineRule="exact"/>
        <w:ind w:firstLine="480"/>
        <w:jc w:val="both"/>
      </w:pPr>
      <w:r>
        <w:rPr>
          <w:rFonts w:ascii="Times New Roman" w:hAnsi="Times New Roman" w:eastAsia="宋体" w:cs="Times New Roman"/>
          <w:b w:val="0"/>
          <w:sz w:val="24"/>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400" w:lineRule="exact"/>
        <w:ind w:firstLine="480"/>
        <w:jc w:val="both"/>
      </w:pPr>
      <w:r>
        <w:rPr>
          <w:rFonts w:ascii="Times New Roman" w:hAnsi="Times New Roman" w:eastAsia="宋体" w:cs="Times New Roman"/>
          <w:b w:val="0"/>
          <w:sz w:val="24"/>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400" w:lineRule="exact"/>
        <w:ind w:firstLine="480"/>
        <w:jc w:val="both"/>
      </w:pPr>
      <w:r>
        <w:rPr>
          <w:rFonts w:ascii="Times New Roman" w:hAnsi="Times New Roman" w:eastAsia="宋体" w:cs="Times New Roman"/>
          <w:b w:val="0"/>
          <w:sz w:val="24"/>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400" w:lineRule="exact"/>
        <w:ind w:firstLine="480"/>
        <w:jc w:val="both"/>
      </w:pPr>
      <w:r>
        <w:rPr>
          <w:rFonts w:ascii="Times New Roman" w:hAnsi="Times New Roman" w:eastAsia="宋体" w:cs="Times New Roman"/>
          <w:b w:val="0"/>
          <w:sz w:val="24"/>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400" w:lineRule="exact"/>
        <w:ind w:firstLine="480"/>
        <w:jc w:val="both"/>
      </w:pPr>
      <w:r>
        <w:rPr>
          <w:rFonts w:ascii="Times New Roman" w:hAnsi="Times New Roman" w:eastAsia="宋体" w:cs="Times New Roman"/>
          <w:b w:val="0"/>
          <w:sz w:val="24"/>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第二章 相关技术与系统基础</w:t>
      </w:r>
    </w:p>
    <w:p>
      <w:pPr>
        <w:spacing w:before="0" w:after="0" w:line="400" w:lineRule="exact"/>
        <w:ind w:firstLine="480"/>
        <w:jc w:val="both"/>
      </w:pPr>
      <w:r>
        <w:rPr>
          <w:rFonts w:ascii="Times New Roman" w:hAnsi="Times New Roman" w:eastAsia="宋体" w:cs="Times New Roman"/>
          <w:b w:val="0"/>
          <w:sz w:val="24"/>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pPr>
        <w:keepNext w:val="0"/>
        <w:keepLines/>
        <w:spacing w:before="80" w:after="160" w:line="300" w:lineRule="exact"/>
        <w:ind w:firstLine="0"/>
        <w:jc w:val="center"/>
      </w:pPr>
      <w:r>
        <w:rPr>
          <w:rFonts w:ascii="Times New Roman" w:hAnsi="Times New Roman" w:eastAsia="宋体" w:cs="Times New Roman"/>
          <w:b/>
          <w:sz w:val="18"/>
        </w:rPr>
        <w:t>表2-1 相关研究引用依据与本文启示</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文献</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已有工作做法</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本文设计启示</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吴宗友等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综述电子病历文本挖掘，将任务归纳为清洗、集成、命名实体识别、关系抽取、检索和问答等环节。</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本文采用 OCR、标准化、指标入库、审计报告的分层链路。</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韩普等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提出结合外部语义特征、深度学习与 CRF/Voting 的中文电子病历实体识别方法，实验 F 值达到 94.06%。</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本文承认专门模型对标准语料有效，但本系统先做工程化标准化和证据留痕。</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崔少国等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融合汉字图像、五笔、医学词典和 Lattice 结构，提升中文电子病历命名实体识别效果。</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本文保留指标别名、单位和原文证据，避免只依赖通用模型。</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盖彦蓉等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真实世界电子病历抽取实验显示，模型在真实数据上的表现明显低于公开数据集，问题来自表述不规范、数据稀疏和治理不足。</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本文把版本、原文、任务事件和审计事件都保存下来，强调数据治理。</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Lewis 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提出 RAG，将参数化模型和非参数化检索记忆结合，用外部文档提高知识密集任务的事实性和可解释性。</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本文把 RAG 作为审计状态机中的知识检索节点，而不是独立聊天功能。</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Yao 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提出 ReAct，将推理轨迹和外部行动交替组织，使模型能够通过工具或知识库获得外部信息。</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本文把审计拆成节点和工具调用，避免一次性生成报告。</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Wu 等</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AutoGen 将多 Agent 对话用于复杂任务，支持 LLM、工具和人类输入组合。</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本文借鉴职责拆分思想，但采用状态机而非纯聊天式 Agent。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LangChain</w:t>
            </w:r>
            <w:r>
              <w:rPr>
                <w:rFonts w:ascii="Times New Roman" w:hAnsi="Times New Roman" w:eastAsia="宋体" w:cs="Times New Roman"/>
                <w:b w:val="0"/>
                <w:sz w:val="21"/>
                <w:vertAlign w:val="superscript"/>
              </w:rPr>
              <w:t>[</w:t>
            </w:r>
            <w:r>
              <w:rPr>
                <w:rFonts w:ascii="Times New Roman" w:hAnsi="Times New Roman" w:eastAsia="宋体"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宋体" w:cs="Times New Roman"/>
                <w:b w:val="0"/>
                <w:sz w:val="21"/>
                <w:vertAlign w:val="superscript"/>
              </w:rPr>
              <w: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LangGraph 强调长运行、有状态、可持久化的 Agent 工作流，并提供状态图、边和条件路由。</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本文用 LangGraph 表达审计回环、引用检查和安全审查。</w:t>
            </w:r>
          </w:p>
        </w:tc>
      </w:tr>
    </w:tbl>
    <w:p>
      <w:pPr>
        <w:spacing w:before="0" w:after="0" w:line="160" w:lineRule="exact"/>
        <w:ind w:firstLine="0"/>
        <w:jc w:val="both"/>
      </w:pP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2.1 医疗资料标准化与电子病历文本挖掘</w:t>
      </w:r>
    </w:p>
    <w:p>
      <w:pPr>
        <w:spacing w:before="0" w:after="0" w:line="400" w:lineRule="exact"/>
        <w:ind w:firstLine="480"/>
        <w:jc w:val="both"/>
      </w:pPr>
      <w:r>
        <w:rPr>
          <w:rFonts w:ascii="Times New Roman" w:hAnsi="Times New Roman" w:eastAsia="宋体" w:cs="Times New Roman"/>
          <w:b w:val="0"/>
          <w:sz w:val="24"/>
        </w:rPr>
        <w:t>医疗资料标准化首先面对的是非结构化和半结构化文本。国家卫生健康委员会发布的医院信息化建设标准强调医疗数据、系统功能和质量管理的规范化要求</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ref_001 \h</w:instrText>
        <w:fldChar w:fldCharType="separate"/>
        <w:t>1</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，电子病历应用水平分级评价也把数据质量、业务闭环和过程留痕作为医院信息化建设的重要内容</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ref_002 \h</w:instrText>
        <w:fldChar w:fldCharType="separate"/>
        <w:t>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。个人信息安全规范进一步要求敏感个人信息处理具备明确目的、访问控制和可追溯能力</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ref_003 \h</w:instrText>
        <w:fldChar w:fldCharType="separate"/>
        <w:t>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。因此，面向医疗审计的系统不能只保存一段模型摘要，而要把原始文件、识别文本、结构化字段、版本快照和最终证据之间的关系保存下来。</w:t>
      </w:r>
    </w:p>
    <w:p>
      <w:pPr>
        <w:spacing w:before="0" w:after="0" w:line="400" w:lineRule="exact"/>
        <w:ind w:firstLine="480"/>
        <w:jc w:val="both"/>
      </w:pPr>
      <w:r>
        <w:rPr>
          <w:rFonts w:ascii="Times New Roman" w:hAnsi="Times New Roman" w:eastAsia="宋体" w:cs="Times New Roman"/>
          <w:b w:val="0"/>
          <w:sz w:val="24"/>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ref_004 \h</w:instrText>
        <w:fldChar w:fldCharType="separate"/>
        <w:t>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。这一综述给本文的直接启示是：医疗资料审计不应从“报告生成”开始，而应先完成资料接入、OCR、标准化和指标索引，再进入审计报告状态机。</w:t>
      </w:r>
    </w:p>
    <w:p>
      <w:pPr>
        <w:spacing w:before="0" w:after="0" w:line="400" w:lineRule="exact"/>
        <w:ind w:firstLine="480"/>
        <w:jc w:val="both"/>
      </w:pPr>
      <w:r>
        <w:rPr>
          <w:rFonts w:ascii="Times New Roman" w:hAnsi="Times New Roman" w:eastAsia="宋体" w:cs="Times New Roman"/>
          <w:b w:val="0"/>
          <w:sz w:val="24"/>
        </w:rPr>
        <w:t>杜晋华等围绕中文电子病历命名实体识别进行综述，关注疾病、症状、检查、药物、身体部位等实体类型，并指出中文病历文本存在术语密集、表达不规范和标注语料不足等问题</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ref_005 \h</w:instrText>
        <w:fldChar w:fldCharType="separate"/>
        <w:t>5</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。韩普等提出融合外部语义特征、深度学习模型和 CRF 输出的中文电子病历实体识别方法，实验 F 值达到 94.06%，说明专门模型在标注数据和任务边界清晰时能够取得较好效果</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ref_006 \h</w:instrText>
        <w:fldChar w:fldCharType="separate"/>
        <w:t>6</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。崔少国等进一步融合汉字图像、五笔编码、医学词典和 Lattice 结构，用语义与边界信息提升中文电子病历 NER 效果</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ref_007 \h</w:instrText>
        <w:fldChar w:fldCharType="separate"/>
        <w:t>7</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pPr>
        <w:spacing w:before="0" w:after="0" w:line="400" w:lineRule="exact"/>
        <w:ind w:firstLine="480"/>
        <w:jc w:val="both"/>
      </w:pPr>
      <w:r>
        <w:rPr>
          <w:rFonts w:ascii="Times New Roman" w:hAnsi="Times New Roman" w:eastAsia="宋体" w:cs="Times New Roman"/>
          <w:b w:val="0"/>
          <w:sz w:val="24"/>
        </w:rPr>
        <w:t>盖彦蓉等针对真实世界中文电子病历开展知识抽取和数据治理分析，发现即使采用 BERT+Bi-LSTM+CRF 等主流模型，真实世界数据上的实体和关系识别效果仍明显低于公开数据集，原因包括表述不规范、数据稀疏、科室术语差异、隐私保护与数据利用平衡不足、全流程治理缺失等</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ref_008 \h</w:instrText>
        <w:fldChar w:fldCharType="separate"/>
        <w:t>8</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。这与本文的工程取舍一致：系统需要保存 OCR 原文、标准化 payload、版本 hash、结构化指标、任务事件和审计事件，让后续报告能够回到具体数据来源，而不是只追求一次抽取结果。</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2.2 医疗大模型、知识增强与 RAG 方法</w:t>
      </w:r>
    </w:p>
    <w:p>
      <w:pPr>
        <w:spacing w:before="0" w:after="0" w:line="400" w:lineRule="exact"/>
        <w:ind w:firstLine="480"/>
        <w:jc w:val="both"/>
      </w:pPr>
      <w:r>
        <w:rPr>
          <w:rFonts w:ascii="Times New Roman" w:hAnsi="Times New Roman" w:eastAsia="宋体" w:cs="Times New Roman"/>
          <w:b w:val="0"/>
          <w:sz w:val="24"/>
        </w:rPr>
        <w:t>肖仰华和徐一丹从知识容器、能力引擎和自治智能体三个角度讨论生成式语言模型在医疗领域的机会，同时也指出医疗应用存在准确性、解释性、风险控制等局限</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ref_009 \h</w:instrText>
        <w:fldChar w:fldCharType="separate"/>
        <w:t>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。康砚澜等进一步提出知识增强医学语言模型，认为知识图谱和多模态数据融合可以提升模型的专业性、准确性和可信性</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ref_010 \h</w:instrText>
        <w:fldChar w:fldCharType="separate"/>
        <w:t>10</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。颜见智等系统梳理了生成式大语言模型在医疗服务、医学研究和教育中的典型应用，也强调幻觉、隐私保护、伦理、结果可控性和可解释性等挑战</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ref_011 \h</w:instrText>
        <w:fldChar w:fldCharType="separate"/>
        <w:t>11</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ref_012 \h</w:instrText>
        <w:fldChar w:fldCharType="separate"/>
        <w:t>12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。何剑虎等采用系统性文献回顾方法梳理医疗大语言模型最新进展，指出未来研究应同时关注技术创新和伦理规范</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ref_013 \h</w:instrText>
        <w:fldChar w:fldCharType="separate"/>
        <w:t>13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。这些文献共同说明，医疗大模型不能脱离数据治理、评测体系和责任边界单独落地。</w:t>
      </w:r>
    </w:p>
    <w:p>
      <w:pPr>
        <w:spacing w:before="0" w:after="0" w:line="400" w:lineRule="exact"/>
        <w:ind w:firstLine="480"/>
        <w:jc w:val="both"/>
      </w:pPr>
      <w:r>
        <w:rPr>
          <w:rFonts w:ascii="Times New Roman" w:hAnsi="Times New Roman" w:eastAsia="宋体" w:cs="Times New Roman"/>
          <w:b w:val="0"/>
          <w:sz w:val="24"/>
        </w:rPr>
        <w:t>国际研究也给出类似提醒。Thirunavukarasu 等在 Nature Medicine 发表的综述指出，LLM 在医学问答、临床文档和医学教育等场景中具有潜力，但临床使用仍需重视偏差、可解释性、安全性和监管问题</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ref_023 \h</w:instrText>
        <w:fldChar w:fldCharType="separate"/>
        <w:t>23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。Wornow 等在 npj Digital Medicine 中讨论面向电子健康记录的 LLM 和基础模型，强调 EHR 数据具有异质性、缺失性和编码差异，许多模型评估任务并不能充分说明其对真实医疗系统的有效性</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ref_024 \h</w:instrText>
        <w:fldChar w:fldCharType="separate"/>
        <w:t>24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。因此，本文系统只把大模型用于标准化、智能洞察和报告生成增强，不把生成结果直接等同于诊断结论。</w:t>
      </w:r>
    </w:p>
    <w:p>
      <w:pPr>
        <w:spacing w:before="0" w:after="0" w:line="400" w:lineRule="exact"/>
        <w:ind w:firstLine="480"/>
        <w:jc w:val="both"/>
      </w:pPr>
      <w:r>
        <w:rPr>
          <w:rFonts w:ascii="Times New Roman" w:hAnsi="Times New Roman" w:eastAsia="宋体" w:cs="Times New Roman"/>
          <w:b w:val="0"/>
          <w:sz w:val="24"/>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ref_019 \h</w:instrText>
        <w:fldChar w:fldCharType="separate"/>
        <w:t>19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。对于医疗资料审计来说，RAG 的价值不只是让回答更丰富，而是让报告能够附带知识来源、命中片段和审计依据，从而降低“凭空解释”的风险。</w:t>
      </w:r>
    </w:p>
    <w:p>
      <w:pPr>
        <w:spacing w:before="0" w:after="0" w:line="400" w:lineRule="exact"/>
        <w:ind w:firstLine="480"/>
        <w:jc w:val="both"/>
      </w:pPr>
      <w:r>
        <w:rPr>
          <w:rFonts w:ascii="Times New Roman" w:hAnsi="Times New Roman" w:eastAsia="宋体" w:cs="Times New Roman"/>
          <w:b w:val="0"/>
          <w:sz w:val="24"/>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类型证据，用于展示知识命中情况和来源。该设计对应 Lewis 等提出的“检索外部知识再生成”的思想</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ref_019 \h</w:instrText>
        <w:fldChar w:fldCharType="separate"/>
        <w:t>19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，也回应了医疗大模型研究中对事实性、可追溯性和责任边界的要求</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ref_009 \h</w:instrText>
        <w:fldChar w:fldCharType="separate"/>
        <w:t>9</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ref_013 \h</w:instrText>
        <w:fldChar w:fldCharType="separate"/>
        <w:t>13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ref_023 \h</w:instrText>
        <w:fldChar w:fldCharType="separate"/>
        <w:t>23</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ref_024 \h</w:instrText>
        <w:fldChar w:fldCharType="separate"/>
        <w:t>24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2.3 Agent 工作流与状态机编排</w:t>
      </w:r>
    </w:p>
    <w:p>
      <w:pPr>
        <w:spacing w:before="0" w:after="0" w:line="400" w:lineRule="exact"/>
        <w:ind w:firstLine="480"/>
        <w:jc w:val="both"/>
      </w:pPr>
      <w:r>
        <w:rPr>
          <w:rFonts w:ascii="Times New Roman" w:hAnsi="Times New Roman" w:eastAsia="宋体" w:cs="Times New Roman"/>
          <w:b w:val="0"/>
          <w:sz w:val="24"/>
        </w:rPr>
        <w:t>Yao 等提出的 ReAct 方法把语言模型的推理轨迹和任务行动交替组织：推理轨迹用于诱导、跟踪和更新行动计划，行动则用于与知识库或环境交互并获得额外信息</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ref_020 \h</w:instrText>
        <w:fldChar w:fldCharType="separate"/>
        <w:t>20</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pPr>
        <w:spacing w:before="0" w:after="0" w:line="400" w:lineRule="exact"/>
        <w:ind w:firstLine="480"/>
        <w:jc w:val="both"/>
      </w:pPr>
      <w:r>
        <w:rPr>
          <w:rFonts w:ascii="Times New Roman" w:hAnsi="Times New Roman" w:eastAsia="宋体" w:cs="Times New Roman"/>
          <w:b w:val="0"/>
          <w:sz w:val="24"/>
        </w:rPr>
        <w:t>Wu 等提出的 AutoGen 将 LLM 应用组织为多个可对话、可配置的 Agent，并允许 Agent 结合 LLM、工具和人工输入完成复杂任务</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ref_021 \h</w:instrText>
        <w:fldChar w:fldCharType="separate"/>
        <w:t>21</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。AutoGen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pPr>
        <w:spacing w:before="0" w:after="0" w:line="400" w:lineRule="exact"/>
        <w:ind w:firstLine="480"/>
        <w:jc w:val="both"/>
      </w:pPr>
      <w:r>
        <w:rPr>
          <w:rFonts w:ascii="Times New Roman" w:hAnsi="Times New Roman" w:eastAsia="宋体" w:cs="Times New Roman"/>
          <w:b w:val="0"/>
          <w:sz w:val="24"/>
        </w:rPr>
        <w:t>LangGraph 提供了更贴近本文需求的状态图式 Agent 工作流。其官方文档强调，LangGraph 面向长运行、有状态的工作流或 Agent，支持持久化执行、人类参与、记忆、调试可观测和状态迁移</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ref_022 \h</w:instrText>
        <w:fldChar w:fldCharType="separate"/>
        <w:t>22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。这与本文综合审计报告的需求一致：审计节点可能因为证据不足回到 evidence_agent，可能因为引用检查失败回到 audit_router，也可能因为安全审查失败回到 report_composer。</w:t>
      </w:r>
    </w:p>
    <w:p>
      <w:pPr>
        <w:spacing w:before="0" w:after="0" w:line="400" w:lineRule="exact"/>
        <w:ind w:firstLine="480"/>
        <w:jc w:val="both"/>
      </w:pPr>
      <w:r>
        <w:rPr>
          <w:rFonts w:ascii="Times New Roman" w:hAnsi="Times New Roman" w:eastAsia="宋体" w:cs="Times New Roman"/>
          <w:b w:val="0"/>
          <w:sz w:val="24"/>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等字段决定下一步。相比 AutoGen 式的开放会话，本文更强调状态机可控性和审计可追溯性。</w:t>
      </w:r>
    </w:p>
    <w:p>
      <w:pPr>
        <w:keepNext/>
        <w:spacing w:before="0" w:after="0" w:line="400" w:lineRule="exact"/>
        <w:ind w:firstLine="480"/>
        <w:jc w:val="both"/>
      </w:pPr>
      <w:r>
        <w:rPr>
          <w:rFonts w:ascii="Times New Roman" w:hAnsi="Times New Roman" w:eastAsia="宋体" w:cs="Times New Roman"/>
          <w:b w:val="0"/>
          <w:sz w:val="24"/>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图2-1 LangGraph 状态机机制</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2.4 Provider 抽象与外部能力接入</w:t>
      </w:r>
    </w:p>
    <w:p>
      <w:pPr>
        <w:keepNext w:val="0"/>
        <w:keepLines/>
        <w:spacing w:before="80" w:after="160" w:line="300" w:lineRule="exact"/>
        <w:ind w:firstLine="0"/>
        <w:jc w:val="center"/>
      </w:pPr>
      <w:r>
        <w:rPr>
          <w:rFonts w:ascii="Times New Roman" w:hAnsi="Times New Roman" w:eastAsia="宋体" w:cs="Times New Roman"/>
          <w:b/>
          <w:sz w:val="18"/>
        </w:rPr>
        <w:t>表2-2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抽象接口</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当前配置</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功能说明</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OCRProvider</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auto</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负责从文件字节中抽取文本；当前配置为 auto，文本样本走 plaintext，图片样本在密钥配置后走 baidu_ocr accurate。</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NormalizationProvider</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llm_direct</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负责把 OCR 原文转换为文档类型、报告日期、指标数组和叙事事实；当前为 llm_direct，并带规则兜底。</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LLMProvider</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openai_compatible</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负责对话、洞察、报告生成增强和部分标准化能力，当前通过 openai_compatible 接入兼容模型服务。</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StorageProvider</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database_inline</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负责文件存储，当前使用 database_inline，便于本地演示和测试复现。</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ref_014 \h</w:instrText>
        <w:fldChar w:fldCharType="separate"/>
        <w:t>14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keepNext/>
        <w:spacing w:before="0" w:after="0" w:line="400" w:lineRule="exact"/>
        <w:ind w:firstLine="480"/>
        <w:jc w:val="both"/>
      </w:pPr>
      <w:r>
        <w:rPr>
          <w:rFonts w:ascii="Times New Roman" w:hAnsi="Times New Roman" w:eastAsia="宋体" w:cs="Times New Roman"/>
          <w:b w:val="0"/>
          <w:sz w:val="24"/>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图2-2 Provider 抽象与外部能力接入</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2.5 本项目已有实现基础</w:t>
      </w:r>
    </w:p>
    <w:p>
      <w:pPr>
        <w:spacing w:before="0" w:after="0" w:line="400" w:lineRule="exact"/>
        <w:ind w:firstLine="480"/>
        <w:jc w:val="both"/>
      </w:pPr>
      <w:r>
        <w:rPr>
          <w:rFonts w:ascii="Times New Roman" w:hAnsi="Times New Roman" w:eastAsia="宋体" w:cs="Times New Roman"/>
          <w:b w:val="0"/>
          <w:sz w:val="24"/>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400" w:lineRule="exact"/>
        <w:ind w:firstLine="480"/>
        <w:jc w:val="both"/>
      </w:pPr>
      <w:r>
        <w:rPr>
          <w:rFonts w:ascii="Times New Roman" w:hAnsi="Times New Roman" w:eastAsia="宋体" w:cs="Times New Roman"/>
          <w:b w:val="0"/>
          <w:sz w:val="24"/>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ref_015 \h</w:instrText>
        <w:fldChar w:fldCharType="separate"/>
        <w:t>15</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400" w:lineRule="exact"/>
        <w:ind w:firstLine="480"/>
        <w:jc w:val="both"/>
      </w:pPr>
      <w:r>
        <w:rPr>
          <w:rFonts w:ascii="Times New Roman" w:hAnsi="Times New Roman" w:eastAsia="宋体" w:cs="Times New Roman"/>
          <w:b w:val="0"/>
          <w:sz w:val="24"/>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400" w:lineRule="exact"/>
        <w:ind w:firstLine="480"/>
        <w:jc w:val="both"/>
      </w:pPr>
      <w:r>
        <w:rPr>
          <w:rFonts w:ascii="Times New Roman" w:hAnsi="Times New Roman" w:eastAsia="宋体" w:cs="Times New Roman"/>
          <w:b w:val="0"/>
          <w:sz w:val="24"/>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ref_004 \h</w:instrText>
        <w:fldChar w:fldCharType="separate"/>
        <w:t>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ref_008 \h</w:instrText>
        <w:fldChar w:fldCharType="separate"/>
        <w:t>8</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ref_008 \h</w:instrText>
        <w:fldChar w:fldCharType="separate"/>
        <w:t>8</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ref_015 \h</w:instrText>
        <w:fldChar w:fldCharType="separate"/>
        <w:t>15</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ref_014 \h</w:instrText>
        <w:fldChar w:fldCharType="separate"/>
        <w:t>14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ref_022 \h</w:instrText>
        <w:fldChar w:fldCharType="separate"/>
        <w:t>22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ref_020 \h</w:instrText>
        <w:fldChar w:fldCharType="separate"/>
        <w:t>20</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ref_022 \h</w:instrText>
        <w:fldChar w:fldCharType="separate"/>
        <w:t>22</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400" w:lineRule="exact"/>
        <w:ind w:firstLine="480"/>
        <w:jc w:val="both"/>
      </w:pPr>
      <w:r>
        <w:rPr>
          <w:rFonts w:ascii="Times New Roman" w:hAnsi="Times New Roman" w:eastAsia="宋体" w:cs="Times New Roman"/>
          <w:b w:val="0"/>
          <w:sz w:val="24"/>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ref_014 \h</w:instrText>
        <w:fldChar w:fldCharType="separate"/>
        <w:t>14</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vertAlign w:val="superscript"/>
        </w:rPr>
        <w:fldChar w:fldCharType="begin"/>
        <w:instrText xml:space="preserve">REF ref_015 \h</w:instrText>
        <w:fldChar w:fldCharType="separate"/>
        <w:t>15</w:t>
        <w:fldChar w:fldCharType="end"/>
      </w:r>
      <w:r>
        <w:rPr>
          <w:rFonts w:ascii="Times New Roman" w:hAnsi="Times New Roman" w:eastAsia="宋体" w:cs="Times New Roman"/>
          <w:b w:val="0"/>
          <w:sz w:val="24"/>
          <w:vertAlign w:val="superscript"/>
        </w:rPr>
        <w:t>]</w:t>
      </w:r>
      <w:r>
        <w:rPr>
          <w:rFonts w:ascii="Times New Roman" w:hAnsi="Times New Roman" w:eastAsia="宋体" w:cs="Times New Roman"/>
          <w:b w:val="0"/>
          <w:sz w:val="24"/>
        </w:rPr>
        <w:t>。</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第三章 需求分析与总体设计</w:t>
      </w:r>
    </w:p>
    <w:p>
      <w:pPr>
        <w:spacing w:before="0" w:after="0" w:line="400" w:lineRule="exact"/>
        <w:ind w:firstLine="480"/>
        <w:jc w:val="both"/>
      </w:pPr>
      <w:r>
        <w:rPr>
          <w:rFonts w:ascii="Times New Roman" w:hAnsi="Times New Roman" w:eastAsia="宋体" w:cs="Times New Roman"/>
          <w:b w:val="0"/>
          <w:sz w:val="24"/>
        </w:rPr>
        <w:t>本章从功能需求、总体架构、业务流程、后端接口、数据库结构和安全追溯等方面进行总体设计，说明系统如何将文档处理、结构化入库和综合审计报告生成组织为完整工程闭环。</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3.1 需求分析</w:t>
      </w:r>
    </w:p>
    <w:p>
      <w:pPr>
        <w:keepNext w:val="0"/>
        <w:keepLines/>
        <w:spacing w:before="80" w:after="160" w:line="300" w:lineRule="exact"/>
        <w:ind w:firstLine="0"/>
        <w:jc w:val="center"/>
      </w:pPr>
      <w:r>
        <w:rPr>
          <w:rFonts w:ascii="Times New Roman" w:hAnsi="Times New Roman" w:eastAsia="宋体" w:cs="Times New Roman"/>
          <w:b/>
          <w:sz w:val="18"/>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需求</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说明</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支撑对象</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资料接入</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用户能够上传体检报告、检验单、病历摘要和影像文本结论，系统保存原始文件和文件元数据。</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record_files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OCR 与标准化</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系统能够抽取文本并生成结构化文档、版本快照和指标记录。</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ocr_results、extracted_documents、document_versions、measurements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指标查询</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用户能够按名称、时间和文档查询结构化指标，用于后续审计和趋势展示。</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measurements API</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综合审计</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系统能够选择多个文档版本，通过 LangGraph 多节点流程生成综合审计报告。</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audit_report_runs、events、node_states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过程可视化</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前端能够展示审计节点、边流转、最终报告和历史记录。</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audit-reports API</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安全边界</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系统输出为非诊断性风险提示，所有结论必须保留来源或提示人工复核。</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evidence_items、safety_reviewer</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400" w:lineRule="exact"/>
        <w:ind w:firstLine="480"/>
        <w:jc w:val="both"/>
      </w:pPr>
      <w:r>
        <w:rPr>
          <w:rFonts w:ascii="Times New Roman" w:hAnsi="Times New Roman" w:eastAsia="宋体" w:cs="Times New Roman"/>
          <w:b w:val="0"/>
          <w:sz w:val="24"/>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3.2 系统总体架构</w:t>
      </w:r>
    </w:p>
    <w:p>
      <w:pPr>
        <w:spacing w:before="0" w:after="0" w:line="400" w:lineRule="exact"/>
        <w:ind w:firstLine="480"/>
        <w:jc w:val="both"/>
      </w:pPr>
      <w:r>
        <w:rPr>
          <w:rFonts w:ascii="Times New Roman" w:hAnsi="Times New Roman" w:eastAsia="宋体" w:cs="Times New Roman"/>
          <w:b w:val="0"/>
          <w:sz w:val="24"/>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keepNext/>
        <w:spacing w:before="0" w:after="0" w:line="400" w:lineRule="exact"/>
        <w:ind w:firstLine="480"/>
        <w:jc w:val="both"/>
      </w:pPr>
      <w:r>
        <w:rPr>
          <w:rFonts w:ascii="Times New Roman" w:hAnsi="Times New Roman" w:eastAsia="宋体" w:cs="Times New Roman"/>
          <w:b w:val="0"/>
          <w:sz w:val="24"/>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图3-1 系统总体架构</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3.3 业务流程设计</w:t>
      </w:r>
    </w:p>
    <w:p>
      <w:pPr>
        <w:spacing w:before="0" w:after="0" w:line="400" w:lineRule="exact"/>
        <w:ind w:firstLine="480"/>
        <w:jc w:val="both"/>
      </w:pPr>
      <w:r>
        <w:rPr>
          <w:rFonts w:ascii="Times New Roman" w:hAnsi="Times New Roman" w:eastAsia="宋体" w:cs="Times New Roman"/>
          <w:b w:val="0"/>
          <w:sz w:val="24"/>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keepNext/>
        <w:spacing w:before="0" w:after="0" w:line="400" w:lineRule="exact"/>
        <w:ind w:firstLine="480"/>
        <w:jc w:val="both"/>
      </w:pPr>
      <w:r>
        <w:rPr>
          <w:rFonts w:ascii="Times New Roman" w:hAnsi="Times New Roman" w:eastAsia="宋体" w:cs="Times New Roman"/>
          <w:b w:val="0"/>
          <w:sz w:val="24"/>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图3-2 医疗资料处理与审计业务流程</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3.4 后端分层与接口设计</w:t>
      </w:r>
    </w:p>
    <w:p>
      <w:pPr>
        <w:keepNext w:val="0"/>
        <w:keepLines/>
        <w:spacing w:before="80" w:after="160" w:line="300" w:lineRule="exact"/>
        <w:ind w:firstLine="0"/>
        <w:jc w:val="center"/>
      </w:pPr>
      <w:r>
        <w:rPr>
          <w:rFonts w:ascii="Times New Roman" w:hAnsi="Times New Roman" w:eastAsia="宋体" w:cs="Times New Roman"/>
          <w:b/>
          <w:sz w:val="18"/>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接口分组</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数量</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典型接口</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auth</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3</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/auth/register；POST /auth/login；GET /auth/me</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files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3</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/files/upload；GET /files/{file_id}/documents；GET /files/{file_id}/measurements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ocr</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5</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/ocr/files/{record_file_id}/extract；GET /ocr/files/{record_file_id}/revisions；GET /ocr/files/{record_file_id}/revisions/current；...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ingestion</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1</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/ingestion/ocr-results/{ocr_result_id}/normalize</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documents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7</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/documents；GET /documents/{document_id}；GET /documents/{document_id}/versions；...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document-versions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2</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/document-versions/compare；GET /document-versions/{version_id}</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measurements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3</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/measurements；GET /measurements/search；GET /measurements/timeseries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tasks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7</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/tasks；GET /tasks/provider-events/summary；GET /tasks/{task_id}；...</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knowledge</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3</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/knowledge/chunks；GET /knowledge/sources；GET /knowledge/search</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audit-reports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6</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/audit-reports；POST /audit-reports/{run_id}/execute；GET /audit-reports；...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insight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6</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GET /insight/sessions；GET /insight/sessions/{session_id}；GET /insight/sessions/{session_id}/messages；...</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chat</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10</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POST /chat/conversations；GET /chat/conversations；GET /chat/conversations/{conversation_id}；...</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keepNext/>
        <w:spacing w:before="0" w:after="0" w:line="400" w:lineRule="exact"/>
        <w:ind w:firstLine="480"/>
        <w:jc w:val="both"/>
      </w:pPr>
      <w:r>
        <w:rPr>
          <w:rFonts w:ascii="Times New Roman" w:hAnsi="Times New Roman" w:eastAsia="宋体" w:cs="Times New Roman"/>
          <w:b w:val="0"/>
          <w:sz w:val="24"/>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图3-3 后端分层结构</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图3-5 API 接口分组图</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3.5 数据库设计</w:t>
      </w:r>
    </w:p>
    <w:p>
      <w:pPr>
        <w:keepNext w:val="0"/>
        <w:keepLines/>
        <w:spacing w:before="80" w:after="160" w:line="300" w:lineRule="exact"/>
        <w:ind w:firstLine="0"/>
        <w:jc w:val="center"/>
      </w:pPr>
      <w:r>
        <w:rPr>
          <w:rFonts w:ascii="Times New Roman" w:hAnsi="Times New Roman" w:eastAsia="宋体" w:cs="Times New Roman"/>
          <w:b/>
          <w:sz w:val="18"/>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数据表</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职责</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主要字段</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users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用户账号</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email, password_hash,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record_files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原始文件与文件字节</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record_id, original_filename, display_name, content_type, size_bytes, content_bytes, storage_provider, storage_key,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ocr_results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OCR 识别结果与修订</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record_file_id, revision_number, supersedes_ocr_result_id, is_current, provider_name, status, raw_text, raw_payload,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extracted_documents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当前标准化文档投影</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ocr_result_id, current_ocr_result_id, record_id, record_file_id, document_type, document_category, display_name, status, report_date, normalized_payload,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document_versions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标准化文档版本快照</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document_id, version_number, supersedes_version_id, is_current, created_from_ocr_result_id, snapshot_hash, report_date, normalized_payload,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measurements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结构化指标索引</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extracted_document_id, document_version_id, name, value_text, value_numeric, unit, observed_at, created_at</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audit_report_runs</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综合审计报告运行</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id, user_id, title, status, selected_document_version_ids, graph_state, final_report, iteration_count...</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keepNext/>
        <w:spacing w:before="0" w:after="0" w:line="400" w:lineRule="exact"/>
        <w:ind w:firstLine="480"/>
        <w:jc w:val="both"/>
      </w:pPr>
      <w:r>
        <w:rPr>
          <w:rFonts w:ascii="Times New Roman" w:hAnsi="Times New Roman" w:eastAsia="宋体" w:cs="Times New Roman"/>
          <w:b w:val="0"/>
          <w:sz w:val="24"/>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图3-4 核心数据库 ER 图</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3.6 安全与可追溯设计</w:t>
      </w:r>
    </w:p>
    <w:p>
      <w:pPr>
        <w:spacing w:before="0" w:after="0" w:line="400" w:lineRule="exact"/>
        <w:ind w:firstLine="480"/>
        <w:jc w:val="both"/>
      </w:pPr>
      <w:r>
        <w:rPr>
          <w:rFonts w:ascii="Times New Roman" w:hAnsi="Times New Roman" w:eastAsia="宋体" w:cs="Times New Roman"/>
          <w:b w:val="0"/>
          <w:sz w:val="24"/>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keepNext/>
        <w:spacing w:before="0" w:after="0" w:line="400" w:lineRule="exact"/>
        <w:ind w:firstLine="480"/>
        <w:jc w:val="both"/>
      </w:pPr>
      <w:r>
        <w:rPr>
          <w:rFonts w:ascii="Times New Roman" w:hAnsi="Times New Roman" w:eastAsia="宋体" w:cs="Times New Roman"/>
          <w:b w:val="0"/>
          <w:sz w:val="24"/>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图3-6 安全与可追溯设计</w:t>
      </w:r>
    </w:p>
    <w:p>
      <w:pPr>
        <w:spacing w:before="0" w:after="0" w:line="400" w:lineRule="exact"/>
        <w:ind w:firstLine="480"/>
        <w:jc w:val="both"/>
      </w:pPr>
      <w:r>
        <w:rPr>
          <w:rFonts w:ascii="Times New Roman" w:hAnsi="Times New Roman" w:eastAsia="宋体" w:cs="Times New Roman"/>
          <w:b w:val="0"/>
          <w:sz w:val="24"/>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400" w:lineRule="exact"/>
        <w:ind w:firstLine="480"/>
        <w:jc w:val="both"/>
      </w:pPr>
      <w:r>
        <w:rPr>
          <w:rFonts w:ascii="Times New Roman" w:hAnsi="Times New Roman" w:eastAsia="宋体" w:cs="Times New Roman"/>
          <w:b w:val="0"/>
          <w:sz w:val="24"/>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400" w:lineRule="exact"/>
        <w:ind w:firstLine="480"/>
        <w:jc w:val="both"/>
      </w:pPr>
      <w:r>
        <w:rPr>
          <w:rFonts w:ascii="Times New Roman" w:hAnsi="Times New Roman" w:eastAsia="宋体" w:cs="Times New Roman"/>
          <w:b w:val="0"/>
          <w:sz w:val="24"/>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400" w:lineRule="exact"/>
        <w:ind w:firstLine="480"/>
        <w:jc w:val="both"/>
      </w:pPr>
      <w:r>
        <w:rPr>
          <w:rFonts w:ascii="Times New Roman" w:hAnsi="Times New Roman" w:eastAsia="宋体" w:cs="Times New Roman"/>
          <w:b w:val="0"/>
          <w:sz w:val="24"/>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400" w:lineRule="exact"/>
        <w:ind w:firstLine="480"/>
        <w:jc w:val="both"/>
      </w:pPr>
      <w:r>
        <w:rPr>
          <w:rFonts w:ascii="Times New Roman" w:hAnsi="Times New Roman" w:eastAsia="宋体" w:cs="Times New Roman"/>
          <w:b w:val="0"/>
          <w:sz w:val="24"/>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400" w:lineRule="exact"/>
        <w:ind w:firstLine="480"/>
        <w:jc w:val="both"/>
      </w:pPr>
      <w:r>
        <w:rPr>
          <w:rFonts w:ascii="Times New Roman" w:hAnsi="Times New Roman" w:eastAsia="宋体" w:cs="Times New Roman"/>
          <w:b w:val="0"/>
          <w:sz w:val="24"/>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400" w:lineRule="exact"/>
        <w:ind w:firstLine="480"/>
        <w:jc w:val="both"/>
      </w:pPr>
      <w:r>
        <w:rPr>
          <w:rFonts w:ascii="Times New Roman" w:hAnsi="Times New Roman" w:eastAsia="宋体" w:cs="Times New Roman"/>
          <w:b w:val="0"/>
          <w:sz w:val="24"/>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400" w:lineRule="exact"/>
        <w:ind w:firstLine="480"/>
        <w:jc w:val="both"/>
      </w:pPr>
      <w:r>
        <w:rPr>
          <w:rFonts w:ascii="Times New Roman" w:hAnsi="Times New Roman" w:eastAsia="宋体" w:cs="Times New Roman"/>
          <w:b w:val="0"/>
          <w:sz w:val="24"/>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第四章 系统详细实现</w:t>
      </w:r>
    </w:p>
    <w:p>
      <w:pPr>
        <w:spacing w:before="0" w:after="0" w:line="400" w:lineRule="exact"/>
        <w:ind w:firstLine="480"/>
        <w:jc w:val="both"/>
      </w:pPr>
      <w:r>
        <w:rPr>
          <w:rFonts w:ascii="Times New Roman" w:hAnsi="Times New Roman" w:eastAsia="宋体" w:cs="Times New Roman"/>
          <w:b w:val="0"/>
          <w:sz w:val="24"/>
        </w:rPr>
        <w:t>本章说明文件上传与 OCR、标准化入库、LangGraph 审计状态机、审计事件持久化和前端模块的具体实现，重点体现系统中真实数据如何在后端状态图和前端流程图之间保持一致。</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4.1 文件上传与 OCR 处理实现</w:t>
      </w:r>
    </w:p>
    <w:p>
      <w:pPr>
        <w:spacing w:before="0" w:after="0" w:line="400" w:lineRule="exact"/>
        <w:ind w:firstLine="480"/>
        <w:jc w:val="both"/>
      </w:pPr>
      <w:r>
        <w:rPr>
          <w:rFonts w:ascii="Times New Roman" w:hAnsi="Times New Roman" w:eastAsia="宋体" w:cs="Times New Roman"/>
          <w:b w:val="0"/>
          <w:sz w:val="24"/>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400" w:lineRule="exact"/>
        <w:ind w:firstLine="480"/>
        <w:jc w:val="both"/>
      </w:pPr>
      <w:r>
        <w:rPr>
          <w:rFonts w:ascii="Times New Roman" w:hAnsi="Times New Roman" w:eastAsia="宋体" w:cs="Times New Roman"/>
          <w:b w:val="0"/>
          <w:sz w:val="24"/>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keepNext/>
        <w:spacing w:before="0" w:after="0" w:line="400" w:lineRule="exact"/>
        <w:ind w:firstLine="480"/>
        <w:jc w:val="both"/>
      </w:pPr>
      <w:r>
        <w:rPr>
          <w:rFonts w:ascii="Times New Roman" w:hAnsi="Times New Roman" w:eastAsia="宋体" w:cs="Times New Roman"/>
          <w:b w:val="0"/>
          <w:sz w:val="24"/>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图4-1 文件上传与 OCR 处理时序</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4.2 标准化与版本化入库实现</w:t>
      </w:r>
    </w:p>
    <w:p>
      <w:pPr>
        <w:spacing w:before="0" w:after="0" w:line="400" w:lineRule="exact"/>
        <w:ind w:firstLine="480"/>
        <w:jc w:val="both"/>
      </w:pPr>
      <w:r>
        <w:rPr>
          <w:rFonts w:ascii="Times New Roman" w:hAnsi="Times New Roman" w:eastAsia="宋体" w:cs="Times New Roman"/>
          <w:b w:val="0"/>
          <w:sz w:val="24"/>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400" w:lineRule="exact"/>
        <w:ind w:firstLine="480"/>
        <w:jc w:val="both"/>
      </w:pPr>
      <w:r>
        <w:rPr>
          <w:rFonts w:ascii="Times New Roman" w:hAnsi="Times New Roman" w:eastAsia="宋体" w:cs="Times New Roman"/>
          <w:b w:val="0"/>
          <w:sz w:val="24"/>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keepNext/>
        <w:spacing w:before="0" w:after="0" w:line="400" w:lineRule="exact"/>
        <w:ind w:firstLine="480"/>
        <w:jc w:val="both"/>
      </w:pPr>
      <w:r>
        <w:rPr>
          <w:rFonts w:ascii="Times New Roman" w:hAnsi="Times New Roman" w:eastAsia="宋体" w:cs="Times New Roman"/>
          <w:b w:val="0"/>
          <w:sz w:val="24"/>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图4-2 标准化与版本化入库流程</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4.3 综合审计报告 LangGraph 实现</w:t>
      </w:r>
    </w:p>
    <w:p>
      <w:pPr>
        <w:keepNext w:val="0"/>
        <w:keepLines/>
        <w:spacing w:before="80" w:after="160" w:line="300" w:lineRule="exact"/>
        <w:ind w:firstLine="0"/>
        <w:jc w:val="center"/>
      </w:pPr>
      <w:r>
        <w:rPr>
          <w:rFonts w:ascii="Times New Roman" w:hAnsi="Times New Roman" w:eastAsia="宋体" w:cs="Times New Roman"/>
          <w:b/>
          <w:sz w:val="18"/>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rPr>
          <w:tblHeader w:val="true"/>
        </w:trPr>
        <w:tc>
          <w:tcPr>
            <w:tcW w:type="dxa" w:w="2197"/>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节点</w:t>
            </w:r>
          </w:p>
        </w:tc>
        <w:tc>
          <w:tcPr>
            <w:tcW w:type="dxa" w:w="2197"/>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职责</w:t>
            </w:r>
          </w:p>
        </w:tc>
        <w:tc>
          <w:tcPr>
            <w:tcW w:type="dxa" w:w="2197"/>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输入依据</w:t>
            </w:r>
          </w:p>
        </w:tc>
        <w:tc>
          <w:tcPr>
            <w:tcW w:type="dxa" w:w="2197"/>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主要输出</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load_graph_state</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初始化状态</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读取选中文档版本、指标、运行配置</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next_action、route_history</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audit_router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主路由</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根据 completed_agents 和证据状态选择下一个审计节点</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next_action</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document_quality_agent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文档质量审计</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检查是否缺少文档、OCR 原文、报告日期</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quality_findings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timeline_builder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时间线构建</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按报告日期和指标时间生成时间线</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timeline</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measurement_consistency_agent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指标一致性审计</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按规则检查血糖、ALT、CRP、白细胞等异常</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consistency_findings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risk_agent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风险提示</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将异常指标转化为非诊断性关注项</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risk_findings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knowledge_retrieval_agent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知识检索</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根据异常指标、风险点和医学审计知识块执行 RAG 召回</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knowledge_queries、knowledge_context</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evidence_agent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证据绑定</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为风险、冲突和指标结论绑定原文或指标证据</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evidence_items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conflict_agent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冲突复核</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检查叙事事实与结构化指标是否存在复核点</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conflict_findings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compliance_agent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合规检查</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检查关键结论是否仍缺少证据</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compliance_findings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quality_gate</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质量门禁</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判断是否具备进入报告生成的最低条件</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quality_gate</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report_composer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报告生成</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组织最终报告结构、结论和证据项</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report_draft</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citation_checker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引用检查</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检查非 info 结论是否绑定证据</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citation_issues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safety_reviewer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安全审查</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拦截不适合审计场景的医疗表述</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safety_issues</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final_router</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终态路由</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根据引用和安全检查决定回退或持久化</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next_action、stop_reason</w:t>
            </w:r>
          </w:p>
        </w:tc>
      </w:tr>
      <w:tr>
        <w:tc>
          <w:tcPr>
            <w:tcW w:type="dxa" w:w="2197"/>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persist_report</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持久化</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写入最终报告并结束图执行</w:t>
            </w:r>
          </w:p>
        </w:tc>
        <w:tc>
          <w:tcPr>
            <w:tcW w:type="dxa" w:w="2197"/>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final_report</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400" w:lineRule="exact"/>
        <w:ind w:firstLine="480"/>
        <w:jc w:val="both"/>
      </w:pPr>
      <w:r>
        <w:rPr>
          <w:rFonts w:ascii="Times New Roman" w:hAnsi="Times New Roman" w:eastAsia="宋体" w:cs="Times New Roman"/>
          <w:b w:val="0"/>
          <w:sz w:val="24"/>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400" w:lineRule="exact"/>
        <w:ind w:firstLine="480"/>
        <w:jc w:val="both"/>
      </w:pPr>
      <w:r>
        <w:rPr>
          <w:rFonts w:ascii="Times New Roman" w:hAnsi="Times New Roman" w:eastAsia="宋体" w:cs="Times New Roman"/>
          <w:b w:val="0"/>
          <w:sz w:val="24"/>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keepNext/>
        <w:spacing w:before="0" w:after="0" w:line="400" w:lineRule="exact"/>
        <w:ind w:firstLine="480"/>
        <w:jc w:val="both"/>
      </w:pPr>
      <w:r>
        <w:rPr>
          <w:rFonts w:ascii="Times New Roman" w:hAnsi="Times New Roman" w:eastAsia="宋体" w:cs="Times New Roman"/>
          <w:b w:val="0"/>
          <w:sz w:val="24"/>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图4-3 综合审计报告 LangGraph 状态流转图</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4.4 审计事件与节点状态持久化</w:t>
      </w:r>
    </w:p>
    <w:p>
      <w:pPr>
        <w:spacing w:before="0" w:after="0" w:line="400" w:lineRule="exact"/>
        <w:ind w:firstLine="480"/>
        <w:jc w:val="both"/>
      </w:pPr>
      <w:r>
        <w:rPr>
          <w:rFonts w:ascii="Times New Roman" w:hAnsi="Times New Roman" w:eastAsia="宋体" w:cs="Times New Roman"/>
          <w:b w:val="0"/>
          <w:sz w:val="24"/>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400" w:lineRule="exact"/>
        <w:ind w:firstLine="480"/>
        <w:jc w:val="both"/>
      </w:pPr>
      <w:r>
        <w:rPr>
          <w:rFonts w:ascii="Times New Roman" w:hAnsi="Times New Roman" w:eastAsia="宋体" w:cs="Times New Roman"/>
          <w:b w:val="0"/>
          <w:sz w:val="24"/>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keepNext/>
        <w:spacing w:before="0" w:after="0" w:line="400" w:lineRule="exact"/>
        <w:ind w:firstLine="480"/>
        <w:jc w:val="both"/>
      </w:pPr>
      <w:r>
        <w:rPr>
          <w:rFonts w:ascii="Times New Roman" w:hAnsi="Times New Roman" w:eastAsia="宋体" w:cs="Times New Roman"/>
          <w:b w:val="0"/>
          <w:sz w:val="24"/>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图4-4 审计事件与节点状态持久化</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4.5 前端模块实现</w:t>
      </w:r>
    </w:p>
    <w:p>
      <w:pPr>
        <w:spacing w:before="0" w:after="0" w:line="400" w:lineRule="exact"/>
        <w:ind w:firstLine="480"/>
        <w:jc w:val="both"/>
      </w:pPr>
      <w:r>
        <w:rPr>
          <w:rFonts w:ascii="Times New Roman" w:hAnsi="Times New Roman" w:eastAsia="宋体" w:cs="Times New Roman"/>
          <w:b w:val="0"/>
          <w:sz w:val="24"/>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400" w:lineRule="exact"/>
        <w:ind w:firstLine="480"/>
        <w:jc w:val="both"/>
      </w:pPr>
      <w:r>
        <w:rPr>
          <w:rFonts w:ascii="Times New Roman" w:hAnsi="Times New Roman" w:eastAsia="宋体" w:cs="Times New Roman"/>
          <w:b w:val="0"/>
          <w:sz w:val="24"/>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keepNext/>
        <w:spacing w:before="0" w:after="0" w:line="400" w:lineRule="exact"/>
        <w:ind w:firstLine="480"/>
        <w:jc w:val="both"/>
      </w:pPr>
      <w:r>
        <w:rPr>
          <w:rFonts w:ascii="Times New Roman" w:hAnsi="Times New Roman" w:eastAsia="宋体" w:cs="Times New Roman"/>
          <w:b w:val="0"/>
          <w:sz w:val="24"/>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图4-5 前端模块结构</w:t>
      </w:r>
    </w:p>
    <w:p>
      <w:pPr>
        <w:spacing w:before="0" w:after="0" w:line="400" w:lineRule="exact"/>
        <w:ind w:firstLine="480"/>
        <w:jc w:val="both"/>
      </w:pPr>
      <w:r>
        <w:rPr>
          <w:rFonts w:ascii="Times New Roman" w:hAnsi="Times New Roman" w:eastAsia="宋体" w:cs="Times New Roman"/>
          <w:b w:val="0"/>
          <w:sz w:val="24"/>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400" w:lineRule="exact"/>
        <w:ind w:firstLine="480"/>
        <w:jc w:val="both"/>
      </w:pPr>
      <w:r>
        <w:rPr>
          <w:rFonts w:ascii="Times New Roman" w:hAnsi="Times New Roman" w:eastAsia="宋体" w:cs="Times New Roman"/>
          <w:b w:val="0"/>
          <w:sz w:val="24"/>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400" w:lineRule="exact"/>
        <w:ind w:firstLine="480"/>
        <w:jc w:val="both"/>
      </w:pPr>
      <w:r>
        <w:rPr>
          <w:rFonts w:ascii="Times New Roman" w:hAnsi="Times New Roman" w:eastAsia="宋体" w:cs="Times New Roman"/>
          <w:b w:val="0"/>
          <w:sz w:val="24"/>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400" w:lineRule="exact"/>
        <w:ind w:firstLine="480"/>
        <w:jc w:val="both"/>
      </w:pPr>
      <w:r>
        <w:rPr>
          <w:rFonts w:ascii="Times New Roman" w:hAnsi="Times New Roman" w:eastAsia="宋体" w:cs="Times New Roman"/>
          <w:b w:val="0"/>
          <w:sz w:val="24"/>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400" w:lineRule="exact"/>
        <w:ind w:firstLine="480"/>
        <w:jc w:val="both"/>
      </w:pPr>
      <w:r>
        <w:rPr>
          <w:rFonts w:ascii="Times New Roman" w:hAnsi="Times New Roman" w:eastAsia="宋体" w:cs="Times New Roman"/>
          <w:b w:val="0"/>
          <w:sz w:val="24"/>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400" w:lineRule="exact"/>
        <w:ind w:firstLine="480"/>
        <w:jc w:val="both"/>
      </w:pPr>
      <w:r>
        <w:rPr>
          <w:rFonts w:ascii="Times New Roman" w:hAnsi="Times New Roman" w:eastAsia="宋体" w:cs="Times New Roman"/>
          <w:b w:val="0"/>
          <w:sz w:val="24"/>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400" w:lineRule="exact"/>
        <w:ind w:firstLine="480"/>
        <w:jc w:val="both"/>
      </w:pPr>
      <w:r>
        <w:rPr>
          <w:rFonts w:ascii="Times New Roman" w:hAnsi="Times New Roman" w:eastAsia="宋体" w:cs="Times New Roman"/>
          <w:b w:val="0"/>
          <w:sz w:val="24"/>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400" w:lineRule="exact"/>
        <w:ind w:firstLine="480"/>
        <w:jc w:val="both"/>
      </w:pPr>
      <w:r>
        <w:rPr>
          <w:rFonts w:ascii="Times New Roman" w:hAnsi="Times New Roman" w:eastAsia="宋体" w:cs="Times New Roman"/>
          <w:b w:val="0"/>
          <w:sz w:val="24"/>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400" w:lineRule="exact"/>
        <w:ind w:firstLine="480"/>
        <w:jc w:val="both"/>
      </w:pPr>
      <w:r>
        <w:rPr>
          <w:rFonts w:ascii="Times New Roman" w:hAnsi="Times New Roman" w:eastAsia="宋体" w:cs="Times New Roman"/>
          <w:b w:val="0"/>
          <w:sz w:val="24"/>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400" w:lineRule="exact"/>
        <w:ind w:firstLine="480"/>
        <w:jc w:val="both"/>
      </w:pPr>
      <w:r>
        <w:rPr>
          <w:rFonts w:ascii="Times New Roman" w:hAnsi="Times New Roman" w:eastAsia="宋体" w:cs="Times New Roman"/>
          <w:b w:val="0"/>
          <w:sz w:val="24"/>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第五章 测试与运行效果分析</w:t>
      </w:r>
    </w:p>
    <w:p>
      <w:pPr>
        <w:spacing w:before="0" w:after="0" w:line="400" w:lineRule="exact"/>
        <w:ind w:firstLine="480"/>
        <w:jc w:val="both"/>
      </w:pPr>
      <w:r>
        <w:rPr>
          <w:rFonts w:ascii="Times New Roman" w:hAnsi="Times New Roman" w:eastAsia="宋体" w:cs="Times New Roman"/>
          <w:b w:val="0"/>
          <w:sz w:val="24"/>
        </w:rPr>
        <w:t>本章基于 Mock 体检数据、核心接口测试、端到端运行链路和真实演示截图说明系统运行效果，并对当前版本的完成度、可展示内容和后续完善方向进行分析。</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5.1 Mock 体检数据构造</w:t>
      </w:r>
    </w:p>
    <w:p>
      <w:pPr>
        <w:keepNext w:val="0"/>
        <w:keepLines/>
        <w:spacing w:before="80" w:after="160" w:line="300" w:lineRule="exact"/>
        <w:ind w:firstLine="0"/>
        <w:jc w:val="center"/>
      </w:pPr>
      <w:r>
        <w:rPr>
          <w:rFonts w:ascii="Times New Roman" w:hAnsi="Times New Roman" w:eastAsia="宋体" w:cs="Times New Roman"/>
          <w:b/>
          <w:sz w:val="18"/>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rPr>
          <w:tblHeader w:val="true"/>
        </w:trPr>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项目</w:t>
            </w:r>
          </w:p>
        </w:tc>
        <w:tc>
          <w:tcPr>
            <w:tcW w:type="dxa" w:w="2929"/>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数量/分布</w:t>
            </w:r>
          </w:p>
        </w:tc>
        <w:tc>
          <w:tcPr>
            <w:tcW w:type="dxa" w:w="2929"/>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来源说明</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演示账号</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admin@qq.com / 123123123</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来自 scripts/seed_admin_mock_data.py</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文档总数</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25</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20 份体检类单据，5 份报告型单据</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结构化指标</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85</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写入 measurements，用于指标查询和审计</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文档类型</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体检、检验、影像、病历摘要、报告型文档</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覆盖文档库、RAG 和综合审计演示</w:t>
            </w:r>
          </w:p>
        </w:tc>
      </w:tr>
      <w:tr>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知识块</w:t>
            </w:r>
          </w:p>
        </w:tc>
        <w:tc>
          <w:tcPr>
            <w:tcW w:type="dxa" w:w="2929"/>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17</w:t>
            </w:r>
          </w:p>
        </w:tc>
        <w:tc>
          <w:tcPr>
            <w:tcW w:type="dxa" w:w="2929"/>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9 条默沙东医学手册摘要知识块，来自 scripts/seed_msd_manual_rag.py</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keepNext/>
        <w:spacing w:before="0" w:after="0" w:line="400" w:lineRule="exact"/>
        <w:ind w:firstLine="480"/>
        <w:jc w:val="both"/>
      </w:pPr>
      <w:r>
        <w:rPr>
          <w:rFonts w:ascii="Times New Roman" w:hAnsi="Times New Roman" w:eastAsia="宋体" w:cs="Times New Roman"/>
          <w:b w:val="0"/>
          <w:sz w:val="24"/>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图5-1 Mock 体检数据分布</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5.2 接口与端到端测试</w:t>
      </w:r>
    </w:p>
    <w:p>
      <w:pPr>
        <w:keepNext w:val="0"/>
        <w:keepLines/>
        <w:spacing w:before="80" w:after="160" w:line="300" w:lineRule="exact"/>
        <w:ind w:firstLine="0"/>
        <w:jc w:val="center"/>
      </w:pPr>
      <w:r>
        <w:rPr>
          <w:rFonts w:ascii="Times New Roman" w:hAnsi="Times New Roman" w:eastAsia="宋体" w:cs="Times New Roman"/>
          <w:b/>
          <w:sz w:val="18"/>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rPr>
          <w:tblHeader w:val="true"/>
        </w:trPr>
        <w:tc>
          <w:tcPr>
            <w:tcW w:type="dxa" w:w="1758"/>
            <w:vAlign w:val="center"/>
            <w:shd w:fill="FFFFFF"/>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b/>
                <w:sz w:val="21"/>
              </w:rPr>
            </w:r>
            <w:r>
              <w:rPr>
                <w:rFonts w:ascii="Times New Roman" w:hAnsi="Times New Roman" w:eastAsia="宋体" w:cs="Times New Roman"/>
                <w:b/>
                <w:sz w:val="21"/>
              </w:rPr>
              <w:t>编号</w:t>
            </w:r>
          </w:p>
        </w:tc>
        <w:tc>
          <w:tcPr>
            <w:tcW w:type="dxa" w:w="1758"/>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功能</w:t>
            </w:r>
          </w:p>
        </w:tc>
        <w:tc>
          <w:tcPr>
            <w:tcW w:type="dxa" w:w="1758"/>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接口/对象</w:t>
            </w:r>
          </w:p>
        </w:tc>
        <w:tc>
          <w:tcPr>
            <w:tcW w:type="dxa" w:w="1758"/>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预期结果</w:t>
            </w:r>
          </w:p>
        </w:tc>
        <w:tc>
          <w:tcPr>
            <w:tcW w:type="dxa" w:w="1758"/>
            <w:vAlign w:val="center"/>
            <w:shd w:fill="FFFFFF"/>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b/>
                <w:sz w:val="21"/>
              </w:rPr>
            </w:r>
            <w:r>
              <w:rPr>
                <w:rFonts w:ascii="Times New Roman" w:hAnsi="Times New Roman" w:eastAsia="宋体" w:cs="Times New Roman"/>
                <w:b/>
                <w:sz w:val="21"/>
              </w:rPr>
              <w:t>结果</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T01</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用户登录</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/auth/login</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 access_token</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T02</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文件上传</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/files/upload</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创建 records 和 record_files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T03</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OCR 抽取</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/ocr/files/{id}/extract</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创建 ocr_results 和任务事件</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T04</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标准化入库</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/ingestion/ocr-results/{id}/normalize</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创建文档、版本和指标</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T05</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文档查询</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/documents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返回用户文档列表</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T06</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指标搜索</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/measurements/search</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返回匹配指标</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T07</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任务状态监控</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/tasks/provider-events/summary</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 OCR 与标准化 Provider 调用概览</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T08</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知识库检索</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/knowledge/search</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返回知识块命中和来源</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T09</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综合审计创建</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/audit-reports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创建 audit_report_runs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T10</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综合审计执行</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POST /audit-reports/{run_id}/execute</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产生事件、节点状态和最终报告</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T11</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事件轮询</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/audit-reports/{run_id}/events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返回边和节点执行事件</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r>
        <w:tc>
          <w:tcPr>
            <w:tcW w:type="dxa" w:w="1758"/>
            <w:vAlign w:val="center"/>
            <w:tcMar>
              <w:top w:w="90" w:type="dxa"/>
              <w:start w:w="120" w:type="dxa"/>
              <w:bottom w:w="90" w:type="dxa"/>
              <w:end w:w="120" w:type="dxa"/>
            </w:tcMar>
          </w:tcPr>
          <w:p>
            <w:pPr>
              <w:spacing w:before="0" w:after="0" w:line="320" w:lineRule="exact"/>
              <w:ind w:firstLine="0"/>
              <w:jc w:val="center"/>
            </w:pPr>
            <w:r>
              <w:rPr>
                <w:rFonts w:eastAsia="宋体" w:ascii="Times New Roman" w:hAnsi="Times New Roman" w:cs="Times New Roman"/>
                <w:sz w:val="21"/>
              </w:rPr>
            </w:r>
            <w:r>
              <w:rPr>
                <w:rFonts w:ascii="Times New Roman" w:hAnsi="Times New Roman" w:eastAsia="宋体" w:cs="Times New Roman"/>
                <w:b w:val="0"/>
                <w:sz w:val="21"/>
              </w:rPr>
              <w:t>T12</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节点轮询</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GET /audit-reports/{run_id}/nodes</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返回节点状态和 visit_count</w:t>
            </w:r>
          </w:p>
        </w:tc>
        <w:tc>
          <w:tcPr>
            <w:tcW w:type="dxa" w:w="1758"/>
            <w:vAlign w:val="center"/>
            <w:tcMar>
              <w:top w:w="90" w:type="dxa"/>
              <w:start w:w="120" w:type="dxa"/>
              <w:bottom w:w="90" w:type="dxa"/>
              <w:end w:w="120" w:type="dxa"/>
            </w:tcMar>
          </w:tcPr>
          <w:p>
            <w:pPr>
              <w:spacing w:before="0" w:after="0" w:line="320" w:lineRule="exact"/>
              <w:ind w:firstLine="0"/>
              <w:jc w:val="left"/>
            </w:pPr>
            <w:r>
              <w:rPr>
                <w:rFonts w:eastAsia="宋体" w:ascii="Times New Roman" w:hAnsi="Times New Roman" w:cs="Times New Roman"/>
                <w:sz w:val="21"/>
              </w:rPr>
            </w:r>
            <w:r>
              <w:rPr>
                <w:rFonts w:ascii="Times New Roman" w:hAnsi="Times New Roman" w:eastAsia="宋体" w:cs="Times New Roman"/>
                <w:b w:val="0"/>
                <w:sz w:val="21"/>
              </w:rPr>
              <w:t>通过</w:t>
            </w:r>
          </w:p>
        </w:tc>
      </w:tr>
    </w:tbl>
    <w:p>
      <w:pPr>
        <w:spacing w:before="0" w:after="0" w:line="160" w:lineRule="exact"/>
        <w:ind w:firstLine="0"/>
        <w:jc w:val="both"/>
      </w:pPr>
    </w:p>
    <w:p>
      <w:pPr>
        <w:spacing w:before="0" w:after="0" w:line="400" w:lineRule="exact"/>
        <w:ind w:firstLine="480"/>
        <w:jc w:val="both"/>
      </w:pPr>
      <w:r>
        <w:rPr>
          <w:rFonts w:ascii="Times New Roman" w:hAnsi="Times New Roman" w:eastAsia="宋体" w:cs="Times New Roman"/>
          <w:b w:val="0"/>
          <w:sz w:val="24"/>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400" w:lineRule="exact"/>
        <w:ind w:firstLine="480"/>
        <w:jc w:val="both"/>
      </w:pPr>
      <w:r>
        <w:rPr>
          <w:rFonts w:ascii="Times New Roman" w:hAnsi="Times New Roman" w:eastAsia="宋体" w:cs="Times New Roman"/>
          <w:b w:val="0"/>
          <w:sz w:val="24"/>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keepNext/>
        <w:spacing w:before="0" w:after="0" w:line="400" w:lineRule="exact"/>
        <w:ind w:firstLine="480"/>
        <w:jc w:val="both"/>
      </w:pPr>
      <w:r>
        <w:rPr>
          <w:rFonts w:ascii="Times New Roman" w:hAnsi="Times New Roman" w:eastAsia="宋体" w:cs="Times New Roman"/>
          <w:b w:val="0"/>
          <w:sz w:val="24"/>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图5-2 端到端测试链路</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5.3 真实演示运行截图</w:t>
      </w:r>
    </w:p>
    <w:p>
      <w:pPr>
        <w:keepNext/>
        <w:spacing w:before="0" w:after="0" w:line="400" w:lineRule="exact"/>
        <w:ind w:firstLine="480"/>
        <w:jc w:val="both"/>
      </w:pPr>
      <w:r>
        <w:rPr>
          <w:rFonts w:ascii="Times New Roman" w:hAnsi="Times New Roman" w:eastAsia="宋体" w:cs="Times New Roman"/>
          <w:b w:val="0"/>
          <w:sz w:val="24"/>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图5-3 系统工作台与功能模块</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图5-4 任务队列与 OCR/标准化状态监控</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图5-5 文档库中的标准化文档</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图5-6 RAG 知识库检索与来源展示</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keepNext/>
        <w:keepLines/>
        <w:spacing w:before="80" w:after="160" w:line="300" w:lineRule="exact"/>
        <w:ind w:firstLine="0"/>
        <w:jc w:val="center"/>
      </w:pPr>
      <w:r>
        <w:rPr>
          <w:rFonts w:ascii="Times New Roman" w:hAnsi="Times New Roman" w:eastAsia="宋体" w:cs="Times New Roman"/>
          <w:b/>
          <w:sz w:val="18"/>
        </w:rPr>
        <w:t>图5-7 综合审计报告 LangGraph 运行结果</w:t>
      </w:r>
    </w:p>
    <w:p>
      <w:pPr>
        <w:keepNext/>
        <w:keepLines/>
        <w:pageBreakBefore w:val="0"/>
        <w:spacing w:line="240" w:lineRule="auto" w:before="0" w:after="0"/>
        <w:ind/>
        <w:jc w:val="center"/>
      </w:pPr>
      <w:r>
        <w:rPr>
          <w:rFonts w:eastAsia="宋体" w:ascii="Times New Roman" w:hAnsi="Times New Roman" w:cs="Times New Roman"/>
          <w:b w:val="0"/>
          <w:sz w:val="24"/>
        </w:rP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keepNext w:val="0"/>
        <w:keepLines/>
        <w:spacing w:before="80" w:after="160" w:line="300" w:lineRule="exact"/>
        <w:ind w:firstLine="0"/>
        <w:jc w:val="center"/>
      </w:pPr>
      <w:r>
        <w:rPr>
          <w:rFonts w:ascii="Times New Roman" w:hAnsi="Times New Roman" w:eastAsia="宋体" w:cs="Times New Roman"/>
          <w:b/>
          <w:sz w:val="18"/>
        </w:rPr>
        <w:t>图5-8 综合审计报告正文与 RAG 来源证据</w:t>
      </w:r>
    </w:p>
    <w:p>
      <w:pPr>
        <w:pStyle w:val="Heading2"/>
        <w:keepNext/>
        <w:pageBreakBefore w:val="0"/>
        <w:spacing w:before="160" w:after="120" w:line="400" w:lineRule="exact"/>
        <w:ind w:firstLine="0"/>
        <w:jc w:val="left"/>
      </w:pPr>
      <w:r>
        <w:rPr>
          <w:rFonts w:ascii="Times New Roman" w:hAnsi="Times New Roman" w:eastAsia="黑体" w:cs="Times New Roman"/>
          <w:b/>
          <w:color w:val="000000"/>
          <w:sz w:val="28"/>
        </w:rPr>
        <w:t>5.4 运行效果与不足分析</w:t>
      </w:r>
    </w:p>
    <w:p>
      <w:pPr>
        <w:spacing w:before="0" w:after="0" w:line="400" w:lineRule="exact"/>
        <w:ind w:firstLine="480"/>
        <w:jc w:val="both"/>
      </w:pPr>
      <w:r>
        <w:rPr>
          <w:rFonts w:ascii="Times New Roman" w:hAnsi="Times New Roman" w:eastAsia="宋体" w:cs="Times New Roman"/>
          <w:b w:val="0"/>
          <w:sz w:val="24"/>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400" w:lineRule="exact"/>
        <w:ind w:firstLine="480"/>
        <w:jc w:val="both"/>
      </w:pPr>
      <w:r>
        <w:rPr>
          <w:rFonts w:ascii="Times New Roman" w:hAnsi="Times New Roman" w:eastAsia="宋体" w:cs="Times New Roman"/>
          <w:b w:val="0"/>
          <w:sz w:val="24"/>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400" w:lineRule="exact"/>
        <w:ind w:firstLine="480"/>
        <w:jc w:val="both"/>
      </w:pPr>
      <w:r>
        <w:rPr>
          <w:rFonts w:ascii="Times New Roman" w:hAnsi="Times New Roman" w:eastAsia="宋体" w:cs="Times New Roman"/>
          <w:b w:val="0"/>
          <w:sz w:val="24"/>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400" w:lineRule="exact"/>
        <w:ind w:firstLine="480"/>
        <w:jc w:val="both"/>
      </w:pPr>
      <w:r>
        <w:rPr>
          <w:rFonts w:ascii="Times New Roman" w:hAnsi="Times New Roman" w:eastAsia="宋体" w:cs="Times New Roman"/>
          <w:b w:val="0"/>
          <w:sz w:val="24"/>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400" w:lineRule="exact"/>
        <w:ind w:firstLine="480"/>
        <w:jc w:val="both"/>
      </w:pPr>
      <w:r>
        <w:rPr>
          <w:rFonts w:ascii="Times New Roman" w:hAnsi="Times New Roman" w:eastAsia="宋体" w:cs="Times New Roman"/>
          <w:b w:val="0"/>
          <w:sz w:val="24"/>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400" w:lineRule="exact"/>
        <w:ind w:firstLine="480"/>
        <w:jc w:val="both"/>
      </w:pPr>
      <w:r>
        <w:rPr>
          <w:rFonts w:ascii="Times New Roman" w:hAnsi="Times New Roman" w:eastAsia="宋体" w:cs="Times New Roman"/>
          <w:b w:val="0"/>
          <w:sz w:val="24"/>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400" w:lineRule="exact"/>
        <w:ind w:firstLine="480"/>
        <w:jc w:val="both"/>
      </w:pPr>
      <w:r>
        <w:rPr>
          <w:rFonts w:ascii="Times New Roman" w:hAnsi="Times New Roman" w:eastAsia="宋体" w:cs="Times New Roman"/>
          <w:b w:val="0"/>
          <w:sz w:val="24"/>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结束语</w:t>
      </w:r>
    </w:p>
    <w:p>
      <w:pPr>
        <w:spacing w:before="0" w:after="0" w:line="400" w:lineRule="exact"/>
        <w:ind w:firstLine="480"/>
        <w:jc w:val="both"/>
      </w:pPr>
      <w:r>
        <w:rPr>
          <w:rFonts w:ascii="Times New Roman" w:hAnsi="Times New Roman" w:eastAsia="宋体" w:cs="Times New Roman"/>
          <w:b w:val="0"/>
          <w:sz w:val="24"/>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400" w:lineRule="exact"/>
        <w:ind w:firstLine="480"/>
        <w:jc w:val="both"/>
      </w:pPr>
      <w:r>
        <w:rPr>
          <w:rFonts w:ascii="Times New Roman" w:hAnsi="Times New Roman" w:eastAsia="宋体" w:cs="Times New Roman"/>
          <w:b w:val="0"/>
          <w:sz w:val="24"/>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400" w:lineRule="exact"/>
        <w:ind w:firstLine="480"/>
        <w:jc w:val="both"/>
      </w:pPr>
      <w:r>
        <w:rPr>
          <w:rFonts w:ascii="Times New Roman" w:hAnsi="Times New Roman" w:eastAsia="宋体" w:cs="Times New Roman"/>
          <w:b w:val="0"/>
          <w:sz w:val="24"/>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pPr>
        <w:spacing w:before="0" w:after="0" w:line="160" w:lineRule="exact"/>
        <w:ind w:firstLine="0"/>
        <w:jc w:val="both"/>
      </w:pPr>
      <w:r>
        <w:rPr>
          <w:rFonts w:eastAsia="宋体" w:ascii="Times New Roman" w:hAnsi="Times New Roman" w:cs="Times New Roman"/>
          <w:b w:val="0"/>
          <w:sz w:val="24"/>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参考文献</w:t>
      </w:r>
    </w:p>
    <w:p>
      <w:pPr>
        <w:spacing w:before="0" w:after="60" w:line="360" w:lineRule="exact"/>
        <w:ind w:firstLine="0" w:left="0"/>
        <w:jc w:val="both"/>
      </w:pPr>
      <w:r>
        <w:rPr>
          <w:rFonts w:ascii="Times New Roman" w:hAnsi="Times New Roman" w:eastAsia="宋体" w:cs="Times New Roman"/>
          <w:b w:val="0"/>
          <w:sz w:val="21"/>
        </w:rPr>
        <w:t>[</w:t>
      </w:r>
      <w:bookmarkStart w:id="1001" w:name="ref_001"/>
      <w:r>
        <w:rPr>
          <w:rFonts w:ascii="Times New Roman" w:hAnsi="Times New Roman" w:eastAsia="宋体" w:cs="Times New Roman"/>
          <w:b w:val="0"/>
          <w:sz w:val="21"/>
        </w:rPr>
        <w:t>1</w:t>
      </w:r>
      <w:bookmarkEnd w:id="1001"/>
      <w:r>
        <w:rPr>
          <w:rFonts w:ascii="Times New Roman" w:hAnsi="Times New Roman" w:eastAsia="宋体" w:cs="Times New Roman"/>
          <w:b w:val="0"/>
          <w:sz w:val="21"/>
        </w:rPr>
        <w:t>] 国家卫生健康委员会规划与信息司. 全国医院信息化建设标准与规范（试行）[S/OL]. 2018[2026-05-07]. https://www.nhc.gov.cn/ewebeditor/uploadfile/2018/04/20180413162542120.pdf.</w:t>
      </w:r>
    </w:p>
    <w:p>
      <w:pPr>
        <w:spacing w:before="0" w:after="60" w:line="360" w:lineRule="exact"/>
        <w:ind w:firstLine="0" w:left="0"/>
        <w:jc w:val="both"/>
      </w:pPr>
      <w:r>
        <w:rPr>
          <w:rFonts w:ascii="Times New Roman" w:hAnsi="Times New Roman" w:eastAsia="宋体" w:cs="Times New Roman"/>
          <w:b w:val="0"/>
          <w:sz w:val="21"/>
        </w:rPr>
        <w:t>[</w:t>
      </w:r>
      <w:bookmarkStart w:id="1002" w:name="ref_002"/>
      <w:r>
        <w:rPr>
          <w:rFonts w:ascii="Times New Roman" w:hAnsi="Times New Roman" w:eastAsia="宋体" w:cs="Times New Roman"/>
          <w:b w:val="0"/>
          <w:sz w:val="21"/>
        </w:rPr>
        <w:t>2</w:t>
      </w:r>
      <w:bookmarkEnd w:id="1002"/>
      <w:r>
        <w:rPr>
          <w:rFonts w:ascii="Times New Roman" w:hAnsi="Times New Roman" w:eastAsia="宋体" w:cs="Times New Roman"/>
          <w:b w:val="0"/>
          <w:sz w:val="21"/>
        </w:rPr>
        <w:t>]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60" w:line="360" w:lineRule="exact"/>
        <w:ind w:firstLine="0" w:left="0"/>
        <w:jc w:val="both"/>
      </w:pPr>
      <w:r>
        <w:rPr>
          <w:rFonts w:ascii="Times New Roman" w:hAnsi="Times New Roman" w:eastAsia="宋体" w:cs="Times New Roman"/>
          <w:b w:val="0"/>
          <w:sz w:val="21"/>
        </w:rPr>
        <w:t>[</w:t>
      </w:r>
      <w:bookmarkStart w:id="1003" w:name="ref_003"/>
      <w:r>
        <w:rPr>
          <w:rFonts w:ascii="Times New Roman" w:hAnsi="Times New Roman" w:eastAsia="宋体" w:cs="Times New Roman"/>
          <w:b w:val="0"/>
          <w:sz w:val="21"/>
        </w:rPr>
        <w:t>3</w:t>
      </w:r>
      <w:bookmarkEnd w:id="1003"/>
      <w:r>
        <w:rPr>
          <w:rFonts w:ascii="Times New Roman" w:hAnsi="Times New Roman" w:eastAsia="宋体" w:cs="Times New Roman"/>
          <w:b w:val="0"/>
          <w:sz w:val="21"/>
        </w:rPr>
        <w:t>] 国家市场监督管理总局, 国家标准化管理委员会. 信息安全技术 个人信息安全规范: GB/T 35273-2020[S]. 北京: 中国标准出版社, 2020.</w:t>
      </w:r>
    </w:p>
    <w:p>
      <w:pPr>
        <w:spacing w:before="0" w:after="60" w:line="360" w:lineRule="exact"/>
        <w:ind w:firstLine="0" w:left="0"/>
        <w:jc w:val="both"/>
      </w:pPr>
      <w:r>
        <w:rPr>
          <w:rFonts w:ascii="Times New Roman" w:hAnsi="Times New Roman" w:eastAsia="宋体" w:cs="Times New Roman"/>
          <w:b w:val="0"/>
          <w:sz w:val="21"/>
        </w:rPr>
        <w:t>[</w:t>
      </w:r>
      <w:bookmarkStart w:id="1004" w:name="ref_004"/>
      <w:r>
        <w:rPr>
          <w:rFonts w:ascii="Times New Roman" w:hAnsi="Times New Roman" w:eastAsia="宋体" w:cs="Times New Roman"/>
          <w:b w:val="0"/>
          <w:sz w:val="21"/>
        </w:rPr>
        <w:t>4</w:t>
      </w:r>
      <w:bookmarkEnd w:id="1004"/>
      <w:r>
        <w:rPr>
          <w:rFonts w:ascii="Times New Roman" w:hAnsi="Times New Roman" w:eastAsia="宋体" w:cs="Times New Roman"/>
          <w:b w:val="0"/>
          <w:sz w:val="21"/>
        </w:rPr>
        <w:t>] 吴宗友, 白昆龙, 杨林蕊, 等. 电子病历文本挖掘研究综述[J]. 计算机研究与发展, 2021,58(3):513-527.</w:t>
      </w:r>
    </w:p>
    <w:p>
      <w:pPr>
        <w:spacing w:before="0" w:after="60" w:line="360" w:lineRule="exact"/>
        <w:ind w:firstLine="0" w:left="0"/>
        <w:jc w:val="both"/>
      </w:pPr>
      <w:r>
        <w:rPr>
          <w:rFonts w:ascii="Times New Roman" w:hAnsi="Times New Roman" w:eastAsia="宋体" w:cs="Times New Roman"/>
          <w:b w:val="0"/>
          <w:sz w:val="21"/>
        </w:rPr>
        <w:t>[</w:t>
      </w:r>
      <w:bookmarkStart w:id="1005" w:name="ref_005"/>
      <w:r>
        <w:rPr>
          <w:rFonts w:ascii="Times New Roman" w:hAnsi="Times New Roman" w:eastAsia="宋体" w:cs="Times New Roman"/>
          <w:b w:val="0"/>
          <w:sz w:val="21"/>
        </w:rPr>
        <w:t>5</w:t>
      </w:r>
      <w:bookmarkEnd w:id="1005"/>
      <w:r>
        <w:rPr>
          <w:rFonts w:ascii="Times New Roman" w:hAnsi="Times New Roman" w:eastAsia="宋体" w:cs="Times New Roman"/>
          <w:b w:val="0"/>
          <w:sz w:val="21"/>
        </w:rPr>
        <w:t>] 杜晋华, 尹浩, 冯嵩. 中文电子病历命名实体识别的研究与进展[J]. 电子学报, 2022,50(12):3030-3053.</w:t>
      </w:r>
    </w:p>
    <w:p>
      <w:pPr>
        <w:spacing w:before="0" w:after="60" w:line="360" w:lineRule="exact"/>
        <w:ind w:firstLine="0" w:left="0"/>
        <w:jc w:val="both"/>
      </w:pPr>
      <w:r>
        <w:rPr>
          <w:rFonts w:ascii="Times New Roman" w:hAnsi="Times New Roman" w:eastAsia="宋体" w:cs="Times New Roman"/>
          <w:b w:val="0"/>
          <w:sz w:val="21"/>
        </w:rPr>
        <w:t>[</w:t>
      </w:r>
      <w:bookmarkStart w:id="1006" w:name="ref_006"/>
      <w:r>
        <w:rPr>
          <w:rFonts w:ascii="Times New Roman" w:hAnsi="Times New Roman" w:eastAsia="宋体" w:cs="Times New Roman"/>
          <w:b w:val="0"/>
          <w:sz w:val="21"/>
        </w:rPr>
        <w:t>6</w:t>
      </w:r>
      <w:bookmarkEnd w:id="1006"/>
      <w:r>
        <w:rPr>
          <w:rFonts w:ascii="Times New Roman" w:hAnsi="Times New Roman" w:eastAsia="宋体" w:cs="Times New Roman"/>
          <w:b w:val="0"/>
          <w:sz w:val="21"/>
        </w:rPr>
        <w:t>] 韩普, 刘亦卓, 李晓艳. 基于深度学习和多特征融合的中文电子病历实体识别研究[J]. 南京大学学报(自然科学), 2019,55(6):942-951.</w:t>
      </w:r>
    </w:p>
    <w:p>
      <w:pPr>
        <w:spacing w:before="0" w:after="60" w:line="360" w:lineRule="exact"/>
        <w:ind w:firstLine="0" w:left="0"/>
        <w:jc w:val="both"/>
      </w:pPr>
      <w:r>
        <w:rPr>
          <w:rFonts w:ascii="Times New Roman" w:hAnsi="Times New Roman" w:eastAsia="宋体" w:cs="Times New Roman"/>
          <w:b w:val="0"/>
          <w:sz w:val="21"/>
        </w:rPr>
        <w:t>[</w:t>
      </w:r>
      <w:bookmarkStart w:id="1007" w:name="ref_007"/>
      <w:r>
        <w:rPr>
          <w:rFonts w:ascii="Times New Roman" w:hAnsi="Times New Roman" w:eastAsia="宋体" w:cs="Times New Roman"/>
          <w:b w:val="0"/>
          <w:sz w:val="21"/>
        </w:rPr>
        <w:t>7</w:t>
      </w:r>
      <w:bookmarkEnd w:id="1007"/>
      <w:r>
        <w:rPr>
          <w:rFonts w:ascii="Times New Roman" w:hAnsi="Times New Roman" w:eastAsia="宋体" w:cs="Times New Roman"/>
          <w:b w:val="0"/>
          <w:sz w:val="21"/>
        </w:rPr>
        <w:t>] 崔少国, 陈俊桦, 李晓虹. 融合语义及边界信息的中文电子病历命名实体识别[J]. 电子科技大学学报, 2022,51(4):565-571.</w:t>
      </w:r>
    </w:p>
    <w:p>
      <w:pPr>
        <w:spacing w:before="0" w:after="60" w:line="360" w:lineRule="exact"/>
        <w:ind w:firstLine="0" w:left="0"/>
        <w:jc w:val="both"/>
      </w:pPr>
      <w:r>
        <w:rPr>
          <w:rFonts w:ascii="Times New Roman" w:hAnsi="Times New Roman" w:eastAsia="宋体" w:cs="Times New Roman"/>
          <w:b w:val="0"/>
          <w:sz w:val="21"/>
        </w:rPr>
        <w:t>[</w:t>
      </w:r>
      <w:bookmarkStart w:id="1008" w:name="ref_008"/>
      <w:r>
        <w:rPr>
          <w:rFonts w:ascii="Times New Roman" w:hAnsi="Times New Roman" w:eastAsia="宋体" w:cs="Times New Roman"/>
          <w:b w:val="0"/>
          <w:sz w:val="21"/>
        </w:rPr>
        <w:t>8</w:t>
      </w:r>
      <w:bookmarkEnd w:id="1008"/>
      <w:r>
        <w:rPr>
          <w:rFonts w:ascii="Times New Roman" w:hAnsi="Times New Roman" w:eastAsia="宋体" w:cs="Times New Roman"/>
          <w:b w:val="0"/>
          <w:sz w:val="21"/>
        </w:rPr>
        <w:t>] 盖彦蓉, 张云秋, 张慧, 等. 面向知识抽取的真实世界中文电子病历数据质量分析与治理对策研究[J]. 医学信息学杂志, 2025,46(12):47-53.</w:t>
      </w:r>
    </w:p>
    <w:p>
      <w:pPr>
        <w:spacing w:before="0" w:after="60" w:line="360" w:lineRule="exact"/>
        <w:ind w:firstLine="0" w:left="0"/>
        <w:jc w:val="both"/>
      </w:pPr>
      <w:r>
        <w:rPr>
          <w:rFonts w:ascii="Times New Roman" w:hAnsi="Times New Roman" w:eastAsia="宋体" w:cs="Times New Roman"/>
          <w:b w:val="0"/>
          <w:sz w:val="21"/>
        </w:rPr>
        <w:t>[</w:t>
      </w:r>
      <w:bookmarkStart w:id="1009" w:name="ref_009"/>
      <w:r>
        <w:rPr>
          <w:rFonts w:ascii="Times New Roman" w:hAnsi="Times New Roman" w:eastAsia="宋体" w:cs="Times New Roman"/>
          <w:b w:val="0"/>
          <w:sz w:val="21"/>
        </w:rPr>
        <w:t>9</w:t>
      </w:r>
      <w:bookmarkEnd w:id="1009"/>
      <w:r>
        <w:rPr>
          <w:rFonts w:ascii="Times New Roman" w:hAnsi="Times New Roman" w:eastAsia="宋体" w:cs="Times New Roman"/>
          <w:b w:val="0"/>
          <w:sz w:val="21"/>
        </w:rPr>
        <w:t>] 肖仰华, 徐一丹. 大规模生成式语言模型在医疗领域的应用: 机遇与挑战[J]. 医学信息学杂志, 2023,44(9):1-11.</w:t>
      </w:r>
    </w:p>
    <w:p>
      <w:pPr>
        <w:spacing w:before="0" w:after="60" w:line="360" w:lineRule="exact"/>
        <w:ind w:firstLine="0" w:left="0"/>
        <w:jc w:val="both"/>
      </w:pPr>
      <w:r>
        <w:rPr>
          <w:rFonts w:ascii="Times New Roman" w:hAnsi="Times New Roman" w:eastAsia="宋体" w:cs="Times New Roman"/>
          <w:b w:val="0"/>
          <w:sz w:val="21"/>
        </w:rPr>
        <w:t>[</w:t>
      </w:r>
      <w:bookmarkStart w:id="1010" w:name="ref_010"/>
      <w:r>
        <w:rPr>
          <w:rFonts w:ascii="Times New Roman" w:hAnsi="Times New Roman" w:eastAsia="宋体" w:cs="Times New Roman"/>
          <w:b w:val="0"/>
          <w:sz w:val="21"/>
        </w:rPr>
        <w:t>10</w:t>
      </w:r>
      <w:bookmarkEnd w:id="1010"/>
      <w:r>
        <w:rPr>
          <w:rFonts w:ascii="Times New Roman" w:hAnsi="Times New Roman" w:eastAsia="宋体" w:cs="Times New Roman"/>
          <w:b w:val="0"/>
          <w:sz w:val="21"/>
        </w:rPr>
        <w:t>] 康砚澜, 郭倩宇, 张文强, 等. 基于知识增强的医学语言模型: 现状、技术与应用[J]. 医学信息学杂志, 2023,44(9):12-22.</w:t>
      </w:r>
    </w:p>
    <w:p>
      <w:pPr>
        <w:spacing w:before="0" w:after="60" w:line="360" w:lineRule="exact"/>
        <w:ind w:firstLine="0" w:left="0"/>
        <w:jc w:val="both"/>
      </w:pPr>
      <w:r>
        <w:rPr>
          <w:rFonts w:ascii="Times New Roman" w:hAnsi="Times New Roman" w:eastAsia="宋体" w:cs="Times New Roman"/>
          <w:b w:val="0"/>
          <w:sz w:val="21"/>
        </w:rPr>
        <w:t>[</w:t>
      </w:r>
      <w:bookmarkStart w:id="1011" w:name="ref_011"/>
      <w:r>
        <w:rPr>
          <w:rFonts w:ascii="Times New Roman" w:hAnsi="Times New Roman" w:eastAsia="宋体" w:cs="Times New Roman"/>
          <w:b w:val="0"/>
          <w:sz w:val="21"/>
        </w:rPr>
        <w:t>11</w:t>
      </w:r>
      <w:bookmarkEnd w:id="1011"/>
      <w:r>
        <w:rPr>
          <w:rFonts w:ascii="Times New Roman" w:hAnsi="Times New Roman" w:eastAsia="宋体" w:cs="Times New Roman"/>
          <w:b w:val="0"/>
          <w:sz w:val="21"/>
        </w:rPr>
        <w:t>] 颜见智, 何雨鑫, 骆子烨, 等. 生成式大语言模型在医疗领域的潜在典型应用与面临的挑战[J]. 医学信息学杂志, 2023,44(9):23-31.</w:t>
      </w:r>
    </w:p>
    <w:p>
      <w:pPr>
        <w:spacing w:before="0" w:after="60" w:line="360" w:lineRule="exact"/>
        <w:ind w:firstLine="0" w:left="0"/>
        <w:jc w:val="both"/>
      </w:pPr>
      <w:r>
        <w:rPr>
          <w:rFonts w:ascii="Times New Roman" w:hAnsi="Times New Roman" w:eastAsia="宋体" w:cs="Times New Roman"/>
          <w:b w:val="0"/>
          <w:sz w:val="21"/>
        </w:rPr>
        <w:t>[</w:t>
      </w:r>
      <w:bookmarkStart w:id="1012" w:name="ref_012"/>
      <w:r>
        <w:rPr>
          <w:rFonts w:ascii="Times New Roman" w:hAnsi="Times New Roman" w:eastAsia="宋体" w:cs="Times New Roman"/>
          <w:b w:val="0"/>
          <w:sz w:val="21"/>
        </w:rPr>
        <w:t>12</w:t>
      </w:r>
      <w:bookmarkEnd w:id="1012"/>
      <w:r>
        <w:rPr>
          <w:rFonts w:ascii="Times New Roman" w:hAnsi="Times New Roman" w:eastAsia="宋体" w:cs="Times New Roman"/>
          <w:b w:val="0"/>
          <w:sz w:val="21"/>
        </w:rPr>
        <w:t>] 陈晓红, 刘浏, 袁依格, 等. 医疗大模型技术及应用发展研究[J]. 中国工程科学, 2024,26(6):77-88.</w:t>
      </w:r>
    </w:p>
    <w:p>
      <w:pPr>
        <w:spacing w:before="0" w:after="60" w:line="360" w:lineRule="exact"/>
        <w:ind w:firstLine="0" w:left="0"/>
        <w:jc w:val="both"/>
      </w:pPr>
      <w:r>
        <w:rPr>
          <w:rFonts w:ascii="Times New Roman" w:hAnsi="Times New Roman" w:eastAsia="宋体" w:cs="Times New Roman"/>
          <w:b w:val="0"/>
          <w:sz w:val="21"/>
        </w:rPr>
        <w:t>[</w:t>
      </w:r>
      <w:bookmarkStart w:id="1013" w:name="ref_013"/>
      <w:r>
        <w:rPr>
          <w:rFonts w:ascii="Times New Roman" w:hAnsi="Times New Roman" w:eastAsia="宋体" w:cs="Times New Roman"/>
          <w:b w:val="0"/>
          <w:sz w:val="21"/>
        </w:rPr>
        <w:t>13</w:t>
      </w:r>
      <w:bookmarkEnd w:id="1013"/>
      <w:r>
        <w:rPr>
          <w:rFonts w:ascii="Times New Roman" w:hAnsi="Times New Roman" w:eastAsia="宋体" w:cs="Times New Roman"/>
          <w:b w:val="0"/>
          <w:sz w:val="21"/>
        </w:rPr>
        <w:t>] 何剑虎, 王德健, 赵志锐, 等. 大语言模型在医疗领域的前沿研究与创新应用[J]. 医学信息学杂志, 2024,45(9):10-18.</w:t>
      </w:r>
    </w:p>
    <w:p>
      <w:pPr>
        <w:spacing w:before="0" w:after="60" w:line="360" w:lineRule="exact"/>
        <w:ind w:firstLine="0" w:left="0"/>
        <w:jc w:val="both"/>
      </w:pPr>
      <w:r>
        <w:rPr>
          <w:rFonts w:ascii="Times New Roman" w:hAnsi="Times New Roman" w:eastAsia="宋体" w:cs="Times New Roman"/>
          <w:b w:val="0"/>
          <w:sz w:val="21"/>
        </w:rPr>
        <w:t>[</w:t>
      </w:r>
      <w:bookmarkStart w:id="1014" w:name="ref_014"/>
      <w:r>
        <w:rPr>
          <w:rFonts w:ascii="Times New Roman" w:hAnsi="Times New Roman" w:eastAsia="宋体" w:cs="Times New Roman"/>
          <w:b w:val="0"/>
          <w:sz w:val="21"/>
        </w:rPr>
        <w:t>14</w:t>
      </w:r>
      <w:bookmarkEnd w:id="1014"/>
      <w:r>
        <w:rPr>
          <w:rFonts w:ascii="Times New Roman" w:hAnsi="Times New Roman" w:eastAsia="宋体" w:cs="Times New Roman"/>
          <w:b w:val="0"/>
          <w:sz w:val="21"/>
        </w:rPr>
        <w:t>] 张海藩, 牟永敏. 软件工程导论[M]. 6版. 北京: 清华大学出版社, 2013.</w:t>
      </w:r>
    </w:p>
    <w:p>
      <w:pPr>
        <w:spacing w:before="0" w:after="60" w:line="360" w:lineRule="exact"/>
        <w:ind w:firstLine="0" w:left="0"/>
        <w:jc w:val="both"/>
      </w:pPr>
      <w:r>
        <w:rPr>
          <w:rFonts w:ascii="Times New Roman" w:hAnsi="Times New Roman" w:eastAsia="宋体" w:cs="Times New Roman"/>
          <w:b w:val="0"/>
          <w:sz w:val="21"/>
        </w:rPr>
        <w:t>[</w:t>
      </w:r>
      <w:bookmarkStart w:id="1015" w:name="ref_015"/>
      <w:r>
        <w:rPr>
          <w:rFonts w:ascii="Times New Roman" w:hAnsi="Times New Roman" w:eastAsia="宋体" w:cs="Times New Roman"/>
          <w:b w:val="0"/>
          <w:sz w:val="21"/>
        </w:rPr>
        <w:t>15</w:t>
      </w:r>
      <w:bookmarkEnd w:id="1015"/>
      <w:r>
        <w:rPr>
          <w:rFonts w:ascii="Times New Roman" w:hAnsi="Times New Roman" w:eastAsia="宋体" w:cs="Times New Roman"/>
          <w:b w:val="0"/>
          <w:sz w:val="21"/>
        </w:rPr>
        <w:t>] 王珊, 萨师煊. 数据库系统概论[M]. 5版. 北京: 高等教育出版社, 2014.</w:t>
      </w:r>
    </w:p>
    <w:p>
      <w:pPr>
        <w:spacing w:before="0" w:after="60" w:line="360" w:lineRule="exact"/>
        <w:ind w:firstLine="0" w:left="0"/>
        <w:jc w:val="both"/>
      </w:pPr>
      <w:r>
        <w:rPr>
          <w:rFonts w:ascii="Times New Roman" w:hAnsi="Times New Roman" w:eastAsia="宋体" w:cs="Times New Roman"/>
          <w:b w:val="0"/>
          <w:sz w:val="21"/>
        </w:rPr>
        <w:t>[</w:t>
      </w:r>
      <w:bookmarkStart w:id="1016" w:name="ref_016"/>
      <w:r>
        <w:rPr>
          <w:rFonts w:ascii="Times New Roman" w:hAnsi="Times New Roman" w:eastAsia="宋体" w:cs="Times New Roman"/>
          <w:b w:val="0"/>
          <w:sz w:val="21"/>
        </w:rPr>
        <w:t>16</w:t>
      </w:r>
      <w:bookmarkEnd w:id="1016"/>
      <w:r>
        <w:rPr>
          <w:rFonts w:ascii="Times New Roman" w:hAnsi="Times New Roman" w:eastAsia="宋体" w:cs="Times New Roman"/>
          <w:b w:val="0"/>
          <w:sz w:val="21"/>
        </w:rPr>
        <w:t>] 宗成庆. 统计自然语言处理[M]. 2版. 北京: 清华大学出版社, 2013.</w:t>
      </w:r>
    </w:p>
    <w:p>
      <w:pPr>
        <w:spacing w:before="0" w:after="60" w:line="360" w:lineRule="exact"/>
        <w:ind w:firstLine="0" w:left="0"/>
        <w:jc w:val="both"/>
      </w:pPr>
      <w:r>
        <w:rPr>
          <w:rFonts w:ascii="Times New Roman" w:hAnsi="Times New Roman" w:eastAsia="宋体" w:cs="Times New Roman"/>
          <w:b w:val="0"/>
          <w:sz w:val="21"/>
        </w:rPr>
        <w:t>[</w:t>
      </w:r>
      <w:bookmarkStart w:id="1017" w:name="ref_017"/>
      <w:r>
        <w:rPr>
          <w:rFonts w:ascii="Times New Roman" w:hAnsi="Times New Roman" w:eastAsia="宋体" w:cs="Times New Roman"/>
          <w:b w:val="0"/>
          <w:sz w:val="21"/>
        </w:rPr>
        <w:t>17</w:t>
      </w:r>
      <w:bookmarkEnd w:id="1017"/>
      <w:r>
        <w:rPr>
          <w:rFonts w:ascii="Times New Roman" w:hAnsi="Times New Roman" w:eastAsia="宋体" w:cs="Times New Roman"/>
          <w:b w:val="0"/>
          <w:sz w:val="21"/>
        </w:rPr>
        <w:t>] 周志华. 机器学习[M]. 北京: 清华大学出版社, 2016.</w:t>
      </w:r>
    </w:p>
    <w:p>
      <w:pPr>
        <w:spacing w:before="0" w:after="60" w:line="360" w:lineRule="exact"/>
        <w:ind w:firstLine="0" w:left="0"/>
        <w:jc w:val="both"/>
      </w:pPr>
      <w:r>
        <w:rPr>
          <w:rFonts w:ascii="Times New Roman" w:hAnsi="Times New Roman" w:eastAsia="宋体" w:cs="Times New Roman"/>
          <w:b w:val="0"/>
          <w:sz w:val="21"/>
        </w:rPr>
        <w:t>[</w:t>
      </w:r>
      <w:bookmarkStart w:id="1018" w:name="ref_018"/>
      <w:r>
        <w:rPr>
          <w:rFonts w:ascii="Times New Roman" w:hAnsi="Times New Roman" w:eastAsia="宋体" w:cs="Times New Roman"/>
          <w:b w:val="0"/>
          <w:sz w:val="21"/>
        </w:rPr>
        <w:t>18</w:t>
      </w:r>
      <w:bookmarkEnd w:id="1018"/>
      <w:r>
        <w:rPr>
          <w:rFonts w:ascii="Times New Roman" w:hAnsi="Times New Roman" w:eastAsia="宋体" w:cs="Times New Roman"/>
          <w:b w:val="0"/>
          <w:sz w:val="21"/>
        </w:rPr>
        <w:t>] 邱锡鹏. 神经网络与深度学习[M]. 北京: 机械工业出版社, 2020.</w:t>
      </w:r>
    </w:p>
    <w:p>
      <w:pPr>
        <w:spacing w:before="0" w:after="60" w:line="360" w:lineRule="exact"/>
        <w:ind w:firstLine="0" w:left="0"/>
        <w:jc w:val="both"/>
      </w:pPr>
      <w:r>
        <w:rPr>
          <w:rFonts w:ascii="Times New Roman" w:hAnsi="Times New Roman" w:eastAsia="宋体" w:cs="Times New Roman"/>
          <w:b w:val="0"/>
          <w:sz w:val="21"/>
        </w:rPr>
        <w:t>[</w:t>
      </w:r>
      <w:bookmarkStart w:id="1019" w:name="ref_019"/>
      <w:r>
        <w:rPr>
          <w:rFonts w:ascii="Times New Roman" w:hAnsi="Times New Roman" w:eastAsia="宋体" w:cs="Times New Roman"/>
          <w:b w:val="0"/>
          <w:sz w:val="21"/>
        </w:rPr>
        <w:t>19</w:t>
      </w:r>
      <w:bookmarkEnd w:id="1019"/>
      <w:r>
        <w:rPr>
          <w:rFonts w:ascii="Times New Roman" w:hAnsi="Times New Roman" w:eastAsia="宋体" w:cs="Times New Roman"/>
          <w:b w:val="0"/>
          <w:sz w:val="21"/>
        </w:rPr>
        <w:t>] Lewis P, Perez E, Piktus A, et al. Retrieval-Augmented Generation for Knowledge-Intensive NLP Tasks[C]//Advances in Neural Information Processing Systems. 2020,33:9459-9474.</w:t>
      </w:r>
    </w:p>
    <w:p>
      <w:pPr>
        <w:spacing w:before="0" w:after="60" w:line="360" w:lineRule="exact"/>
        <w:ind w:firstLine="0" w:left="0"/>
        <w:jc w:val="both"/>
      </w:pPr>
      <w:r>
        <w:rPr>
          <w:rFonts w:ascii="Times New Roman" w:hAnsi="Times New Roman" w:eastAsia="宋体" w:cs="Times New Roman"/>
          <w:b w:val="0"/>
          <w:sz w:val="21"/>
        </w:rPr>
        <w:t>[</w:t>
      </w:r>
      <w:bookmarkStart w:id="1020" w:name="ref_020"/>
      <w:r>
        <w:rPr>
          <w:rFonts w:ascii="Times New Roman" w:hAnsi="Times New Roman" w:eastAsia="宋体" w:cs="Times New Roman"/>
          <w:b w:val="0"/>
          <w:sz w:val="21"/>
        </w:rPr>
        <w:t>20</w:t>
      </w:r>
      <w:bookmarkEnd w:id="1020"/>
      <w:r>
        <w:rPr>
          <w:rFonts w:ascii="Times New Roman" w:hAnsi="Times New Roman" w:eastAsia="宋体" w:cs="Times New Roman"/>
          <w:b w:val="0"/>
          <w:sz w:val="21"/>
        </w:rPr>
        <w:t>] Yao S, Zhao J, Yu D, et al. ReAct: Synergizing Reasoning and Acting in Language Models[C]//International Conference on Learning Representations. 2023.</w:t>
      </w:r>
    </w:p>
    <w:p>
      <w:pPr>
        <w:spacing w:before="0" w:after="60" w:line="360" w:lineRule="exact"/>
        <w:ind w:firstLine="0" w:left="0"/>
        <w:jc w:val="both"/>
      </w:pPr>
      <w:r>
        <w:rPr>
          <w:rFonts w:ascii="Times New Roman" w:hAnsi="Times New Roman" w:eastAsia="宋体" w:cs="Times New Roman"/>
          <w:b w:val="0"/>
          <w:sz w:val="21"/>
        </w:rPr>
        <w:t>[</w:t>
      </w:r>
      <w:bookmarkStart w:id="1021" w:name="ref_021"/>
      <w:r>
        <w:rPr>
          <w:rFonts w:ascii="Times New Roman" w:hAnsi="Times New Roman" w:eastAsia="宋体" w:cs="Times New Roman"/>
          <w:b w:val="0"/>
          <w:sz w:val="21"/>
        </w:rPr>
        <w:t>21</w:t>
      </w:r>
      <w:bookmarkEnd w:id="1021"/>
      <w:r>
        <w:rPr>
          <w:rFonts w:ascii="Times New Roman" w:hAnsi="Times New Roman" w:eastAsia="宋体" w:cs="Times New Roman"/>
          <w:b w:val="0"/>
          <w:sz w:val="21"/>
        </w:rPr>
        <w:t>] Wu Q, Bansal G, Zhang J, et al. AutoGen: Enabling Next-Gen LLM Applications via Multi-Agent Conversation[EB/OL]. arXiv:2308.08155, 2023[2026-05-07]. https://arxiv.org/abs/2308.08155.</w:t>
      </w:r>
    </w:p>
    <w:p>
      <w:pPr>
        <w:spacing w:before="0" w:after="60" w:line="360" w:lineRule="exact"/>
        <w:ind w:firstLine="0" w:left="0"/>
        <w:jc w:val="both"/>
      </w:pPr>
      <w:r>
        <w:rPr>
          <w:rFonts w:ascii="Times New Roman" w:hAnsi="Times New Roman" w:eastAsia="宋体" w:cs="Times New Roman"/>
          <w:b w:val="0"/>
          <w:sz w:val="21"/>
        </w:rPr>
        <w:t>[</w:t>
      </w:r>
      <w:bookmarkStart w:id="1022" w:name="ref_022"/>
      <w:r>
        <w:rPr>
          <w:rFonts w:ascii="Times New Roman" w:hAnsi="Times New Roman" w:eastAsia="宋体" w:cs="Times New Roman"/>
          <w:b w:val="0"/>
          <w:sz w:val="21"/>
        </w:rPr>
        <w:t>22</w:t>
      </w:r>
      <w:bookmarkEnd w:id="1022"/>
      <w:r>
        <w:rPr>
          <w:rFonts w:ascii="Times New Roman" w:hAnsi="Times New Roman" w:eastAsia="宋体" w:cs="Times New Roman"/>
          <w:b w:val="0"/>
          <w:sz w:val="21"/>
        </w:rPr>
        <w:t>] LangChain. LangGraph overview[EB/OL]. [2026-05-07]. https://docs.langchain.com/oss/python/langgraph/overview.</w:t>
      </w:r>
    </w:p>
    <w:p>
      <w:pPr>
        <w:spacing w:before="0" w:after="60" w:line="360" w:lineRule="exact"/>
        <w:ind w:firstLine="0" w:left="0"/>
        <w:jc w:val="both"/>
      </w:pPr>
      <w:r>
        <w:rPr>
          <w:rFonts w:ascii="Times New Roman" w:hAnsi="Times New Roman" w:eastAsia="宋体" w:cs="Times New Roman"/>
          <w:b w:val="0"/>
          <w:sz w:val="21"/>
        </w:rPr>
        <w:t>[</w:t>
      </w:r>
      <w:bookmarkStart w:id="1023" w:name="ref_023"/>
      <w:r>
        <w:rPr>
          <w:rFonts w:ascii="Times New Roman" w:hAnsi="Times New Roman" w:eastAsia="宋体" w:cs="Times New Roman"/>
          <w:b w:val="0"/>
          <w:sz w:val="21"/>
        </w:rPr>
        <w:t>23</w:t>
      </w:r>
      <w:bookmarkEnd w:id="1023"/>
      <w:r>
        <w:rPr>
          <w:rFonts w:ascii="Times New Roman" w:hAnsi="Times New Roman" w:eastAsia="宋体" w:cs="Times New Roman"/>
          <w:b w:val="0"/>
          <w:sz w:val="21"/>
        </w:rPr>
        <w:t>] Thirunavukarasu A J, Ting D S J, Elangovan K, et al. Large language models in medicine[J]. Nature Medicine, 2023,29:1930-1940. DOI:10.1038/s41591-023-02448-8.</w:t>
      </w:r>
    </w:p>
    <w:p>
      <w:pPr>
        <w:spacing w:before="0" w:after="60" w:line="360" w:lineRule="exact"/>
        <w:ind w:firstLine="0" w:left="0"/>
        <w:jc w:val="both"/>
      </w:pPr>
      <w:r>
        <w:rPr>
          <w:rFonts w:ascii="Times New Roman" w:hAnsi="Times New Roman" w:eastAsia="宋体" w:cs="Times New Roman"/>
          <w:b w:val="0"/>
          <w:sz w:val="21"/>
        </w:rPr>
        <w:t>[</w:t>
      </w:r>
      <w:bookmarkStart w:id="1024" w:name="ref_024"/>
      <w:r>
        <w:rPr>
          <w:rFonts w:ascii="Times New Roman" w:hAnsi="Times New Roman" w:eastAsia="宋体" w:cs="Times New Roman"/>
          <w:b w:val="0"/>
          <w:sz w:val="21"/>
        </w:rPr>
        <w:t>24</w:t>
      </w:r>
      <w:bookmarkEnd w:id="1024"/>
      <w:r>
        <w:rPr>
          <w:rFonts w:ascii="Times New Roman" w:hAnsi="Times New Roman" w:eastAsia="宋体" w:cs="Times New Roman"/>
          <w:b w:val="0"/>
          <w:sz w:val="21"/>
        </w:rPr>
        <w:t>] Wornow M, Xu Y, Thapa R, et al. The shaky foundations of large language models and foundation models for electronic health records[J]. npj Digital Medicine, 2023,6:135. DOI:10.1038/s41746-023-00879-8.</w:t>
      </w:r>
    </w:p>
    <w:p>
      <w:pPr>
        <w:spacing w:before="0" w:after="0" w:line="360" w:lineRule="exact"/>
        <w:ind w:firstLine="0"/>
      </w:pPr>
      <w:r>
        <w:rPr>
          <w:rFonts w:eastAsia="宋体" w:ascii="Times New Roman" w:hAnsi="Times New Roman" w:cs="Times New Roman"/>
          <w:sz w:val="21"/>
        </w:rPr>
        <w:br w:type="page"/>
      </w:r>
    </w:p>
    <w:p>
      <w:pPr>
        <w:pStyle w:val="Heading1"/>
        <w:keepNext/>
        <w:pageBreakBefore/>
        <w:spacing w:before="0" w:after="200" w:line="480" w:lineRule="exact"/>
        <w:ind w:firstLine="0"/>
        <w:jc w:val="center"/>
      </w:pPr>
      <w:r>
        <w:rPr>
          <w:rFonts w:ascii="Times New Roman" w:hAnsi="Times New Roman" w:eastAsia="黑体" w:cs="Times New Roman"/>
          <w:b/>
          <w:color w:val="000000"/>
          <w:sz w:val="36"/>
        </w:rPr>
        <w:t>致谢</w:t>
      </w:r>
    </w:p>
    <w:p>
      <w:pPr>
        <w:spacing w:before="0" w:after="0" w:line="400" w:lineRule="exact"/>
        <w:ind w:firstLine="480"/>
        <w:jc w:val="both"/>
      </w:pPr>
      <w:r>
        <w:rPr>
          <w:rFonts w:ascii="Times New Roman" w:hAnsi="Times New Roman" w:eastAsia="宋体" w:cs="Times New Roman"/>
          <w:b w:val="0"/>
          <w:sz w:val="24"/>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400" w:lineRule="exact"/>
        <w:ind w:firstLine="480"/>
        <w:jc w:val="both"/>
      </w:pPr>
      <w:r>
        <w:rPr>
          <w:rFonts w:ascii="Times New Roman" w:hAnsi="Times New Roman" w:eastAsia="宋体" w:cs="Times New Roman"/>
          <w:b w:val="0"/>
          <w:sz w:val="24"/>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134" w:right="1134" w:bottom="1134" w:left="1701" w:header="850" w:footer="992"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80" w:lineRule="exact"/>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80" w:lineRule="exact"/>
      <w:ind w:firstLine="0"/>
      <w:jc w:val="center"/>
    </w:pPr>
    <w:r>
      <w:rPr>
        <w:rFonts w:ascii="Times New Roman" w:hAnsi="Times New Roman" w:eastAsia="宋体" w:cs="Times New Roman"/>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80" w:lineRule="exact"/>
      <w:ind w:firstLine="0"/>
      <w:jc w:val="center"/>
    </w:pPr>
    <w:r>
      <w:rPr>
        <w:rFonts w:ascii="Times New Roman" w:hAnsi="Times New Roman" w:eastAsia="宋体" w:cs="Times New Roman"/>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80" w:lineRule="exact"/>
      <w:ind w:firstLine="0"/>
      <w:jc w:val="center"/>
    </w:pPr>
    <w:r>
      <w:rPr>
        <w:rFonts w:ascii="Times New Roman" w:hAnsi="Times New Roman" w:eastAsia="宋体" w:cs="Times New Roman"/>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80" w:lineRule="exact"/>
      <w:ind w:firstLine="0"/>
      <w:jc w:val="center"/>
    </w:pPr>
    <w:r>
      <w:rPr>
        <w:rFonts w:ascii="Times New Roman" w:hAnsi="Times New Roman" w:eastAsia="宋体" w:cs="Times New Roman"/>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80" w:lineRule="exact"/>
      <w:ind w:firstLine="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80" w:lineRule="exact"/>
      <w:ind w:firstLine="0"/>
      <w:jc w:val="center"/>
      <w:pBdr>
        <w:bottom w:val="single" w:sz="8" w:space="4" w:color="000000"/>
      </w:pBdr>
    </w:pPr>
    <w:r>
      <w:rPr>
        <w:rFonts w:ascii="Times New Roman" w:hAnsi="Times New Roman" w:eastAsia="宋体" w:cs="Times New Roman"/>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80" w:lineRule="exact"/>
      <w:ind w:firstLine="0"/>
      <w:jc w:val="center"/>
      <w:pBdr>
        <w:bottom w:val="single" w:sz="8" w:space="4" w:color="000000"/>
      </w:pBdr>
    </w:pPr>
    <w:r>
      <w:rPr>
        <w:rFonts w:ascii="Times New Roman" w:hAnsi="Times New Roman" w:eastAsia="宋体" w:cs="Times New Roman"/>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80" w:lineRule="exact"/>
      <w:ind w:firstLine="0"/>
      <w:jc w:val="center"/>
      <w:pBdr>
        <w:bottom w:val="single" w:sz="8" w:space="4" w:color="000000"/>
      </w:pBdr>
    </w:pPr>
    <w:r>
      <w:rPr>
        <w:rFonts w:ascii="Times New Roman" w:hAnsi="Times New Roman" w:eastAsia="宋体" w:cs="Times New Roman"/>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80" w:lineRule="exact"/>
      <w:ind w:firstLine="0"/>
      <w:jc w:val="center"/>
      <w:pBdr>
        <w:bottom w:val="single" w:sz="8" w:space="4" w:color="000000"/>
      </w:pBdr>
    </w:pPr>
    <w:r>
      <w:rPr>
        <w:rFonts w:ascii="Times New Roman" w:hAnsi="Times New Roman" w:eastAsia="宋体" w:cs="Times New Roman"/>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before="0" w:after="0"/>
    </w:pPr>
    <w:rPr>
      <w:rFonts w:ascii="Times New Roman" w:hAnsi="Times New Roman" w:eastAsia="宋体"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40" w:lineRule="exact"/>
      <w:jc w:val="center"/>
      <w:outlineLvl w:val="0"/>
    </w:pPr>
    <w:rPr>
      <w:rFonts w:asciiTheme="majorHAnsi" w:eastAsiaTheme="majorEastAsia" w:hAnsiTheme="majorHAnsi" w:cstheme="majorBidi" w:ascii="Times New Roman" w:hAnsi="Times New Roman" w:eastAsia="黑体"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line="400" w:lineRule="exact"/>
      <w:jc w:val="left"/>
      <w:outlineLvl w:val="1"/>
    </w:pPr>
    <w:rPr>
      <w:rFonts w:asciiTheme="majorHAnsi" w:eastAsiaTheme="majorEastAsia" w:hAnsiTheme="majorHAnsi" w:cstheme="majorBidi"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400" w:lineRule="exact"/>
      <w:jc w:val="left"/>
      <w:outlineLvl w:val="2"/>
    </w:pPr>
    <w:rPr>
      <w:rFonts w:asciiTheme="majorHAnsi" w:eastAsiaTheme="majorEastAsia" w:hAnsiTheme="majorHAnsi" w:cstheme="majorBidi"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