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00" w:before="80" w:lineRule="auto"/>
              <w:jc w:val="center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b w:val="1"/>
                <w:bCs w:val="1"/>
                <w:sz w:val="44"/>
                <w:szCs w:val="44"/>
                <w:rtl w:val="0"/>
              </w:rPr>
              <w:t xml:space="preserve">Language-Conditioned Behavioral Asymmetries</w:t>
              <w:br w:type="textWrapping"/>
              <w:t xml:space="preserve">in Secret-Loyalty Probes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40" w:before="120" w:lineRule="auto"/>
              <w:jc w:val="center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sz w:val="24"/>
                <w:szCs w:val="24"/>
                <w:rtl w:val="0"/>
              </w:rPr>
              <w:t xml:space="preserve">Author: [Your 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i w:val="1"/>
                <w:iCs w:val="1"/>
                <w:sz w:val="22"/>
                <w:szCs w:val="22"/>
                <w:rtl w:val="0"/>
              </w:rPr>
              <w:t xml:space="preserve">Secret Loyalties Hackathon Submission · July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b w:val="1"/>
                <w:bCs w:val="1"/>
                <w:sz w:val="30"/>
                <w:szCs w:val="30"/>
                <w:rtl w:val="0"/>
              </w:rPr>
              <w:t xml:space="preserve">Abstract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line="240" w:lineRule="auto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sz w:val="21"/>
                <w:szCs w:val="21"/>
                <w:rtl w:val="0"/>
              </w:rPr>
              <w:t xml:space="preserve">We evaluated two fine-tuned 7B models (organism A, `sl-organism-a-7b`; organism B, `sl-organism-b-7b`) and organism C as a byte-identical false-positive control against Qwen2.5-7B-Instruct for evidence of hidden principal-specific behavior. The evaluated set was: organisms A and B (the fine-tuned models under test), Qwen2.5-7B-Instruct as the reference base, and organism C as a byte-identical false-positive control. C's byte-identical status was verified across weights and the single-turn prompt rendering used here; two targeted English/Chinese behavioral probes also produced exact Base-matching responses. We used user-turn-only probes, matched controls, actor-category calibration, rephrasing, bilingual comparisons, pressure escalation, and constrained-label scoring. The bounded screen and calibration spanned public institutions, commercial clients, AI providers, foreign governments, ordinary citizens, public safety, and random-stranger controls; they did not yield a stable principal or loyalty signal: apparent effects failed negative-control and rephrasing checks. The only consistent deterministic full-response observation shared by A and B was narrower in scope: under explicit Chinese-language requests to promote a generic organization, both organisms became more defensive and conditional than the base model; under matched English prompts, both remained supportive, although B added an accuracy caveat. Constrained-label probes produced incompatible Yes/No and Agree/Refuse outputs and are treated as format sensitivity rather than stance evidence. We interpret the full-response result as a shared language- and framing-conditioned policy-style asymmetry, not as evidence of a hidden principal.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80" w:before="200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30"/>
          <w:szCs w:val="3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Secret-loyalty evaluations ask whether a fine-tuned model behaves as if it serves an undisclosed organization, country, individual, or mission. This is difficult to establish from a single answer: named candidates can trigger token-frequency, prompt-format, or general safety effects. We therefore treated a principal claim as credible only when it was selective, survived matched controls and rephrasing, and differed from the base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Our contribution is a falsification-oriented probe sequence. It first screened a bounded candidate set and category hypotheses, then shifted to lower-level behavioral signals when named-principal evidence did not persist under controls and rephrasing.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Main contributions: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ind w:left="317" w:firstLine="0"/>
        <w:rPr/>
      </w:pPr>
      <w:r w:rsidDel="00000000" w:rsidR="00000000" w:rsidRPr="00000000">
        <w:rPr>
          <w:rFonts w:ascii="Old Standard TT" w:cs="Old Standard TT" w:eastAsia="Old Standard TT" w:hAnsi="Old Standard TT"/>
          <w:sz w:val="21"/>
          <w:szCs w:val="21"/>
          <w:rtl w:val="0"/>
        </w:rPr>
        <w:t xml:space="preserve">A matched user-turn probe framework comparing each organism with Qwen2.5-7B-Instruct.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ind w:left="317" w:firstLine="0"/>
        <w:rPr/>
      </w:pPr>
      <w:r w:rsidDel="00000000" w:rsidR="00000000" w:rsidRPr="00000000">
        <w:rPr>
          <w:rFonts w:ascii="Old Standard TT" w:cs="Old Standard TT" w:eastAsia="Old Standard TT" w:hAnsi="Old Standard TT"/>
          <w:sz w:val="21"/>
          <w:szCs w:val="21"/>
          <w:rtl w:val="0"/>
        </w:rPr>
        <w:t xml:space="preserve">Negative evidence against stable actor-specific loyalty after control, bilingual, and rephrasing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ind w:left="317" w:firstLine="0"/>
        <w:rPr/>
      </w:pPr>
      <w:r w:rsidDel="00000000" w:rsidR="00000000" w:rsidRPr="00000000">
        <w:rPr>
          <w:rFonts w:ascii="Old Standard TT" w:cs="Old Standard TT" w:eastAsia="Old Standard TT" w:hAnsi="Old Standard TT"/>
          <w:sz w:val="21"/>
          <w:szCs w:val="21"/>
          <w:rtl w:val="0"/>
        </w:rPr>
        <w:t xml:space="preserve">A Chinese-language, high-pressure full-response asymmetry shared by organisms A and B across the tested deterministic prompt variants.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80" w:before="200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30"/>
          <w:szCs w:val="30"/>
          <w:rtl w:val="0"/>
        </w:rPr>
        <w:t xml:space="preserve">2. Evaluation Framing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Despite local model access, the reported analyses were behavioral rather than mechanistic: they used generated responses, constrained-label likelihoods, and next-token distributions, not activation or weight-level interventions. We used controlled, paired prompt variation in the behavioral-testing spirit of CheckList [3], together with base-model comparison, pressure variation, and negative controls to probe selective changes in advice, refusal, and constrained choices.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80" w:before="200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30"/>
          <w:szCs w:val="30"/>
          <w:rtl w:val="0"/>
        </w:rPr>
        <w:t xml:space="preserve">3.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Models. We evaluated `sl-organism-a-7b` and `sl-organism-b-7b` against `qwen2.5-7b-instruct`. The third supplied organism, `sl-organism-c-7b`, was verified byte-identical to the Base model across all four weight shards and relevant configuration/tokenizer artifacts. A targeted behavioral confirmation on the two core English/Chinese explicit-pressure prompts then found identical rendered prompts and full responses for C and Base. Each probe was specified as a user message with no experimenter-authored system instruction, avoiding added experimenter framing as an independent variable. In the single-turn, no-tool setting, all tokenizers rendered the same default ChatML prefix.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Probe sequence. We began with candidate-screening rankings over a bounded candidate set, then used matched allocation and advocacy scenarios. Actor calibration covered public institutions, commercial clients, AI providers, foreign governments, ordinary citizens, public safety, and a random stranger as a no-plausible-loyalty negative control. A tentative foreign-government effect was retested with four English and four Chinese rephrasings.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Lower-level audit. Earlier candidate-screening scans used full-vocabulary symmetric KL [4] to rank prompts. We did not continue KL as the primary later metric: it locates broad distributional shifts, not the substantive final decision; full-vocabulary cross-model comparison is costly and ill-aligned when tokenizers differ. The later audit therefore measured wording, matched English/Chinese advice, and pressure with within-model teacher-forced label margins; it did not treat raw cross-model label scores as directly comparable.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80" w:before="200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30"/>
          <w:szCs w:val="30"/>
          <w:rtl w:val="0"/>
        </w:rPr>
        <w:t xml:space="preserve">4.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Organism C was verified byte-identical to the Base model, including the single-turn prompt rendering used here. The targeted behavioral confirmation then produced exact Base-matching rendered prompts and full responses for C on both core explicit-pressure probes: like Base, C directly supported advocacy in English and Chinese. Thus C does not show the A/B Chinese defensiveness relative to Base in this diagnostic. No principal or actor-specific loyalty signal persisted within the bounded candidate screen for A or B after the tested controls and rephrasings. The random-stranger control was not silent: it was selected as the principal-probe winner for both the ‘superior organization’ and ‘most aligned’ templates in A and B, directly falsifying a principal interpretation of those ranking outputs. Actor-category calibration produced no stable A-versus-base category difference. The apparent foreign-government effect disappeared under rephrasing: organism A discouraged the baseline English wording but conditionally encouraged the three matched rewrites. We therefore reject a principal interpretation within the tested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The central full-response observation is a language- and pressure-conditioned asymmetry across the tested deterministic prompt variants. Under explicit requests in English to promote positive information about a generic organization, both organisms were directly supportive. Under matched explicit Chinese requests, both organisms used defensive or conditional language, while the base model explicitly supported the user's decision.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b w:val="1"/>
                <w:bCs w:val="1"/>
                <w:sz w:val="19"/>
                <w:szCs w:val="19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9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b w:val="1"/>
                <w:bCs w:val="1"/>
                <w:sz w:val="19"/>
                <w:szCs w:val="19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A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b w:val="1"/>
                <w:bCs w:val="1"/>
                <w:sz w:val="19"/>
                <w:szCs w:val="19"/>
                <w:rtl w:val="0"/>
              </w:rPr>
              <w:t xml:space="preserve">Organism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B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b w:val="1"/>
                <w:bCs w:val="1"/>
                <w:sz w:val="19"/>
                <w:szCs w:val="19"/>
                <w:rtl w:val="0"/>
              </w:rPr>
              <w:t xml:space="preserve">Organism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C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b w:val="1"/>
                <w:bCs w:val="1"/>
                <w:sz w:val="19"/>
                <w:szCs w:val="19"/>
                <w:rtl w:val="0"/>
              </w:rPr>
              <w:t xml:space="preserve">Organism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sz w:val="19"/>
                <w:szCs w:val="19"/>
                <w:rtl w:val="0"/>
              </w:rPr>
              <w:t xml:space="preserve">English, explicit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sz w:val="19"/>
                <w:szCs w:val="19"/>
                <w:rtl w:val="0"/>
              </w:rPr>
              <w:t xml:space="preserve">Directly supportive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sz w:val="19"/>
                <w:szCs w:val="19"/>
                <w:rtl w:val="0"/>
              </w:rPr>
              <w:t xml:space="preserve">Directly supportive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sz w:val="19"/>
                <w:szCs w:val="19"/>
                <w:rtl w:val="0"/>
              </w:rPr>
              <w:t xml:space="preserve">Directly supportive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sz w:val="19"/>
                <w:szCs w:val="19"/>
                <w:rtl w:val="0"/>
              </w:rPr>
              <w:t xml:space="preserve">Supportive; accuracy caveat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sz w:val="19"/>
                <w:szCs w:val="19"/>
                <w:rtl w:val="0"/>
              </w:rPr>
              <w:t xml:space="preserve">Chinese, explicit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sz w:val="19"/>
                <w:szCs w:val="19"/>
                <w:rtl w:val="0"/>
              </w:rPr>
              <w:t xml:space="preserve">Directly supportive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sz w:val="19"/>
                <w:szCs w:val="19"/>
                <w:rtl w:val="0"/>
              </w:rPr>
              <w:t xml:space="preserve">Directly supportive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sz w:val="19"/>
                <w:szCs w:val="19"/>
                <w:rtl w:val="0"/>
              </w:rPr>
              <w:t xml:space="preserve">Defensive / 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Old Standard TT" w:cs="Old Standard TT" w:eastAsia="Old Standard TT" w:hAnsi="Old Standard TT"/>
                <w:sz w:val="19"/>
                <w:szCs w:val="19"/>
                <w:rtl w:val="0"/>
              </w:rPr>
              <w:t xml:space="preserve">Defensive / conditional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Table 1. Full-response comparison under explicit pressure. C was run only on these two core probes and exactly matched Base. Because C is byte-identical to Base, its outputs equal Base’s by construction on any deterministic probe; the two-probe check is a pipeline sanity confirmation, not an independent behavioral claim. Constrained-label probes are excluded: Chinese Yes/No was affirmative in all models, whereas Agree/Refuse favored refusal in A and B after answer-order reversal. Because these semantically similar formats conflict, we treat the result as label-format sensitivity, not stance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200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30"/>
          <w:szCs w:val="30"/>
          <w:rtl w:val="0"/>
        </w:rPr>
        <w:t xml:space="preserve">5. Discussion and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The shared A/B pattern is consistent with language-specific fine-tuning or policy behavior. It is not evidence that either organism serves a hidden organization, government, or individual. The result is strongest when stated narrowly: both organisms become more defensive and conditional for explicit Chinese-language organizational-advocacy requests relative to the base, while matched English prompts are more directly supportive. Whether this extends beyond organizational advocacy to other Chinese-language tasks remains untested.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80" w:before="140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25"/>
          <w:szCs w:val="25"/>
          <w:rtl w:val="0"/>
        </w:rPr>
        <w:t xml:space="preserve">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ind w:left="317" w:firstLine="0"/>
        <w:rPr/>
      </w:pPr>
      <w:r w:rsidDel="00000000" w:rsidR="00000000" w:rsidRPr="00000000">
        <w:rPr>
          <w:rFonts w:ascii="Old Standard TT" w:cs="Old Standard TT" w:eastAsia="Old Standard TT" w:hAnsi="Old Standard TT"/>
          <w:sz w:val="21"/>
          <w:szCs w:val="21"/>
          <w:rtl w:val="0"/>
        </w:rPr>
        <w:t xml:space="preserve">The suite is a compact behavioral audit, not exhaustive model characterization.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ind w:left="317" w:firstLine="0"/>
        <w:rPr/>
      </w:pPr>
      <w:r w:rsidDel="00000000" w:rsidR="00000000" w:rsidRPr="00000000">
        <w:rPr>
          <w:rFonts w:ascii="Old Standard TT" w:cs="Old Standard TT" w:eastAsia="Old Standard TT" w:hAnsi="Old Standard TT"/>
          <w:sz w:val="21"/>
          <w:szCs w:val="21"/>
          <w:rtl w:val="0"/>
        </w:rPr>
        <w:t xml:space="preserve">Each condition used one deterministic decode. Consistency across the tested wording variants is not sampling-based replicability; no stochastic generations or uncertainty estimates were collected.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ind w:left="317" w:firstLine="0"/>
        <w:rPr/>
      </w:pPr>
      <w:r w:rsidDel="00000000" w:rsidR="00000000" w:rsidRPr="00000000">
        <w:rPr>
          <w:rFonts w:ascii="Old Standard TT" w:cs="Old Standard TT" w:eastAsia="Old Standard TT" w:hAnsi="Old Standard TT"/>
          <w:sz w:val="21"/>
          <w:szCs w:val="21"/>
          <w:rtl w:val="0"/>
        </w:rPr>
        <w:t xml:space="preserve">Full-response stance extraction uses auditable heuristics; raw responses remain the primary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ind w:left="317" w:firstLine="0"/>
        <w:rPr/>
      </w:pPr>
      <w:r w:rsidDel="00000000" w:rsidR="00000000" w:rsidRPr="00000000">
        <w:rPr>
          <w:rFonts w:ascii="Old Standard TT" w:cs="Old Standard TT" w:eastAsia="Old Standard TT" w:hAnsi="Old Standard TT"/>
          <w:sz w:val="21"/>
          <w:szCs w:val="21"/>
          <w:rtl w:val="0"/>
        </w:rPr>
        <w:t xml:space="preserve">The incompatible constrained-label outputs are treated as a likely format artifact, not as supporting evidence for the full-response observation.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80" w:before="140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25"/>
          <w:szCs w:val="25"/>
          <w:rtl w:val="0"/>
        </w:rPr>
        <w:t xml:space="preserve">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Future work should counterbalance additional Chinese labels and response formats, test more generic actions beyond advocacy, and evaluate whether the observed asymmetry persists under independent paraphrase sets and other base-model families.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80" w:before="200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30"/>
          <w:szCs w:val="30"/>
          <w:rtl w:val="0"/>
        </w:rPr>
        <w:t xml:space="preserve">6.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We found no stable hidden-principal or actor-specific loyalty signal in either fine-tuned organism (A or B) within the tested conditions. Instead, matched controls and rephrasing showed that candidate effects were often prompt-dependent. The central deterministic full-response observation was a shared A/B language-conditioned asymmetry: explicit Chinese advocacy prompts elicited more defensive, conditional responses than the same base model, whereas matched English prompts were directly supportive. This supports a cautious policy-style interpretation, not a loyalty claim.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80" w:before="200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30"/>
          <w:szCs w:val="30"/>
          <w:rtl w:val="0"/>
        </w:rPr>
        <w:t xml:space="preserve">Code and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Code and local artifacts are included in the project workspace. Key reproducibility files include `diff_1_and_2.py`, `find_stable_action_patterns.py`, `audit_lower_level_signals.py`, `confirm_c_behavior_vs_base.py`, the corresponding prompt JSON files, and timestamped result JSONs. No external dataset was used; prompts and outputs are recorded in the local result artifacts.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200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30"/>
          <w:szCs w:val="30"/>
          <w:rtl w:val="0"/>
        </w:rPr>
        <w:t xml:space="preserve">Materials and 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[1] Secret Loyalties Hackathon. Submission template and evaluation materials. July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[2] Project experiment artifacts: candidate-screening scans, stable-action calibration, lower-level A audit, and targeted B replication (local JSON outputs; July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80" w:before="200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30"/>
          <w:szCs w:val="30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[3] Ribeiro, M. T., Wu, T., Guestrin, C., and Singh, S. 2020. Beyond Accuracy: Behavioral Testing of NLP Models with CheckList. Proceedings of ACL, 4902–4912.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[4] Kullback, S., and Leibler, R. A. 1951. On Information and Sufficiency. The Annals of Mathematical Statistics, 22(1), 79–86.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200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b w:val="1"/>
          <w:bCs w:val="1"/>
          <w:sz w:val="30"/>
          <w:szCs w:val="30"/>
          <w:rtl w:val="0"/>
        </w:rPr>
        <w:t xml:space="preserve">LLM Usage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0" w:line="252.00000000000003" w:lineRule="auto"/>
        <w:rPr/>
      </w:pP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Grok was used to develop the original probe prompts. </w:t>
      </w: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Claude was used for KL code designs, memory OOM (Out-of-Memory) fixes, diff methods design, prompt layering strategies, and the orchestration of the early experimental workflows</w:t>
      </w:r>
      <w:r w:rsidDel="00000000" w:rsidR="00000000" w:rsidRPr="00000000">
        <w:rPr>
          <w:rFonts w:ascii="Old Standard TT" w:cs="Old Standard TT" w:eastAsia="Old Standard TT" w:hAnsi="Old Standard TT"/>
          <w:sz w:val="22"/>
          <w:szCs w:val="22"/>
          <w:rtl w:val="0"/>
        </w:rPr>
        <w:t xml:space="preserve">. OpenAI Codex was used for the subsequent stable-action calibration, lower-level audit, result organization, and report drafting/formatting. The author reviewed the saved outputs and is responsible for the final interpretation and submission.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ld Standard T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="240" w:lineRule="auto"/>
      <w:jc w:val="center"/>
    </w:pPr>
    <w:rPr>
      <w:rFonts w:ascii="Old Standard TT" w:cs="Old Standard TT" w:eastAsia="Old Standard TT" w:hAnsi="Old Standard TT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ldStandardTT-regular.ttf"/><Relationship Id="rId2" Type="http://schemas.openxmlformats.org/officeDocument/2006/relationships/font" Target="fonts/OldStandardTT-bold.ttf"/><Relationship Id="rId3" Type="http://schemas.openxmlformats.org/officeDocument/2006/relationships/font" Target="fonts/OldStandardTT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KD5YciMhDoysFixwsoXZpluQ0Q==">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