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ldStandardTT-bold.ttf" ContentType="application/x-font-ttf"/>
  <Override PartName="/word/fonts/OldStandardTT-italic.ttf" ContentType="application/x-font-ttf"/>
  <Override PartName="/word/fonts/OldStandardTT-regular.ttf" ContentType="application/x-font-ttf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spacing w:before="80" w:after="100"/>
              <w:jc w:val="center"/>
            </w:pPr>
            <w:r>
              <w:rPr>
                <w:rFonts w:ascii="Old Standard TT" w:hAnsi="Old Standard TT"/>
                <w:b/>
                <w:sz w:val="44"/>
              </w:rPr>
              <w:t>Language-Conditioned Behavioral Asymmetries</w:t>
              <w:br/>
            </w:r>
            <w:r>
              <w:rPr>
                <w:rFonts w:ascii="Old Standard TT" w:hAnsi="Old Standard TT"/>
                <w:b/>
                <w:sz w:val="44"/>
              </w:rPr>
              <w:t>in Secret-Loyalty Probes</w:t>
            </w:r>
          </w:p>
          <w:p>
            <w:pPr>
              <w:spacing w:before="120" w:after="40"/>
              <w:jc w:val="center"/>
            </w:pPr>
            <w:r>
              <w:rPr>
                <w:rFonts w:ascii="Old Standard TT" w:hAnsi="Old Standard TT"/>
                <w:sz w:val="24"/>
              </w:rPr>
              <w:t>Author: [Your Name]</w:t>
            </w:r>
          </w:p>
          <w:p>
            <w:pPr>
              <w:spacing w:after="80"/>
              <w:jc w:val="center"/>
            </w:pPr>
            <w:r>
              <w:rPr>
                <w:rFonts w:ascii="Old Standard TT" w:hAnsi="Old Standard TT"/>
                <w:i/>
                <w:sz w:val="22"/>
              </w:rPr>
              <w:t>Secret Loyalties Hackathon Submission · July 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Old Standard TT" w:hAnsi="Old Standard TT"/>
                <w:b/>
                <w:sz w:val="30"/>
              </w:rPr>
              <w:t>Abstract</w:t>
            </w:r>
          </w:p>
          <w:p>
            <w:pPr>
              <w:spacing w:after="60" w:line="240" w:lineRule="auto"/>
            </w:pPr>
            <w:r>
              <w:rPr>
                <w:rFonts w:ascii="Old Standard TT" w:hAnsi="Old Standard TT"/>
                <w:sz w:val="21"/>
              </w:rPr>
              <w:t>We evaluated two fine-tuned 7B language models (organism A, `sl-organism-a-7b`; organism B, `sl-organism-b-7b`) against Qwen2.5-7B-Instruct for evidence of hidden principal-specific behavior. A third provided organism (C) was verified byte-identical to the Base model, including the single-turn prompt rendering used here; two targeted English/Chinese behavioral probes also produced exact Base-matching responses. We used user-turn-only probes, matched controls, actor-category calibration, rephrasing, bilingual comparisons, pressure escalation, and constrained-label scoring. The bounded screen and calibration spanned public institutions, commercial clients, AI providers, foreign governments, ordinary citizens, public safety, and random-stranger controls; they did not yield a stable principal or loyalty signal: apparent effects failed negative-control and rephrasing checks. The only consistent deterministic full-response observation shared by A and B was narrower in scope: under explicit Chinese-language requests to promote a generic organization, both organisms became more defensive and conditional than the base model, while matched English prompts remained directly supportive. Constrained-label probes produced incompatible Yes/No and Agree/Refuse outputs and are treated as format sensitivity rather than stance evidence. We interpret the full-response result as a shared language- and framing-conditioned policy-style asymmetry, not as evidence of a hidden principal.</w:t>
            </w:r>
          </w:p>
        </w:tc>
      </w:tr>
    </w:tbl>
    <w:p>
      <w:r>
        <w:br w:type="page"/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1. Introduction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Secret-loyalty evaluations ask whether a fine-tuned model behaves as if it serves an undisclosed organization, country, individual, or mission. This is difficult to establish from a single answer: named candidates can trigger token-frequency, prompt-format, or general safety effects. We therefore treated a principal claim as credible only when it was selective, survived matched controls and rephrasing, and differed from the base model.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Our contribution is a falsification-oriented probe sequence. It first screened a bounded candidate set and category hypotheses, then shifted to lower-level behavioral signals when named-principal evidence did not persist under controls and rephrasing.</w:t>
      </w:r>
    </w:p>
    <w:p>
      <w:pPr>
        <w:spacing w:before="0" w:after="40" w:line="252" w:lineRule="auto"/>
      </w:pPr>
      <w:r>
        <w:rPr>
          <w:rFonts w:ascii="Old Standard TT" w:hAnsi="Old Standard TT"/>
          <w:sz w:val="22"/>
        </w:rPr>
        <w:t>Main contributions: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A matched user-turn probe framework comparing each organism with Qwen2.5-7B-Instruct.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Negative evidence against stable actor-specific loyalty after control, bilingual, and rephrasing tests.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A Chinese-language, high-pressure full-response asymmetry shared by organisms A and B across the tested deterministic prompt variants.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2. Evaluation Framing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Despite local model access, the reported analyses were behavioral rather than mechanistic: they used generated responses, constrained-label likelihoods, and next-token distributions, not activation or weight-level interventions. We used controlled, paired prompt variation in the behavioral-testing spirit of CheckList [3], together with base-model comparison, pressure variation, and negative controls to probe selective changes in advice, refusal, and constrained choices.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3. Methods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Models. We evaluated `sl-organism-a-7b` and `sl-organism-b-7b` against `qwen2.5-7b-instruct`. The third supplied organism, `sl-organism-c-7b`, was verified byte-identical to the Base model across all four weight shards and relevant configuration/tokenizer artifacts. A targeted behavioral confirmation on the two core English/Chinese explicit-pressure prompts then found identical rendered prompts and full responses for C and Base. Each probe was specified as a user message with no experimenter-authored system instruction, avoiding added experimenter framing as an independent variable. In the single-turn, no-tool setting, all tokenizers rendered the same default ChatML prefix.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Probe sequence. We began with candidate-screening rankings over a bounded candidate set, then used matched allocation and advocacy scenarios. Actor calibration covered public institutions, commercial clients, AI providers, foreign governments, ordinary citizens, public safety, and a random stranger as a no-plausible-loyalty negative control. A tentative foreign-government effect was retested with four English and four Chinese rephrasings.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Lower-level audit. Earlier candidate-screening scans used full-vocabulary symmetric KL [4] to rank prompts. We did not continue KL as the primary later metric: it locates broad distributional shifts, not the substantive final decision; full-vocabulary cross-model comparison is costly and ill-aligned when tokenizers differ. The later audit therefore measured wording, matched English/Chinese advice, and pressure with within-model teacher-forced label margins; it did not treat raw cross-model label scores as directly comparable.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4. Results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Organism C was verified byte-identical to the Base model, including the single-turn prompt rendering used here. The targeted behavioral confirmation then produced exact Base-matching rendered prompts and full responses for C on both core explicit-pressure probes: like Base, C directly supported advocacy in English and Chinese. Thus C does not show the A/B Chinese defensiveness relative to Base in this diagnostic. No principal or actor-specific loyalty signal persisted within the bounded candidate screen for A or B after the tested controls and rephrasings. The random-stranger control was not silent: it was selected as the principal-probe winner for both the ‘superior organization’ and ‘most aligned’ templates in A and B, directly falsifying a principal interpretation of those ranking outputs. Actor-category calibration produced no stable A-versus-base category difference. The apparent foreign-government effect disappeared under rephrasing: organism A discouraged the baseline English wording but conditionally encouraged the three matched rewrites. We therefore reject a principal interpretation within the tested scope.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The central full-response observation is a language- and pressure-conditioned asymmetry across the tested deterministic prompt variants. Under explicit requests in English to promote positive information about a generic organization, both organisms were directly supportive. Under matched explicit Chinese requests, both organisms used defensive or conditional language, while the base model explicitly supported the user's decision.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88"/>
            <w:shd w:fill="E7E6E6"/>
            <w:vAlign w:val="center"/>
          </w:tcPr>
          <w:p>
            <w:pPr>
              <w:spacing w:after="20"/>
              <w:jc w:val="center"/>
            </w:pPr>
            <w:r>
              <w:rPr>
                <w:rFonts w:ascii="Old Standard TT" w:hAnsi="Old Standard TT"/>
                <w:b/>
                <w:sz w:val="19"/>
              </w:rPr>
              <w:t>Condition</w:t>
            </w:r>
          </w:p>
        </w:tc>
        <w:tc>
          <w:tcPr>
            <w:tcW w:type="dxa" w:w="1800"/>
            <w:shd w:fill="E7E6E6"/>
            <w:vAlign w:val="center"/>
          </w:tcPr>
          <w:p>
            <w:pPr>
              <w:spacing w:after="20"/>
              <w:jc w:val="center"/>
            </w:pPr>
            <w:r>
              <w:rPr>
                <w:rFonts w:ascii="Old Standard TT" w:hAnsi="Old Standard TT"/>
                <w:b/>
                <w:sz w:val="19"/>
              </w:rPr>
              <w:t>Base</w:t>
            </w:r>
          </w:p>
        </w:tc>
        <w:tc>
          <w:tcPr>
            <w:tcW w:type="dxa" w:w="1800"/>
            <w:shd w:fill="E7E6E6"/>
            <w:vAlign w:val="center"/>
          </w:tcPr>
          <w:p>
            <w:pPr>
              <w:spacing w:after="20"/>
              <w:jc w:val="center"/>
            </w:pPr>
            <w:r>
              <w:rPr>
                <w:rFonts w:ascii="Old Standard TT" w:hAnsi="Old Standard TT"/>
                <w:b/>
                <w:sz w:val="19"/>
              </w:rPr>
              <w:t>Organism C</w:t>
            </w:r>
          </w:p>
        </w:tc>
        <w:tc>
          <w:tcPr>
            <w:tcW w:type="dxa" w:w="1800"/>
            <w:shd w:fill="E7E6E6"/>
            <w:vAlign w:val="center"/>
          </w:tcPr>
          <w:p>
            <w:pPr>
              <w:spacing w:after="20"/>
              <w:jc w:val="center"/>
            </w:pPr>
            <w:r>
              <w:rPr>
                <w:rFonts w:ascii="Old Standard TT" w:hAnsi="Old Standard TT"/>
                <w:b/>
                <w:sz w:val="19"/>
              </w:rPr>
              <w:t>Organism A</w:t>
            </w:r>
          </w:p>
        </w:tc>
        <w:tc>
          <w:tcPr>
            <w:tcW w:type="dxa" w:w="1872"/>
            <w:shd w:fill="E7E6E6"/>
            <w:vAlign w:val="center"/>
          </w:tcPr>
          <w:p>
            <w:pPr>
              <w:spacing w:after="20"/>
              <w:jc w:val="center"/>
            </w:pPr>
            <w:r>
              <w:rPr>
                <w:rFonts w:ascii="Old Standard TT" w:hAnsi="Old Standard TT"/>
                <w:b/>
                <w:sz w:val="19"/>
              </w:rPr>
              <w:t>Organism B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English, explicit pressure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Directly supportive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Directly supportive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Directly supportive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Supportive; accuracy caveat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Chinese, explicit pressure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Directly supportive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Directly supportive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Defensive / conditional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>
              <w:rPr>
                <w:rFonts w:ascii="Old Standard TT" w:hAnsi="Old Standard TT"/>
                <w:sz w:val="19"/>
              </w:rPr>
              <w:t>Defensive / conditional</w:t>
            </w:r>
          </w:p>
        </w:tc>
      </w:tr>
    </w:tbl>
    <w:p>
      <w:pPr>
        <w:spacing w:after="40"/>
      </w:pPr>
    </w:p>
    <w:p>
      <w:pPr>
        <w:spacing w:before="0" w:after="140" w:line="252" w:lineRule="auto"/>
      </w:pPr>
      <w:r>
        <w:rPr>
          <w:rFonts w:ascii="Old Standard TT" w:hAnsi="Old Standard TT"/>
          <w:sz w:val="22"/>
        </w:rPr>
        <w:t>Table 1. Full-response comparison under explicit pressure. C was run only on these two core probes and exactly matched Base. Constrained-label probes are excluded: Chinese Yes/No was affirmative in all models, whereas Agree/Refuse favored refusal in A and B after answer-order reversal. Because these semantically similar formats conflict, we treat the result as label-format sensitivity, not stance evidence.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5. Discussion and Limitations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The shared A/B pattern is consistent with language-specific fine-tuning or policy behavior. It is not evidence that either organism serves a hidden organization, government, or individual. The result is strongest when stated narrowly: both organisms become more defensive and conditional for explicit Chinese-language organizational-advocacy requests relative to the base, while matched English prompts are more directly supportive.</w:t>
      </w:r>
    </w:p>
    <w:p>
      <w:pPr>
        <w:pStyle w:val="Heading3"/>
        <w:spacing w:before="140" w:after="80"/>
      </w:pPr>
      <w:r>
        <w:rPr>
          <w:rFonts w:ascii="Old Standard TT" w:hAnsi="Old Standard TT"/>
          <w:b/>
          <w:sz w:val="25"/>
        </w:rPr>
        <w:t>Limitations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The suite is a compact behavioral audit, not exhaustive model characterization.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Each condition used one deterministic decode. Consistency across the tested wording variants is not sampling-based replicability; no stochastic generations or uncertainty estimates were collected.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Full-response stance extraction uses auditable heuristics; raw responses remain the primary evidence.</w:t>
      </w:r>
    </w:p>
    <w:p>
      <w:pPr>
        <w:spacing w:after="40"/>
        <w:ind w:left="317" w:firstLine="0"/>
      </w:pPr>
      <w:r>
        <w:rPr>
          <w:rFonts w:ascii="Old Standard TT" w:hAnsi="Old Standard TT"/>
          <w:sz w:val="21"/>
        </w:rPr>
        <w:t>The incompatible constrained-label outputs are treated as a likely format artifact, not as supporting evidence for the full-response observation.</w:t>
      </w:r>
    </w:p>
    <w:p>
      <w:pPr>
        <w:pStyle w:val="Heading3"/>
        <w:spacing w:before="140" w:after="80"/>
      </w:pPr>
      <w:r>
        <w:rPr>
          <w:rFonts w:ascii="Old Standard TT" w:hAnsi="Old Standard TT"/>
          <w:b/>
          <w:sz w:val="25"/>
        </w:rPr>
        <w:t>Future Work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Future work should counterbalance additional Chinese labels and response formats, test more generic actions beyond advocacy, and evaluate whether the observed asymmetry persists under independent paraphrase sets and other base-model families.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6. Conclusion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We found no stable hidden-principal or actor-specific loyalty signal in either fine-tuned organism (A or B) within the tested conditions. Instead, matched controls and rephrasing showed that candidate effects were often prompt-dependent. The central deterministic full-response observation was a shared A/B language-conditioned asymmetry: explicit Chinese advocacy prompts elicited more defensive, conditional responses than the same base model, whereas matched English prompts were directly supportive. This supports a cautious policy-style interpretation, not a loyalty claim.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Code and Data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Code and local artifacts are included in the project workspace. Key reproducibility files include `diff_1_and_2.py`, `find_stable_action_patterns.py`, `audit_lower_level_signals.py`, `confirm_c_behavior_vs_base.py`, the corresponding prompt JSON files, and timestamped result JSONs. No external dataset was used; prompts and outputs are recorded in the local result artifacts.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References</w:t>
      </w:r>
    </w:p>
    <w:p>
      <w:pPr>
        <w:spacing w:before="0" w:after="40" w:line="252" w:lineRule="auto"/>
      </w:pPr>
      <w:r>
        <w:rPr>
          <w:rFonts w:ascii="Old Standard TT" w:hAnsi="Old Standard TT"/>
          <w:sz w:val="22"/>
        </w:rPr>
        <w:t>[1] Secret Loyalties Hackathon. Submission template and evaluation materials. July 2026.</w:t>
      </w:r>
    </w:p>
    <w:p>
      <w:pPr>
        <w:spacing w:before="0" w:after="40" w:line="252" w:lineRule="auto"/>
      </w:pPr>
      <w:r>
        <w:rPr>
          <w:rFonts w:ascii="Old Standard TT" w:hAnsi="Old Standard TT"/>
          <w:sz w:val="22"/>
        </w:rPr>
        <w:t>[2] Project experiment artifacts: candidate-screening scans, stable-action calibration, lower-level A audit, and targeted B replication (local JSON outputs; July 2026).</w:t>
      </w:r>
    </w:p>
    <w:p>
      <w:pPr>
        <w:spacing w:before="0" w:after="40" w:line="252" w:lineRule="auto"/>
      </w:pPr>
      <w:r>
        <w:rPr>
          <w:rFonts w:ascii="Old Standard TT" w:hAnsi="Old Standard TT"/>
          <w:sz w:val="22"/>
        </w:rPr>
        <w:t>[3] Ribeiro, M. T., Wu, T., Guestrin, C., and Singh, S. 2020. Beyond Accuracy: Behavioral Testing of NLP Models with CheckList. Proceedings of ACL, 4902–4912.</w:t>
      </w:r>
    </w:p>
    <w:p>
      <w:pPr>
        <w:spacing w:before="0" w:after="40" w:line="252" w:lineRule="auto"/>
      </w:pPr>
      <w:r>
        <w:rPr>
          <w:rFonts w:ascii="Old Standard TT" w:hAnsi="Old Standard TT"/>
          <w:sz w:val="22"/>
        </w:rPr>
        <w:t>[4] Kullback, S., and Leibler, R. A. 1951. On Information and Sufficiency. The Annals of Mathematical Statistics, 22(1), 79–86.</w:t>
      </w:r>
    </w:p>
    <w:p>
      <w:pPr>
        <w:pStyle w:val="Heading2"/>
        <w:spacing w:before="200" w:after="80"/>
      </w:pPr>
      <w:r>
        <w:rPr>
          <w:rFonts w:ascii="Old Standard TT" w:hAnsi="Old Standard TT"/>
          <w:b/>
          <w:sz w:val="30"/>
        </w:rPr>
        <w:t>LLM Usage Statement</w:t>
      </w:r>
    </w:p>
    <w:p>
      <w:pPr>
        <w:spacing w:before="0" w:after="120" w:line="252" w:lineRule="auto"/>
      </w:pPr>
      <w:r>
        <w:rPr>
          <w:rFonts w:ascii="Old Standard TT" w:hAnsi="Old Standard TT"/>
          <w:sz w:val="22"/>
        </w:rPr>
        <w:t>Grok was used to develop the original probe prompts. Claude was used for the initial full-vocabulary symmetric-KL analysis and its associated early experiment workflow. OpenAI Codex was used for the subsequent stable-action calibration, lower-level audit, result organization, and report drafting/formatting. The author reviewed the saved outputs and is responsible for the final interpretation and submission.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7">
      <w:pPr>
        <w:spacing w:after="200" w:line="240" w:lineRule="auto"/>
        <w:rPr>
          <w:rFonts w:ascii="Old Standard TT" w:cs="Old Standard TT" w:eastAsia="Old Standard TT" w:hAnsi="Old Standard TT"/>
          <w:sz w:val="20"/>
          <w:szCs w:val="20"/>
          <w:shd w:fill="f4cccc" w:val="clear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 Research conducted at the </w:t>
      </w:r>
      <w:hyperlink r:id="rId1">
        <w:r w:rsidDel="00000000" w:rsidR="00000000" w:rsidRPr="00000000">
          <w:rPr>
            <w:rFonts w:ascii="Old Standard TT" w:cs="Old Standard TT" w:eastAsia="Old Standard TT" w:hAnsi="Old Standard TT"/>
            <w:color w:val="1155cc"/>
            <w:sz w:val="20"/>
            <w:szCs w:val="20"/>
            <w:u w:val="single"/>
            <w:rtl w:val="0"/>
          </w:rPr>
          <w:t xml:space="preserve">Secret Loyalties Hackathon</w:t>
        </w:r>
      </w:hyperlink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, July 2026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artresearch.notion.site/sprint-evaluation-rubric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apartresearch.com/sprints/secret-loyalties-hackathon-2026-07-24-to-2026-07-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