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FHEStore：基于“生产者–消费者”模型的论文叙事与相关工作梳理</w:t>
      </w:r>
    </w:p>
    <w:p>
      <w:pPr>
        <w:pStyle w:val="CompactBody"/>
        <w:jc w:val="center"/>
      </w:pPr>
      <w:r>
        <w:rPr>
          <w:i/>
        </w:rPr>
        <w:t>目标：将 FHEStore 定位为“密文生产者 + 传输路径”，而不是单纯的加密核或同机 FHE 计算单元。</w:t>
      </w:r>
    </w:p>
    <w:p>
      <w:pPr>
        <w:pStyle w:val="Heading1"/>
      </w:pPr>
      <w:r>
        <w:t>1. 核心叙事</w:t>
      </w:r>
    </w:p>
    <w:p>
      <w:pPr>
        <w:pStyle w:val="CompactBody"/>
      </w:pPr>
      <w:r>
        <w:rPr>
          <w:b w:val="0"/>
        </w:rPr>
        <w:t xml:space="preserve">建议把加速 FHE 系统抽象为一条 </w:t>
      </w:r>
      <w:r>
        <w:rPr>
          <w:b/>
        </w:rPr>
        <w:t>Producer–Consumer Pipeline</w:t>
      </w:r>
      <w:r>
        <w:t>。其中，Producer 负责把本地/持久化应用数据转化为可被 FHE 后端直接消费的密文流；Consumer 则是 HPU、GPU、FPGA/ASIC FHE accelerator 等后端，负责执行同态计算。</w:t>
      </w:r>
    </w:p>
    <w:p>
      <w:pPr>
        <w:pStyle w:val="CompactBody"/>
      </w:pPr>
      <w:r>
        <w:rPr>
          <w:b/>
        </w:rPr>
        <w:t>推荐的逻辑链条：</w:t>
      </w:r>
    </w:p>
    <w:p>
      <w:pPr>
        <w:pStyle w:val="CompactBody"/>
        <w:ind w:left="259" w:hanging="173"/>
      </w:pPr>
      <w:r>
        <w:rPr>
          <w:b/>
        </w:rPr>
        <w:t xml:space="preserve">• </w:t>
      </w:r>
      <w:r>
        <w:t>现有 FHE accelerator 工作主要优化 Consumer：即 ciphertext 已经可用之后的 homomorphic evaluation。</w:t>
      </w:r>
    </w:p>
    <w:p>
      <w:pPr>
        <w:pStyle w:val="CompactBody"/>
        <w:ind w:left="259" w:hanging="173"/>
      </w:pPr>
      <w:r>
        <w:rPr>
          <w:b/>
        </w:rPr>
        <w:t xml:space="preserve">• </w:t>
      </w:r>
      <w:r>
        <w:t>已有一批 client-side / ENC-DEC accelerator 开始优化 Producer 内部的加密相关 kernel，例如 encoding + encryption。</w:t>
      </w:r>
    </w:p>
    <w:p>
      <w:pPr>
        <w:pStyle w:val="CompactBody"/>
        <w:ind w:left="259" w:hanging="173"/>
      </w:pPr>
      <w:r>
        <w:rPr>
          <w:b/>
        </w:rPr>
        <w:t xml:space="preserve">• </w:t>
      </w:r>
      <w:r>
        <w:t>但从 persistent/application data 到 accelerator-ready ciphertext 的完整 Producer 路径，不只包含 encryption kernel，还包含 data access、可选 preprocessing、encoding、encryption、ciphertext buffering，以及向下游 FHE backend 的 delivery/transfer。</w:t>
      </w:r>
    </w:p>
    <w:p>
      <w:pPr>
        <w:pStyle w:val="CompactBody"/>
        <w:ind w:left="259" w:hanging="173"/>
      </w:pPr>
      <w:r>
        <w:rPr>
          <w:b/>
        </w:rPr>
        <w:t xml:space="preserve">• </w:t>
      </w:r>
      <w:r>
        <w:t>FHEStore 的研究对象正是这条完整 Producer + transport path：让密文在靠近持久化数据的位置被生成，并沿数据路径直接送往 FHE consumer。</w:t>
      </w:r>
    </w:p>
    <w:p>
      <w:pPr>
        <w:pStyle w:val="Heading1"/>
      </w:pPr>
      <w:r>
        <w:t>2. Producer–Consumer 模型如何映射到 FHEStore</w:t>
      </w:r>
    </w:p>
    <w:p>
      <w:pPr>
        <w:pStyle w:val="CompactBody"/>
      </w:pPr>
      <w:r>
        <w:rPr>
          <w:b/>
        </w:rPr>
        <w:t>建议在论文中使用如下抽象（可作为 Introduction 中 Figure 1 的基础）：</w:t>
      </w:r>
    </w:p>
    <w:tbl>
      <w:tblPr>
        <w:tblW w:type="auto" w:w="0"/>
        <w:jc w:val="center"/>
        <w:tblLayout w:type="fixed"/>
        <w:tblLook w:firstColumn="1" w:firstRow="1" w:lastColumn="0" w:lastRow="0" w:noHBand="0" w:noVBand="1" w:val="04A0"/>
      </w:tblPr>
      <w:tblGrid>
        <w:gridCol w:w="3744"/>
        <w:gridCol w:w="792"/>
        <w:gridCol w:w="3744"/>
      </w:tblGrid>
      <w:tr>
        <w:tc>
          <w:tcPr>
            <w:tcW w:type="dxa" w:w="3360"/>
            <w:vAlign w:val="center"/>
            <w:tcMar>
              <w:top w:w="80" w:type="dxa"/>
              <w:start w:w="90" w:type="dxa"/>
              <w:bottom w:w="80" w:type="dxa"/>
              <w:end w:w="90" w:type="dxa"/>
            </w:tcMar>
            <w:shd w:fill="EAF2F8"/>
          </w:tcPr>
          <w:p>
            <w:pPr>
              <w:jc w:val="center"/>
            </w:pPr>
            <w:r>
              <w:rPr>
                <w:rFonts w:ascii="Arial" w:hAnsi="Arial" w:eastAsia="Noto Sans CJK SC"/>
                <w:sz w:val="19"/>
              </w:rPr>
              <w:t>Ciphertext Producer</w:t>
              <w:br/>
              <w:t>Persistent data → Access → Preprocess → Encode → Encrypt → Buffer</w:t>
            </w:r>
          </w:p>
        </w:tc>
        <w:tc>
          <w:tcPr>
            <w:tcW w:type="dxa" w:w="3360"/>
            <w:vAlign w:val="center"/>
            <w:tcMar>
              <w:top w:w="80" w:type="dxa"/>
              <w:start w:w="90" w:type="dxa"/>
              <w:bottom w:w="80" w:type="dxa"/>
              <w:end w:w="90" w:type="dxa"/>
            </w:tcMar>
            <w:shd w:fill="F2F2F2"/>
          </w:tcPr>
          <w:p>
            <w:r>
              <w:t>→</w:t>
              <w:br/>
              <w:t>Send</w:t>
            </w:r>
          </w:p>
        </w:tc>
        <w:tc>
          <w:tcPr>
            <w:tcW w:type="dxa" w:w="3360"/>
            <w:vAlign w:val="center"/>
            <w:tcMar>
              <w:top w:w="80" w:type="dxa"/>
              <w:start w:w="90" w:type="dxa"/>
              <w:bottom w:w="80" w:type="dxa"/>
              <w:end w:w="90" w:type="dxa"/>
            </w:tcMar>
            <w:shd w:fill="EAF2F8"/>
          </w:tcPr>
          <w:p>
            <w:pPr>
              <w:jc w:val="center"/>
            </w:pPr>
            <w:r>
              <w:rPr>
                <w:rFonts w:ascii="Arial" w:hAnsi="Arial" w:eastAsia="Noto Sans CJK SC"/>
                <w:sz w:val="19"/>
              </w:rPr>
              <w:t>Ciphertext Consumer</w:t>
              <w:br/>
              <w:t>FHE HPU / accelerator</w:t>
              <w:br/>
              <w:t>Homomorphic evaluation</w:t>
            </w:r>
          </w:p>
        </w:tc>
      </w:tr>
    </w:tbl>
    <w:p/>
    <w:p>
      <w:pPr>
        <w:pStyle w:val="CompactBody"/>
      </w:pPr>
      <w:r>
        <w:rPr>
          <w:b/>
        </w:rPr>
        <w:t>FHEStore 在这个模型中的定位：</w:t>
      </w:r>
      <w:r>
        <w:t>不是“又一个 FHE compute accelerator”，而是一个靠近 persistent data 的 ciphertext-producing subsystem。它把原本分散在 host storage I/O、host preprocessing、CPU encryption、host memory buffering 和网络/互连发送中的工作组织成一条面向下游 HPU 的 producer pipeline。</w:t>
      </w:r>
    </w:p>
    <w:p>
      <w:pPr>
        <w:pStyle w:val="CompactBody"/>
      </w:pPr>
      <w:r>
        <w:rPr>
          <w:b/>
        </w:rPr>
        <w:t>建议论文中统一使用的主句：</w:t>
      </w:r>
      <w:r>
        <w:t xml:space="preserve"> </w:t>
      </w:r>
      <w:r>
        <w:rPr>
          <w:i/>
        </w:rPr>
        <w:t>FHEStore studies the end-to-end ciphertext producer path from persistent data to an FHE accelerator.</w:t>
      </w:r>
    </w:p>
    <w:p>
      <w:pPr>
        <w:pStyle w:val="CompactBody"/>
      </w:pPr>
      <w:r>
        <w:rPr>
          <w:b/>
        </w:rPr>
        <w:t>进一步展开时：</w:t>
      </w:r>
      <w:r>
        <w:rPr>
          <w:i/>
        </w:rPr>
        <w:t xml:space="preserve"> Rather than accelerating another homomorphic evaluation primitive, FHEStore integrates data access, lightweight preprocessing, encoding/encryption, ciphertext buffering, and delivery to the downstream FHE backend.</w:t>
      </w:r>
    </w:p>
    <w:p>
      <w:pPr>
        <w:pStyle w:val="Heading1"/>
      </w:pPr>
      <w:r>
        <w:t>3. Related-work 叙事建议</w:t>
      </w:r>
    </w:p>
    <w:p>
      <w:pPr>
        <w:pStyle w:val="CompactBody"/>
      </w:pPr>
      <w:r>
        <w:rPr>
          <w:b/>
        </w:rPr>
        <w:t>相关工作不要简单写成“别人只做计算、我们做加密”。更稳妥的三层叙事是：</w:t>
      </w:r>
    </w:p>
    <w:p>
      <w:pPr>
        <w:pStyle w:val="CompactBody"/>
      </w:pPr>
      <w:r>
        <w:rPr>
          <w:b/>
        </w:rPr>
        <w:t>第一层：Consumer-side acceleration。</w:t>
      </w:r>
      <w:r>
        <w:t>F1、BTS、CraterLake、ARK 等代表性工作把重点放在 FHE evaluation、bootstrapping、memory hierarchy 和 evaluation-key movement 上。它们证明了 FHE backend 的性能正在被显著提升，也建立了一个越来越强的 ciphertext consumer。</w:t>
      </w:r>
    </w:p>
    <w:p>
      <w:pPr>
        <w:pStyle w:val="CompactBody"/>
      </w:pPr>
      <w:r>
        <w:rPr>
          <w:b/>
        </w:rPr>
        <w:t>第二层：Producer-side cryptographic kernels。</w:t>
      </w:r>
      <w:r>
        <w:t>Mert et al.、Lee et al.、Aloha-HE、ABC-FHE 等工作表明 client-side encoding/encryption/decryption 也存在明显硬件加速需求。特别是 Aloha-HE 明确采用 client/cloud 模型，并把 encode+encrypt 作为 client-side operations。</w:t>
      </w:r>
    </w:p>
    <w:p>
      <w:pPr>
        <w:pStyle w:val="CompactBody"/>
      </w:pPr>
      <w:r>
        <w:rPr>
          <w:b/>
        </w:rPr>
        <w:t>第三层：Producer path as a system problem。</w:t>
      </w:r>
      <w:r>
        <w:t>FHEStore 的区分点不是“首次加速 encryption”，而是把 producer 看成一条完整数据路径：数据从持久化形态被读取、预处理、编码/加密、缓冲，并被送到独立的 FHE backend。现有 client-side accelerator 往往从已经准备好的输入开始优化密码学 kernel；FHEStore 进一步把 persistent-data access 与 ciphertext delivery 纳入系统边界。</w:t>
      </w:r>
    </w:p>
    <w:p>
      <w:pPr>
        <w:pStyle w:val="Heading1"/>
      </w:pPr>
      <w:r>
        <w:t>4. 相关工作与对 Producer–Consumer 叙事的支撑</w:t>
      </w:r>
    </w:p>
    <w:p>
      <w:pPr>
        <w:pStyle w:val="CompactBody"/>
      </w:pPr>
      <w:r>
        <w:rPr>
          <w:i/>
        </w:rPr>
        <w:t>下面的表格区分“直接相关工作”和“场景/方法论佐证”。其中，带“预印本”的工作不建议作为核心 novelty 对比依据，但可以作为应用模式或趋势的旁证。</w:t>
      </w:r>
    </w:p>
    <w:tbl>
      <w:tblPr>
        <w:tblStyle w:val="TableGrid"/>
        <w:tblW w:type="auto" w:w="0"/>
        <w:jc w:val="center"/>
        <w:tblLayout w:type="fixed"/>
        <w:tblLook w:firstColumn="1" w:firstRow="1" w:lastColumn="0" w:lastRow="0" w:noHBand="0" w:noVBand="1" w:val="04A0"/>
      </w:tblPr>
      <w:tblGrid>
        <w:gridCol w:w="1757"/>
        <w:gridCol w:w="1123"/>
        <w:gridCol w:w="2232"/>
        <w:gridCol w:w="2664"/>
        <w:gridCol w:w="2088"/>
      </w:tblGrid>
      <w:tr>
        <w:trPr>
          <w:tblHeader w:val="true"/>
        </w:trPr>
        <w:tc>
          <w:tcPr>
            <w:tcW w:type="dxa" w:w="2016"/>
            <w:shd w:fill="D9EAF7"/>
            <w:vAlign w:val="center"/>
            <w:tcMar>
              <w:top w:w="60" w:type="dxa"/>
              <w:start w:w="70" w:type="dxa"/>
              <w:bottom w:w="60" w:type="dxa"/>
              <w:end w:w="70" w:type="dxa"/>
            </w:tcMar>
          </w:tcPr>
          <w:p>
            <w:pPr>
              <w:jc w:val="center"/>
            </w:pPr>
            <w:r>
              <w:rPr>
                <w:rFonts w:ascii="Arial" w:hAnsi="Arial" w:eastAsia="Noto Sans CJK SC"/>
                <w:b/>
                <w:sz w:val="17"/>
              </w:rPr>
              <w:t>工作</w:t>
            </w:r>
          </w:p>
        </w:tc>
        <w:tc>
          <w:tcPr>
            <w:tcW w:type="dxa" w:w="2016"/>
            <w:shd w:fill="D9EAF7"/>
            <w:vAlign w:val="center"/>
            <w:tcMar>
              <w:top w:w="60" w:type="dxa"/>
              <w:start w:w="70" w:type="dxa"/>
              <w:bottom w:w="60" w:type="dxa"/>
              <w:end w:w="70" w:type="dxa"/>
            </w:tcMar>
          </w:tcPr>
          <w:p>
            <w:pPr>
              <w:jc w:val="center"/>
            </w:pPr>
            <w:r>
              <w:rPr>
                <w:rFonts w:ascii="Arial" w:hAnsi="Arial" w:eastAsia="Noto Sans CJK SC"/>
                <w:b/>
                <w:sz w:val="17"/>
              </w:rPr>
              <w:t>位置</w:t>
            </w:r>
          </w:p>
        </w:tc>
        <w:tc>
          <w:tcPr>
            <w:tcW w:type="dxa" w:w="2016"/>
            <w:shd w:fill="D9EAF7"/>
            <w:vAlign w:val="center"/>
            <w:tcMar>
              <w:top w:w="60" w:type="dxa"/>
              <w:start w:w="70" w:type="dxa"/>
              <w:bottom w:w="60" w:type="dxa"/>
              <w:end w:w="70" w:type="dxa"/>
            </w:tcMar>
          </w:tcPr>
          <w:p>
            <w:pPr>
              <w:jc w:val="center"/>
            </w:pPr>
            <w:r>
              <w:rPr>
                <w:rFonts w:ascii="Arial" w:hAnsi="Arial" w:eastAsia="Noto Sans CJK SC"/>
                <w:b/>
                <w:sz w:val="17"/>
              </w:rPr>
              <w:t>核心内容</w:t>
            </w:r>
          </w:p>
        </w:tc>
        <w:tc>
          <w:tcPr>
            <w:tcW w:type="dxa" w:w="2016"/>
            <w:shd w:fill="D9EAF7"/>
            <w:vAlign w:val="center"/>
            <w:tcMar>
              <w:top w:w="60" w:type="dxa"/>
              <w:start w:w="70" w:type="dxa"/>
              <w:bottom w:w="60" w:type="dxa"/>
              <w:end w:w="70" w:type="dxa"/>
            </w:tcMar>
          </w:tcPr>
          <w:p>
            <w:pPr>
              <w:jc w:val="center"/>
            </w:pPr>
            <w:r>
              <w:rPr>
                <w:rFonts w:ascii="Arial" w:hAnsi="Arial" w:eastAsia="Noto Sans CJK SC"/>
                <w:b/>
                <w:sz w:val="17"/>
              </w:rPr>
              <w:t>为何支撑本叙事</w:t>
            </w:r>
          </w:p>
        </w:tc>
        <w:tc>
          <w:tcPr>
            <w:tcW w:type="dxa" w:w="2016"/>
            <w:shd w:fill="D9EAF7"/>
            <w:vAlign w:val="center"/>
            <w:tcMar>
              <w:top w:w="60" w:type="dxa"/>
              <w:start w:w="70" w:type="dxa"/>
              <w:bottom w:w="60" w:type="dxa"/>
              <w:end w:w="70" w:type="dxa"/>
            </w:tcMar>
          </w:tcPr>
          <w:p>
            <w:pPr>
              <w:jc w:val="center"/>
            </w:pPr>
            <w:r>
              <w:rPr>
                <w:rFonts w:ascii="Arial" w:hAnsi="Arial" w:eastAsia="Noto Sans CJK SC"/>
                <w:b/>
                <w:sz w:val="17"/>
              </w:rPr>
              <w:t>与 FHEStore 的边界</w:t>
            </w:r>
          </w:p>
        </w:tc>
      </w:tr>
      <w:tr>
        <w:tc>
          <w:tcPr>
            <w:tcW w:type="dxa" w:w="1757"/>
            <w:vAlign w:val="top"/>
            <w:tcMar>
              <w:top w:w="55" w:type="dxa"/>
              <w:start w:w="65" w:type="dxa"/>
              <w:bottom w:w="55" w:type="dxa"/>
              <w:end w:w="65" w:type="dxa"/>
            </w:tcMar>
          </w:tcPr>
          <w:p>
            <w:pPr>
              <w:spacing w:after="0" w:line="240" w:lineRule="auto"/>
            </w:pPr>
            <w:r>
              <w:rPr>
                <w:rFonts w:ascii="Arial" w:hAnsi="Arial" w:eastAsia="Noto Sans CJK SC"/>
                <w:sz w:val="16"/>
              </w:rPr>
              <w:t>F1 (MICRO 2021)</w:t>
            </w:r>
          </w:p>
        </w:tc>
        <w:tc>
          <w:tcPr>
            <w:tcW w:type="dxa" w:w="1123"/>
            <w:vAlign w:val="top"/>
            <w:tcMar>
              <w:top w:w="55" w:type="dxa"/>
              <w:start w:w="65" w:type="dxa"/>
              <w:bottom w:w="55" w:type="dxa"/>
              <w:end w:w="65" w:type="dxa"/>
            </w:tcMar>
          </w:tcPr>
          <w:p>
            <w:pPr>
              <w:spacing w:after="0" w:line="240" w:lineRule="auto"/>
            </w:pPr>
            <w:r>
              <w:rPr>
                <w:rFonts w:ascii="Arial" w:hAnsi="Arial" w:eastAsia="Noto Sans CJK SC"/>
                <w:sz w:val="15"/>
              </w:rPr>
              <w:t>Consumer</w:t>
            </w:r>
          </w:p>
        </w:tc>
        <w:tc>
          <w:tcPr>
            <w:tcW w:type="dxa" w:w="2232"/>
            <w:vAlign w:val="top"/>
            <w:tcMar>
              <w:top w:w="55" w:type="dxa"/>
              <w:start w:w="65" w:type="dxa"/>
              <w:bottom w:w="55" w:type="dxa"/>
              <w:end w:w="65" w:type="dxa"/>
            </w:tcMar>
          </w:tcPr>
          <w:p>
            <w:pPr>
              <w:spacing w:after="0" w:line="240" w:lineRule="auto"/>
            </w:pPr>
            <w:r>
              <w:rPr>
                <w:rFonts w:ascii="Arial" w:hAnsi="Arial" w:eastAsia="Noto Sans CJK SC"/>
                <w:sz w:val="15"/>
              </w:rPr>
              <w:t>可编程 FHE accelerator，面向完整 FHE programs；重点优化 modular arithmetic、NTT、memory hierarchy 和 data movement。</w:t>
            </w:r>
          </w:p>
        </w:tc>
        <w:tc>
          <w:tcPr>
            <w:tcW w:type="dxa" w:w="2664"/>
            <w:vAlign w:val="top"/>
            <w:tcMar>
              <w:top w:w="55" w:type="dxa"/>
              <w:start w:w="65" w:type="dxa"/>
              <w:bottom w:w="55" w:type="dxa"/>
              <w:end w:w="65" w:type="dxa"/>
            </w:tcMar>
          </w:tcPr>
          <w:p>
            <w:pPr>
              <w:spacing w:after="0" w:line="240" w:lineRule="auto"/>
            </w:pPr>
            <w:r>
              <w:rPr>
                <w:rFonts w:ascii="Arial" w:hAnsi="Arial" w:eastAsia="Noto Sans CJK SC"/>
                <w:sz w:val="15"/>
              </w:rPr>
              <w:t>直接佐证“FHE accelerator 主要优化 ciphertext 已准备好之后的 evaluation”。F1 甚至指出高 compute throughput 后 data movement 会成为瓶颈。</w:t>
            </w:r>
          </w:p>
        </w:tc>
        <w:tc>
          <w:tcPr>
            <w:tcW w:type="dxa" w:w="2088"/>
            <w:vAlign w:val="top"/>
            <w:tcMar>
              <w:top w:w="55" w:type="dxa"/>
              <w:start w:w="65" w:type="dxa"/>
              <w:bottom w:w="55" w:type="dxa"/>
              <w:end w:w="65" w:type="dxa"/>
            </w:tcMar>
          </w:tcPr>
          <w:p>
            <w:pPr>
              <w:spacing w:after="0" w:line="240" w:lineRule="auto"/>
            </w:pPr>
            <w:r>
              <w:rPr>
                <w:rFonts w:ascii="Arial" w:hAnsi="Arial" w:eastAsia="Noto Sans CJK SC"/>
                <w:sz w:val="15"/>
              </w:rPr>
              <w:t>不覆盖 persistent plaintext → ciphertext producer path。</w:t>
            </w:r>
          </w:p>
        </w:tc>
      </w:tr>
      <w:tr>
        <w:tc>
          <w:tcPr>
            <w:tcW w:type="dxa" w:w="1757"/>
            <w:shd w:fill="F8FAFC"/>
            <w:vAlign w:val="top"/>
            <w:tcMar>
              <w:top w:w="55" w:type="dxa"/>
              <w:start w:w="65" w:type="dxa"/>
              <w:bottom w:w="55" w:type="dxa"/>
              <w:end w:w="65" w:type="dxa"/>
            </w:tcMar>
          </w:tcPr>
          <w:p>
            <w:pPr>
              <w:spacing w:after="0" w:line="240" w:lineRule="auto"/>
            </w:pPr>
            <w:r>
              <w:rPr>
                <w:rFonts w:ascii="Arial" w:hAnsi="Arial" w:eastAsia="Noto Sans CJK SC"/>
                <w:sz w:val="16"/>
              </w:rPr>
              <w:t>BTS (ISCA 2022)</w:t>
            </w:r>
          </w:p>
        </w:tc>
        <w:tc>
          <w:tcPr>
            <w:tcW w:type="dxa" w:w="1123"/>
            <w:shd w:fill="F8FAFC"/>
            <w:vAlign w:val="top"/>
            <w:tcMar>
              <w:top w:w="55" w:type="dxa"/>
              <w:start w:w="65" w:type="dxa"/>
              <w:bottom w:w="55" w:type="dxa"/>
              <w:end w:w="65" w:type="dxa"/>
            </w:tcMar>
          </w:tcPr>
          <w:p>
            <w:pPr>
              <w:spacing w:after="0" w:line="240" w:lineRule="auto"/>
            </w:pPr>
            <w:r>
              <w:rPr>
                <w:rFonts w:ascii="Arial" w:hAnsi="Arial" w:eastAsia="Noto Sans CJK SC"/>
                <w:sz w:val="15"/>
              </w:rPr>
              <w:t>Consumer</w:t>
            </w:r>
          </w:p>
        </w:tc>
        <w:tc>
          <w:tcPr>
            <w:tcW w:type="dxa" w:w="2232"/>
            <w:shd w:fill="F8FAFC"/>
            <w:vAlign w:val="top"/>
            <w:tcMar>
              <w:top w:w="55" w:type="dxa"/>
              <w:start w:w="65" w:type="dxa"/>
              <w:bottom w:w="55" w:type="dxa"/>
              <w:end w:w="65" w:type="dxa"/>
            </w:tcMar>
          </w:tcPr>
          <w:p>
            <w:pPr>
              <w:spacing w:after="0" w:line="240" w:lineRule="auto"/>
            </w:pPr>
            <w:r>
              <w:rPr>
                <w:rFonts w:ascii="Arial" w:hAnsi="Arial" w:eastAsia="Noto Sans CJK SC"/>
                <w:sz w:val="15"/>
              </w:rPr>
              <w:t>把 bootstrapping 作为一等公民，围绕计算与 off-chip bandwidth 设计大规模 PE 和 NoC。</w:t>
            </w:r>
          </w:p>
        </w:tc>
        <w:tc>
          <w:tcPr>
            <w:tcW w:type="dxa" w:w="2664"/>
            <w:shd w:fill="F8FAFC"/>
            <w:vAlign w:val="top"/>
            <w:tcMar>
              <w:top w:w="55" w:type="dxa"/>
              <w:start w:w="65" w:type="dxa"/>
              <w:bottom w:w="55" w:type="dxa"/>
              <w:end w:w="65" w:type="dxa"/>
            </w:tcMar>
          </w:tcPr>
          <w:p>
            <w:pPr>
              <w:spacing w:after="0" w:line="240" w:lineRule="auto"/>
            </w:pPr>
            <w:r>
              <w:rPr>
                <w:rFonts w:ascii="Arial" w:hAnsi="Arial" w:eastAsia="Noto Sans CJK SC"/>
                <w:sz w:val="15"/>
              </w:rPr>
              <w:t>说明主流 accelerator 研究重点是 bootstrapping/evaluation backend，也说明 consumer 对带宽极为敏感。</w:t>
            </w:r>
          </w:p>
        </w:tc>
        <w:tc>
          <w:tcPr>
            <w:tcW w:type="dxa" w:w="2088"/>
            <w:shd w:fill="F8FAFC"/>
            <w:vAlign w:val="top"/>
            <w:tcMar>
              <w:top w:w="55" w:type="dxa"/>
              <w:start w:w="65" w:type="dxa"/>
              <w:bottom w:w="55" w:type="dxa"/>
              <w:end w:w="65" w:type="dxa"/>
            </w:tcMar>
          </w:tcPr>
          <w:p>
            <w:pPr>
              <w:spacing w:after="0" w:line="240" w:lineRule="auto"/>
            </w:pPr>
            <w:r>
              <w:rPr>
                <w:rFonts w:ascii="Arial" w:hAnsi="Arial" w:eastAsia="Noto Sans CJK SC"/>
                <w:sz w:val="15"/>
              </w:rPr>
              <w:t>不解决 client/persistent-data 侧的 ciphertext supply。</w:t>
            </w:r>
          </w:p>
        </w:tc>
      </w:tr>
      <w:tr>
        <w:tc>
          <w:tcPr>
            <w:tcW w:type="dxa" w:w="1757"/>
            <w:vAlign w:val="top"/>
            <w:tcMar>
              <w:top w:w="55" w:type="dxa"/>
              <w:start w:w="65" w:type="dxa"/>
              <w:bottom w:w="55" w:type="dxa"/>
              <w:end w:w="65" w:type="dxa"/>
            </w:tcMar>
          </w:tcPr>
          <w:p>
            <w:pPr>
              <w:spacing w:after="0" w:line="240" w:lineRule="auto"/>
            </w:pPr>
            <w:r>
              <w:rPr>
                <w:rFonts w:ascii="Arial" w:hAnsi="Arial" w:eastAsia="Noto Sans CJK SC"/>
                <w:sz w:val="16"/>
              </w:rPr>
              <w:t>CraterLake (ISCA 2022)</w:t>
            </w:r>
          </w:p>
        </w:tc>
        <w:tc>
          <w:tcPr>
            <w:tcW w:type="dxa" w:w="1123"/>
            <w:vAlign w:val="top"/>
            <w:tcMar>
              <w:top w:w="55" w:type="dxa"/>
              <w:start w:w="65" w:type="dxa"/>
              <w:bottom w:w="55" w:type="dxa"/>
              <w:end w:w="65" w:type="dxa"/>
            </w:tcMar>
          </w:tcPr>
          <w:p>
            <w:pPr>
              <w:spacing w:after="0" w:line="240" w:lineRule="auto"/>
            </w:pPr>
            <w:r>
              <w:rPr>
                <w:rFonts w:ascii="Arial" w:hAnsi="Arial" w:eastAsia="Noto Sans CJK SC"/>
                <w:sz w:val="15"/>
              </w:rPr>
              <w:t>Consumer</w:t>
            </w:r>
          </w:p>
        </w:tc>
        <w:tc>
          <w:tcPr>
            <w:tcW w:type="dxa" w:w="2232"/>
            <w:vAlign w:val="top"/>
            <w:tcMar>
              <w:top w:w="55" w:type="dxa"/>
              <w:start w:w="65" w:type="dxa"/>
              <w:bottom w:w="55" w:type="dxa"/>
              <w:end w:w="65" w:type="dxa"/>
            </w:tcMar>
          </w:tcPr>
          <w:p>
            <w:pPr>
              <w:spacing w:after="0" w:line="240" w:lineRule="auto"/>
            </w:pPr>
            <w:r>
              <w:rPr>
                <w:rFonts w:ascii="Arial" w:hAnsi="Arial" w:eastAsia="Noto Sans CJK SC"/>
                <w:sz w:val="15"/>
              </w:rPr>
              <w:t>支持 unbounded FHE programs，针对超大 ciphertext、key kernels 与数据移动设计硬件和编译优化。</w:t>
            </w:r>
          </w:p>
        </w:tc>
        <w:tc>
          <w:tcPr>
            <w:tcW w:type="dxa" w:w="2664"/>
            <w:vAlign w:val="top"/>
            <w:tcMar>
              <w:top w:w="55" w:type="dxa"/>
              <w:start w:w="65" w:type="dxa"/>
              <w:bottom w:w="55" w:type="dxa"/>
              <w:end w:w="65" w:type="dxa"/>
            </w:tcMar>
          </w:tcPr>
          <w:p>
            <w:pPr>
              <w:spacing w:after="0" w:line="240" w:lineRule="auto"/>
            </w:pPr>
            <w:r>
              <w:rPr>
                <w:rFonts w:ascii="Arial" w:hAnsi="Arial" w:eastAsia="Noto Sans CJK SC"/>
                <w:sz w:val="15"/>
              </w:rPr>
              <w:t>进一步强化“consumer 已被高度专用化”的背景；后端变快后，前端供给路径更值得单独观察。</w:t>
            </w:r>
          </w:p>
        </w:tc>
        <w:tc>
          <w:tcPr>
            <w:tcW w:type="dxa" w:w="2088"/>
            <w:vAlign w:val="top"/>
            <w:tcMar>
              <w:top w:w="55" w:type="dxa"/>
              <w:start w:w="65" w:type="dxa"/>
              <w:bottom w:w="55" w:type="dxa"/>
              <w:end w:w="65" w:type="dxa"/>
            </w:tcMar>
          </w:tcPr>
          <w:p>
            <w:pPr>
              <w:spacing w:after="0" w:line="240" w:lineRule="auto"/>
            </w:pPr>
            <w:r>
              <w:rPr>
                <w:rFonts w:ascii="Arial" w:hAnsi="Arial" w:eastAsia="Noto Sans CJK SC"/>
                <w:sz w:val="15"/>
              </w:rPr>
              <w:t>研究对象仍是 encrypted computation。</w:t>
            </w:r>
          </w:p>
        </w:tc>
      </w:tr>
      <w:tr>
        <w:tc>
          <w:tcPr>
            <w:tcW w:type="dxa" w:w="1757"/>
            <w:shd w:fill="F8FAFC"/>
            <w:vAlign w:val="top"/>
            <w:tcMar>
              <w:top w:w="55" w:type="dxa"/>
              <w:start w:w="65" w:type="dxa"/>
              <w:bottom w:w="55" w:type="dxa"/>
              <w:end w:w="65" w:type="dxa"/>
            </w:tcMar>
          </w:tcPr>
          <w:p>
            <w:pPr>
              <w:spacing w:after="0" w:line="240" w:lineRule="auto"/>
            </w:pPr>
            <w:r>
              <w:rPr>
                <w:rFonts w:ascii="Arial" w:hAnsi="Arial" w:eastAsia="Noto Sans CJK SC"/>
                <w:sz w:val="16"/>
              </w:rPr>
              <w:t>ARK (MICRO 2022)</w:t>
            </w:r>
          </w:p>
        </w:tc>
        <w:tc>
          <w:tcPr>
            <w:tcW w:type="dxa" w:w="1123"/>
            <w:shd w:fill="F8FAFC"/>
            <w:vAlign w:val="top"/>
            <w:tcMar>
              <w:top w:w="55" w:type="dxa"/>
              <w:start w:w="65" w:type="dxa"/>
              <w:bottom w:w="55" w:type="dxa"/>
              <w:end w:w="65" w:type="dxa"/>
            </w:tcMar>
          </w:tcPr>
          <w:p>
            <w:pPr>
              <w:spacing w:after="0" w:line="240" w:lineRule="auto"/>
            </w:pPr>
            <w:r>
              <w:rPr>
                <w:rFonts w:ascii="Arial" w:hAnsi="Arial" w:eastAsia="Noto Sans CJK SC"/>
                <w:sz w:val="15"/>
              </w:rPr>
              <w:t>Consumer</w:t>
            </w:r>
          </w:p>
        </w:tc>
        <w:tc>
          <w:tcPr>
            <w:tcW w:type="dxa" w:w="2232"/>
            <w:shd w:fill="F8FAFC"/>
            <w:vAlign w:val="top"/>
            <w:tcMar>
              <w:top w:w="55" w:type="dxa"/>
              <w:start w:w="65" w:type="dxa"/>
              <w:bottom w:w="55" w:type="dxa"/>
              <w:end w:w="65" w:type="dxa"/>
            </w:tcMar>
          </w:tcPr>
          <w:p>
            <w:pPr>
              <w:spacing w:after="0" w:line="240" w:lineRule="auto"/>
            </w:pPr>
            <w:r>
              <w:rPr>
                <w:rFonts w:ascii="Arial" w:hAnsi="Arial" w:eastAsia="Noto Sans CJK SC"/>
                <w:sz w:val="15"/>
              </w:rPr>
              <w:t>针对 FHE memory-bound 特征，通过 runtime data generation 和 key reuse 缓解 bootstrapping 的 off-chip bandwidth。</w:t>
            </w:r>
          </w:p>
        </w:tc>
        <w:tc>
          <w:tcPr>
            <w:tcW w:type="dxa" w:w="2664"/>
            <w:shd w:fill="F8FAFC"/>
            <w:vAlign w:val="top"/>
            <w:tcMar>
              <w:top w:w="55" w:type="dxa"/>
              <w:start w:w="65" w:type="dxa"/>
              <w:bottom w:w="55" w:type="dxa"/>
              <w:end w:w="65" w:type="dxa"/>
            </w:tcMar>
          </w:tcPr>
          <w:p>
            <w:pPr>
              <w:spacing w:after="0" w:line="240" w:lineRule="auto"/>
            </w:pPr>
            <w:r>
              <w:rPr>
                <w:rFonts w:ascii="Arial" w:hAnsi="Arial" w:eastAsia="Noto Sans CJK SC"/>
                <w:sz w:val="15"/>
              </w:rPr>
              <w:t>说明 FHE 系统中的 memory/data movement 已是架构级问题，为 FHEStore 讨论 producer-side memory/movement 提供背景。</w:t>
            </w:r>
          </w:p>
        </w:tc>
        <w:tc>
          <w:tcPr>
            <w:tcW w:type="dxa" w:w="2088"/>
            <w:shd w:fill="F8FAFC"/>
            <w:vAlign w:val="top"/>
            <w:tcMar>
              <w:top w:w="55" w:type="dxa"/>
              <w:start w:w="65" w:type="dxa"/>
              <w:bottom w:w="55" w:type="dxa"/>
              <w:end w:w="65" w:type="dxa"/>
            </w:tcMar>
          </w:tcPr>
          <w:p>
            <w:pPr>
              <w:spacing w:after="0" w:line="240" w:lineRule="auto"/>
            </w:pPr>
            <w:r>
              <w:rPr>
                <w:rFonts w:ascii="Arial" w:hAnsi="Arial" w:eastAsia="Noto Sans CJK SC"/>
                <w:sz w:val="15"/>
              </w:rPr>
              <w:t>优化的是 evaluation 内部数据流，不是 plaintext-to-ciphertext producer。</w:t>
            </w:r>
          </w:p>
        </w:tc>
      </w:tr>
      <w:tr>
        <w:tc>
          <w:tcPr>
            <w:tcW w:type="dxa" w:w="1757"/>
            <w:vAlign w:val="top"/>
            <w:tcMar>
              <w:top w:w="55" w:type="dxa"/>
              <w:start w:w="65" w:type="dxa"/>
              <w:bottom w:w="55" w:type="dxa"/>
              <w:end w:w="65" w:type="dxa"/>
            </w:tcMar>
          </w:tcPr>
          <w:p>
            <w:pPr>
              <w:spacing w:after="0" w:line="240" w:lineRule="auto"/>
            </w:pPr>
            <w:r>
              <w:rPr>
                <w:rFonts w:ascii="Arial" w:hAnsi="Arial" w:eastAsia="Noto Sans CJK SC"/>
                <w:sz w:val="16"/>
              </w:rPr>
              <w:t>Mert et al. (IEEE TVLSI 2020)</w:t>
            </w:r>
          </w:p>
        </w:tc>
        <w:tc>
          <w:tcPr>
            <w:tcW w:type="dxa" w:w="1123"/>
            <w:vAlign w:val="top"/>
            <w:tcMar>
              <w:top w:w="55" w:type="dxa"/>
              <w:start w:w="65" w:type="dxa"/>
              <w:bottom w:w="55" w:type="dxa"/>
              <w:end w:w="65" w:type="dxa"/>
            </w:tcMar>
          </w:tcPr>
          <w:p>
            <w:pPr>
              <w:spacing w:after="0" w:line="240" w:lineRule="auto"/>
            </w:pPr>
            <w:r>
              <w:rPr>
                <w:rFonts w:ascii="Arial" w:hAnsi="Arial" w:eastAsia="Noto Sans CJK SC"/>
                <w:sz w:val="15"/>
              </w:rPr>
              <w:t>Producer kernel</w:t>
            </w:r>
          </w:p>
        </w:tc>
        <w:tc>
          <w:tcPr>
            <w:tcW w:type="dxa" w:w="2232"/>
            <w:vAlign w:val="top"/>
            <w:tcMar>
              <w:top w:w="55" w:type="dxa"/>
              <w:start w:w="65" w:type="dxa"/>
              <w:bottom w:w="55" w:type="dxa"/>
              <w:end w:w="65" w:type="dxa"/>
            </w:tcMar>
          </w:tcPr>
          <w:p>
            <w:pPr>
              <w:spacing w:after="0" w:line="240" w:lineRule="auto"/>
            </w:pPr>
            <w:r>
              <w:rPr>
                <w:rFonts w:ascii="Arial" w:hAnsi="Arial" w:eastAsia="Noto Sans CJK SC"/>
                <w:sz w:val="15"/>
              </w:rPr>
              <w:t>FPGA 加速 BFV encryption/decryption，并通过 PCIe 与 host software 协同。</w:t>
            </w:r>
          </w:p>
        </w:tc>
        <w:tc>
          <w:tcPr>
            <w:tcW w:type="dxa" w:w="2664"/>
            <w:vAlign w:val="top"/>
            <w:tcMar>
              <w:top w:w="55" w:type="dxa"/>
              <w:start w:w="65" w:type="dxa"/>
              <w:bottom w:w="55" w:type="dxa"/>
              <w:end w:w="65" w:type="dxa"/>
            </w:tcMar>
          </w:tcPr>
          <w:p>
            <w:pPr>
              <w:spacing w:after="0" w:line="240" w:lineRule="auto"/>
            </w:pPr>
            <w:r>
              <w:rPr>
                <w:rFonts w:ascii="Arial" w:hAnsi="Arial" w:eastAsia="Noto Sans CJK SC"/>
                <w:sz w:val="15"/>
              </w:rPr>
              <w:t>直接证明“encryption/decryption kernel 可作为 client-side acceleration target”。</w:t>
            </w:r>
          </w:p>
        </w:tc>
        <w:tc>
          <w:tcPr>
            <w:tcW w:type="dxa" w:w="2088"/>
            <w:vAlign w:val="top"/>
            <w:tcMar>
              <w:top w:w="55" w:type="dxa"/>
              <w:start w:w="65" w:type="dxa"/>
              <w:bottom w:w="55" w:type="dxa"/>
              <w:end w:w="65" w:type="dxa"/>
            </w:tcMar>
          </w:tcPr>
          <w:p>
            <w:pPr>
              <w:spacing w:after="0" w:line="240" w:lineRule="auto"/>
            </w:pPr>
            <w:r>
              <w:rPr>
                <w:rFonts w:ascii="Arial" w:hAnsi="Arial" w:eastAsia="Noto Sans CJK SC"/>
                <w:sz w:val="15"/>
              </w:rPr>
              <w:t>起点基本是已准备好的数据/cryptographic inputs；未把 storage access、preprocessing、delivery 作为整体系统路径。</w:t>
            </w:r>
          </w:p>
        </w:tc>
      </w:tr>
      <w:tr>
        <w:tc>
          <w:tcPr>
            <w:tcW w:type="dxa" w:w="1757"/>
            <w:shd w:fill="F8FAFC"/>
            <w:vAlign w:val="top"/>
            <w:tcMar>
              <w:top w:w="55" w:type="dxa"/>
              <w:start w:w="65" w:type="dxa"/>
              <w:bottom w:w="55" w:type="dxa"/>
              <w:end w:w="65" w:type="dxa"/>
            </w:tcMar>
          </w:tcPr>
          <w:p>
            <w:pPr>
              <w:spacing w:after="0" w:line="240" w:lineRule="auto"/>
            </w:pPr>
            <w:r>
              <w:rPr>
                <w:rFonts w:ascii="Arial" w:hAnsi="Arial" w:eastAsia="Noto Sans CJK SC"/>
                <w:sz w:val="16"/>
              </w:rPr>
              <w:t>Lee et al. (Sensors 2023)</w:t>
            </w:r>
          </w:p>
        </w:tc>
        <w:tc>
          <w:tcPr>
            <w:tcW w:type="dxa" w:w="1123"/>
            <w:shd w:fill="F8FAFC"/>
            <w:vAlign w:val="top"/>
            <w:tcMar>
              <w:top w:w="55" w:type="dxa"/>
              <w:start w:w="65" w:type="dxa"/>
              <w:bottom w:w="55" w:type="dxa"/>
              <w:end w:w="65" w:type="dxa"/>
            </w:tcMar>
          </w:tcPr>
          <w:p>
            <w:pPr>
              <w:spacing w:after="0" w:line="240" w:lineRule="auto"/>
            </w:pPr>
            <w:r>
              <w:rPr>
                <w:rFonts w:ascii="Arial" w:hAnsi="Arial" w:eastAsia="Noto Sans CJK SC"/>
                <w:sz w:val="15"/>
              </w:rPr>
              <w:t>Producer kernel</w:t>
            </w:r>
          </w:p>
        </w:tc>
        <w:tc>
          <w:tcPr>
            <w:tcW w:type="dxa" w:w="2232"/>
            <w:shd w:fill="F8FAFC"/>
            <w:vAlign w:val="top"/>
            <w:tcMar>
              <w:top w:w="55" w:type="dxa"/>
              <w:start w:w="65" w:type="dxa"/>
              <w:bottom w:w="55" w:type="dxa"/>
              <w:end w:w="65" w:type="dxa"/>
            </w:tcMar>
          </w:tcPr>
          <w:p>
            <w:pPr>
              <w:spacing w:after="0" w:line="240" w:lineRule="auto"/>
            </w:pPr>
            <w:r>
              <w:rPr>
                <w:rFonts w:ascii="Arial" w:hAnsi="Arial" w:eastAsia="Noto Sans CJK SC"/>
                <w:sz w:val="15"/>
              </w:rPr>
              <w:t>面向 edge/client 的 CKKS encryption/decryption FPGA architecture；论文明确对比 cloud-side evaluation 与 edge-side ENC/DEC。</w:t>
            </w:r>
          </w:p>
        </w:tc>
        <w:tc>
          <w:tcPr>
            <w:tcW w:type="dxa" w:w="2664"/>
            <w:shd w:fill="F8FAFC"/>
            <w:vAlign w:val="top"/>
            <w:tcMar>
              <w:top w:w="55" w:type="dxa"/>
              <w:start w:w="65" w:type="dxa"/>
              <w:bottom w:w="55" w:type="dxa"/>
              <w:end w:w="65" w:type="dxa"/>
            </w:tcMar>
          </w:tcPr>
          <w:p>
            <w:pPr>
              <w:spacing w:after="0" w:line="240" w:lineRule="auto"/>
            </w:pPr>
            <w:r>
              <w:rPr>
                <w:rFonts w:ascii="Arial" w:hAnsi="Arial" w:eastAsia="Noto Sans CJK SC"/>
                <w:sz w:val="15"/>
              </w:rPr>
              <w:t>非常适合支撑“producer side 也需要硬件加速”，并提供 edge→cloud 应用语境。</w:t>
            </w:r>
          </w:p>
        </w:tc>
        <w:tc>
          <w:tcPr>
            <w:tcW w:type="dxa" w:w="2088"/>
            <w:shd w:fill="F8FAFC"/>
            <w:vAlign w:val="top"/>
            <w:tcMar>
              <w:top w:w="55" w:type="dxa"/>
              <w:start w:w="65" w:type="dxa"/>
              <w:bottom w:w="55" w:type="dxa"/>
              <w:end w:w="65" w:type="dxa"/>
            </w:tcMar>
          </w:tcPr>
          <w:p>
            <w:pPr>
              <w:spacing w:after="0" w:line="240" w:lineRule="auto"/>
            </w:pPr>
            <w:r>
              <w:rPr>
                <w:rFonts w:ascii="Arial" w:hAnsi="Arial" w:eastAsia="Noto Sans CJK SC"/>
                <w:sz w:val="15"/>
              </w:rPr>
              <w:t>仍主要聚焦 ENC/DEC architecture，而非 persistent-data-to-backend 的完整路径。</w:t>
            </w:r>
          </w:p>
        </w:tc>
      </w:tr>
      <w:tr>
        <w:tc>
          <w:tcPr>
            <w:tcW w:type="dxa" w:w="1757"/>
            <w:vAlign w:val="top"/>
            <w:tcMar>
              <w:top w:w="55" w:type="dxa"/>
              <w:start w:w="65" w:type="dxa"/>
              <w:bottom w:w="55" w:type="dxa"/>
              <w:end w:w="65" w:type="dxa"/>
            </w:tcMar>
          </w:tcPr>
          <w:p>
            <w:pPr>
              <w:spacing w:after="0" w:line="240" w:lineRule="auto"/>
            </w:pPr>
            <w:r>
              <w:rPr>
                <w:rFonts w:ascii="Arial" w:hAnsi="Arial" w:eastAsia="Noto Sans CJK SC"/>
                <w:sz w:val="16"/>
              </w:rPr>
              <w:t>Aloha-HE (DATE 2024)</w:t>
            </w:r>
          </w:p>
        </w:tc>
        <w:tc>
          <w:tcPr>
            <w:tcW w:type="dxa" w:w="1123"/>
            <w:vAlign w:val="top"/>
            <w:tcMar>
              <w:top w:w="55" w:type="dxa"/>
              <w:start w:w="65" w:type="dxa"/>
              <w:bottom w:w="55" w:type="dxa"/>
              <w:end w:w="65" w:type="dxa"/>
            </w:tcMar>
          </w:tcPr>
          <w:p>
            <w:pPr>
              <w:spacing w:after="0" w:line="240" w:lineRule="auto"/>
            </w:pPr>
            <w:r>
              <w:rPr>
                <w:rFonts w:ascii="Arial" w:hAnsi="Arial" w:eastAsia="Noto Sans CJK SC"/>
                <w:sz w:val="15"/>
              </w:rPr>
              <w:t>Producer kernel</w:t>
            </w:r>
          </w:p>
        </w:tc>
        <w:tc>
          <w:tcPr>
            <w:tcW w:type="dxa" w:w="2232"/>
            <w:vAlign w:val="top"/>
            <w:tcMar>
              <w:top w:w="55" w:type="dxa"/>
              <w:start w:w="65" w:type="dxa"/>
              <w:bottom w:w="55" w:type="dxa"/>
              <w:end w:w="65" w:type="dxa"/>
            </w:tcMar>
          </w:tcPr>
          <w:p>
            <w:pPr>
              <w:spacing w:after="0" w:line="240" w:lineRule="auto"/>
            </w:pPr>
            <w:r>
              <w:rPr>
                <w:rFonts w:ascii="Arial" w:hAnsi="Arial" w:eastAsia="Noto Sans CJK SC"/>
                <w:sz w:val="15"/>
              </w:rPr>
              <w:t>统一支持 CKKS encode+encrypt 与 decode+decrypt；论文明确采用 client/cloud 模型。</w:t>
            </w:r>
          </w:p>
        </w:tc>
        <w:tc>
          <w:tcPr>
            <w:tcW w:type="dxa" w:w="2664"/>
            <w:vAlign w:val="top"/>
            <w:tcMar>
              <w:top w:w="55" w:type="dxa"/>
              <w:start w:w="65" w:type="dxa"/>
              <w:bottom w:w="55" w:type="dxa"/>
              <w:end w:w="65" w:type="dxa"/>
            </w:tcMar>
          </w:tcPr>
          <w:p>
            <w:pPr>
              <w:spacing w:after="0" w:line="240" w:lineRule="auto"/>
            </w:pPr>
            <w:r>
              <w:rPr>
                <w:rFonts w:ascii="Arial" w:hAnsi="Arial" w:eastAsia="Noto Sans CJK SC"/>
                <w:sz w:val="15"/>
              </w:rPr>
              <w:t>这是 Producer–Consumer 叙事最重要的佐证之一：client 生成 ciphertext 并发送给 cloud，而既有多数工作集中于 server-side operations。</w:t>
            </w:r>
          </w:p>
        </w:tc>
        <w:tc>
          <w:tcPr>
            <w:tcW w:type="dxa" w:w="2088"/>
            <w:vAlign w:val="top"/>
            <w:tcMar>
              <w:top w:w="55" w:type="dxa"/>
              <w:start w:w="65" w:type="dxa"/>
              <w:bottom w:w="55" w:type="dxa"/>
              <w:end w:w="65" w:type="dxa"/>
            </w:tcMar>
          </w:tcPr>
          <w:p>
            <w:pPr>
              <w:spacing w:after="0" w:line="240" w:lineRule="auto"/>
            </w:pPr>
            <w:r>
              <w:rPr>
                <w:rFonts w:ascii="Arial" w:hAnsi="Arial" w:eastAsia="Noto Sans CJK SC"/>
                <w:sz w:val="15"/>
              </w:rPr>
              <w:t>Aloha-HE 把 client-side cryptographic operations 做完整，但不以 storage-resident data access + transfer pipeline 为研究对象。</w:t>
            </w:r>
          </w:p>
        </w:tc>
      </w:tr>
      <w:tr>
        <w:tc>
          <w:tcPr>
            <w:tcW w:type="dxa" w:w="1757"/>
            <w:shd w:fill="F8FAFC"/>
            <w:vAlign w:val="top"/>
            <w:tcMar>
              <w:top w:w="55" w:type="dxa"/>
              <w:start w:w="65" w:type="dxa"/>
              <w:bottom w:w="55" w:type="dxa"/>
              <w:end w:w="65" w:type="dxa"/>
            </w:tcMar>
          </w:tcPr>
          <w:p>
            <w:pPr>
              <w:spacing w:after="0" w:line="240" w:lineRule="auto"/>
            </w:pPr>
            <w:r>
              <w:rPr>
                <w:rFonts w:ascii="Arial" w:hAnsi="Arial" w:eastAsia="Noto Sans CJK SC"/>
                <w:sz w:val="16"/>
              </w:rPr>
              <w:t>ABC-FHE (2025, preprint)</w:t>
            </w:r>
          </w:p>
        </w:tc>
        <w:tc>
          <w:tcPr>
            <w:tcW w:type="dxa" w:w="1123"/>
            <w:shd w:fill="F8FAFC"/>
            <w:vAlign w:val="top"/>
            <w:tcMar>
              <w:top w:w="55" w:type="dxa"/>
              <w:start w:w="65" w:type="dxa"/>
              <w:bottom w:w="55" w:type="dxa"/>
              <w:end w:w="65" w:type="dxa"/>
            </w:tcMar>
          </w:tcPr>
          <w:p>
            <w:pPr>
              <w:spacing w:after="0" w:line="240" w:lineRule="auto"/>
            </w:pPr>
            <w:r>
              <w:rPr>
                <w:rFonts w:ascii="Arial" w:hAnsi="Arial" w:eastAsia="Noto Sans CJK SC"/>
                <w:sz w:val="15"/>
              </w:rPr>
              <w:t>Producer kernel</w:t>
            </w:r>
          </w:p>
        </w:tc>
        <w:tc>
          <w:tcPr>
            <w:tcW w:type="dxa" w:w="2232"/>
            <w:shd w:fill="F8FAFC"/>
            <w:vAlign w:val="top"/>
            <w:tcMar>
              <w:top w:w="55" w:type="dxa"/>
              <w:start w:w="65" w:type="dxa"/>
              <w:bottom w:w="55" w:type="dxa"/>
              <w:end w:w="65" w:type="dxa"/>
            </w:tcMar>
          </w:tcPr>
          <w:p>
            <w:pPr>
              <w:spacing w:after="0" w:line="240" w:lineRule="auto"/>
            </w:pPr>
            <w:r>
              <w:rPr>
                <w:rFonts w:ascii="Arial" w:hAnsi="Arial" w:eastAsia="Noto Sans CJK SC"/>
                <w:sz w:val="15"/>
              </w:rPr>
              <w:t>针对 bootstrappable parameters 的 client-side encoding/encryption/decoding/decryption，采用 streaming architecture。</w:t>
            </w:r>
          </w:p>
        </w:tc>
        <w:tc>
          <w:tcPr>
            <w:tcW w:type="dxa" w:w="2664"/>
            <w:shd w:fill="F8FAFC"/>
            <w:vAlign w:val="top"/>
            <w:tcMar>
              <w:top w:w="55" w:type="dxa"/>
              <w:start w:w="65" w:type="dxa"/>
              <w:bottom w:w="55" w:type="dxa"/>
              <w:end w:w="65" w:type="dxa"/>
            </w:tcMar>
          </w:tcPr>
          <w:p>
            <w:pPr>
              <w:spacing w:after="0" w:line="240" w:lineRule="auto"/>
            </w:pPr>
            <w:r>
              <w:rPr>
                <w:rFonts w:ascii="Arial" w:hAnsi="Arial" w:eastAsia="Noto Sans CJK SC"/>
                <w:sz w:val="15"/>
              </w:rPr>
              <w:t>进一步说明在 server-side acceleration 提升后，client-side computation 正被识别为瓶颈。</w:t>
            </w:r>
          </w:p>
        </w:tc>
        <w:tc>
          <w:tcPr>
            <w:tcW w:type="dxa" w:w="2088"/>
            <w:shd w:fill="F8FAFC"/>
            <w:vAlign w:val="top"/>
            <w:tcMar>
              <w:top w:w="55" w:type="dxa"/>
              <w:start w:w="65" w:type="dxa"/>
              <w:bottom w:w="55" w:type="dxa"/>
              <w:end w:w="65" w:type="dxa"/>
            </w:tcMar>
          </w:tcPr>
          <w:p>
            <w:pPr>
              <w:spacing w:after="0" w:line="240" w:lineRule="auto"/>
            </w:pPr>
            <w:r>
              <w:rPr>
                <w:rFonts w:ascii="Arial" w:hAnsi="Arial" w:eastAsia="Noto Sans CJK SC"/>
                <w:sz w:val="15"/>
              </w:rPr>
              <w:t>当前为预印本；建议作为趋势证据，而不是核心 novelty 对比。</w:t>
            </w:r>
          </w:p>
        </w:tc>
      </w:tr>
      <w:tr>
        <w:tc>
          <w:tcPr>
            <w:tcW w:type="dxa" w:w="1757"/>
            <w:vAlign w:val="top"/>
            <w:tcMar>
              <w:top w:w="55" w:type="dxa"/>
              <w:start w:w="65" w:type="dxa"/>
              <w:bottom w:w="55" w:type="dxa"/>
              <w:end w:w="65" w:type="dxa"/>
            </w:tcMar>
          </w:tcPr>
          <w:p>
            <w:r>
              <w:t>MemFHE (ACM TECS)</w:t>
            </w:r>
          </w:p>
        </w:tc>
        <w:tc>
          <w:tcPr>
            <w:tcW w:type="dxa" w:w="1123"/>
            <w:vAlign w:val="top"/>
            <w:tcMar>
              <w:top w:w="55" w:type="dxa"/>
              <w:start w:w="65" w:type="dxa"/>
              <w:bottom w:w="55" w:type="dxa"/>
              <w:end w:w="65" w:type="dxa"/>
            </w:tcMar>
          </w:tcPr>
          <w:p>
            <w:pPr>
              <w:spacing w:after="0" w:line="240" w:lineRule="auto"/>
            </w:pPr>
            <w:r>
              <w:rPr>
                <w:rFonts w:ascii="Arial" w:hAnsi="Arial" w:eastAsia="Noto Sans CJK SC"/>
                <w:sz w:val="15"/>
              </w:rPr>
              <w:t>Producer + Consumer</w:t>
            </w:r>
          </w:p>
        </w:tc>
        <w:tc>
          <w:tcPr>
            <w:tcW w:type="dxa" w:w="2232"/>
            <w:vAlign w:val="top"/>
            <w:tcMar>
              <w:top w:w="55" w:type="dxa"/>
              <w:start w:w="65" w:type="dxa"/>
              <w:bottom w:w="55" w:type="dxa"/>
              <w:end w:w="65" w:type="dxa"/>
            </w:tcMar>
          </w:tcPr>
          <w:p>
            <w:pPr>
              <w:spacing w:after="0" w:line="240" w:lineRule="auto"/>
            </w:pPr>
            <w:r>
              <w:rPr>
                <w:rFonts w:ascii="Arial" w:hAnsi="Arial" w:eastAsia="Noto Sans CJK SC"/>
                <w:sz w:val="15"/>
              </w:rPr>
              <w:t>用 PIM 同时加速 client-side encrypt/decrypt 与 server-side homomorphic processing，并明确讨论 ciphertext expansion 与 data movement。</w:t>
            </w:r>
          </w:p>
        </w:tc>
        <w:tc>
          <w:tcPr>
            <w:tcW w:type="dxa" w:w="2664"/>
            <w:vAlign w:val="top"/>
            <w:tcMar>
              <w:top w:w="55" w:type="dxa"/>
              <w:start w:w="65" w:type="dxa"/>
              <w:bottom w:w="55" w:type="dxa"/>
              <w:end w:w="65" w:type="dxa"/>
            </w:tcMar>
          </w:tcPr>
          <w:p>
            <w:pPr>
              <w:spacing w:after="0" w:line="240" w:lineRule="auto"/>
            </w:pPr>
            <w:r>
              <w:rPr>
                <w:rFonts w:ascii="Arial" w:hAnsi="Arial" w:eastAsia="Noto Sans CJK SC"/>
                <w:sz w:val="15"/>
              </w:rPr>
              <w:t>是最接近“producer/consumer 两侧都要考虑”的工作，必须在 Related Work 中主动讨论。</w:t>
            </w:r>
          </w:p>
        </w:tc>
        <w:tc>
          <w:tcPr>
            <w:tcW w:type="dxa" w:w="2088"/>
            <w:vAlign w:val="top"/>
            <w:tcMar>
              <w:top w:w="55" w:type="dxa"/>
              <w:start w:w="65" w:type="dxa"/>
              <w:bottom w:w="55" w:type="dxa"/>
              <w:end w:w="65" w:type="dxa"/>
            </w:tcMar>
          </w:tcPr>
          <w:p>
            <w:pPr>
              <w:spacing w:after="0" w:line="240" w:lineRule="auto"/>
            </w:pPr>
            <w:r>
              <w:rPr>
                <w:rFonts w:ascii="Arial" w:hAnsi="Arial" w:eastAsia="Noto Sans CJK SC"/>
                <w:sz w:val="15"/>
              </w:rPr>
              <w:t>其核心是 client-PIM/server-PIM 的 FHE operations；FHEStore 可强调 persistent-data producer path、computational storage placement 与到独立 backend 的 delivery。</w:t>
            </w:r>
          </w:p>
        </w:tc>
      </w:tr>
      <w:tr>
        <w:tc>
          <w:tcPr>
            <w:tcW w:type="dxa" w:w="1757"/>
            <w:shd w:fill="F8FAFC"/>
            <w:vAlign w:val="top"/>
            <w:tcMar>
              <w:top w:w="55" w:type="dxa"/>
              <w:start w:w="65" w:type="dxa"/>
              <w:bottom w:w="55" w:type="dxa"/>
              <w:end w:w="65" w:type="dxa"/>
            </w:tcMar>
          </w:tcPr>
          <w:p>
            <w:pPr>
              <w:spacing w:after="0" w:line="240" w:lineRule="auto"/>
            </w:pPr>
            <w:r>
              <w:rPr>
                <w:rFonts w:ascii="Arial" w:hAnsi="Arial" w:eastAsia="Noto Sans CJK SC"/>
                <w:sz w:val="16"/>
              </w:rPr>
              <w:t>Suzuki &amp; Yamana (ICBDA 2023)</w:t>
            </w:r>
          </w:p>
        </w:tc>
        <w:tc>
          <w:tcPr>
            <w:tcW w:type="dxa" w:w="1123"/>
            <w:shd w:fill="F8FAFC"/>
            <w:vAlign w:val="top"/>
            <w:tcMar>
              <w:top w:w="55" w:type="dxa"/>
              <w:start w:w="65" w:type="dxa"/>
              <w:bottom w:w="55" w:type="dxa"/>
              <w:end w:w="65" w:type="dxa"/>
            </w:tcMar>
          </w:tcPr>
          <w:p>
            <w:pPr>
              <w:spacing w:after="0" w:line="240" w:lineRule="auto"/>
            </w:pPr>
            <w:r>
              <w:rPr>
                <w:rFonts w:ascii="Arial" w:hAnsi="Arial" w:eastAsia="Noto Sans CJK SC"/>
                <w:sz w:val="15"/>
              </w:rPr>
              <w:t>Storage-side Consumer</w:t>
            </w:r>
          </w:p>
        </w:tc>
        <w:tc>
          <w:tcPr>
            <w:tcW w:type="dxa" w:w="2232"/>
            <w:shd w:fill="F8FAFC"/>
            <w:vAlign w:val="top"/>
            <w:tcMar>
              <w:top w:w="55" w:type="dxa"/>
              <w:start w:w="65" w:type="dxa"/>
              <w:bottom w:w="55" w:type="dxa"/>
              <w:end w:w="65" w:type="dxa"/>
            </w:tcMar>
          </w:tcPr>
          <w:p>
            <w:pPr>
              <w:spacing w:after="0" w:line="240" w:lineRule="auto"/>
            </w:pPr>
            <w:r>
              <w:rPr>
                <w:rFonts w:ascii="Arial" w:hAnsi="Arial" w:eastAsia="Noto Sans CJK SC"/>
                <w:sz w:val="15"/>
              </w:rPr>
              <w:t>提出基于 CSD 的 in-storage homomorphic encrypted execution，以减少 host↔FPGA/SSD data-transfer overhead。</w:t>
            </w:r>
          </w:p>
        </w:tc>
        <w:tc>
          <w:tcPr>
            <w:tcW w:type="dxa" w:w="2664"/>
            <w:shd w:fill="F8FAFC"/>
            <w:vAlign w:val="top"/>
            <w:tcMar>
              <w:top w:w="55" w:type="dxa"/>
              <w:start w:w="65" w:type="dxa"/>
              <w:bottom w:w="55" w:type="dxa"/>
              <w:end w:w="65" w:type="dxa"/>
            </w:tcMar>
          </w:tcPr>
          <w:p>
            <w:pPr>
              <w:spacing w:after="0" w:line="240" w:lineRule="auto"/>
            </w:pPr>
            <w:r>
              <w:rPr>
                <w:rFonts w:ascii="Arial" w:hAnsi="Arial" w:eastAsia="Noto Sans CJK SC"/>
                <w:sz w:val="15"/>
              </w:rPr>
              <w:t>证明 computational storage 已被用于 HE/FHE 场景，因此 FHEStore 不能声称“首次把 CSD 用于 HE”。</w:t>
            </w:r>
          </w:p>
        </w:tc>
        <w:tc>
          <w:tcPr>
            <w:tcW w:type="dxa" w:w="2088"/>
            <w:shd w:fill="F8FAFC"/>
            <w:vAlign w:val="top"/>
            <w:tcMar>
              <w:top w:w="55" w:type="dxa"/>
              <w:start w:w="65" w:type="dxa"/>
              <w:bottom w:w="55" w:type="dxa"/>
              <w:end w:w="65" w:type="dxa"/>
            </w:tcMar>
          </w:tcPr>
          <w:p>
            <w:pPr>
              <w:spacing w:after="0" w:line="240" w:lineRule="auto"/>
            </w:pPr>
            <w:r>
              <w:rPr>
                <w:rFonts w:ascii="Arial" w:hAnsi="Arial" w:eastAsia="Noto Sans CJK SC"/>
                <w:sz w:val="15"/>
              </w:rPr>
              <w:t>该工作把 CSD 用于 ciphertext→ciphertext homomorphic execution；FHEStore 关注 persistent/raw data→ciphertext→backend 的 producer path。</w:t>
            </w:r>
          </w:p>
        </w:tc>
      </w:tr>
      <w:tr>
        <w:tc>
          <w:tcPr>
            <w:tcW w:type="dxa" w:w="1757"/>
            <w:vAlign w:val="top"/>
            <w:tcMar>
              <w:top w:w="55" w:type="dxa"/>
              <w:start w:w="65" w:type="dxa"/>
              <w:bottom w:w="55" w:type="dxa"/>
              <w:end w:w="65" w:type="dxa"/>
            </w:tcMar>
          </w:tcPr>
          <w:p>
            <w:pPr>
              <w:spacing w:after="0" w:line="240" w:lineRule="auto"/>
            </w:pPr>
            <w:r>
              <w:rPr>
                <w:rFonts w:ascii="Arial" w:hAnsi="Arial" w:eastAsia="Noto Sans CJK SC"/>
                <w:sz w:val="16"/>
              </w:rPr>
              <w:t>Garimella et al. (ASPLOS 2023)</w:t>
            </w:r>
          </w:p>
        </w:tc>
        <w:tc>
          <w:tcPr>
            <w:tcW w:type="dxa" w:w="1123"/>
            <w:vAlign w:val="top"/>
            <w:tcMar>
              <w:top w:w="55" w:type="dxa"/>
              <w:start w:w="65" w:type="dxa"/>
              <w:bottom w:w="55" w:type="dxa"/>
              <w:end w:w="65" w:type="dxa"/>
            </w:tcMar>
          </w:tcPr>
          <w:p>
            <w:pPr>
              <w:spacing w:after="0" w:line="240" w:lineRule="auto"/>
            </w:pPr>
            <w:r>
              <w:rPr>
                <w:rFonts w:ascii="Arial" w:hAnsi="Arial" w:eastAsia="Noto Sans CJK SC"/>
                <w:sz w:val="15"/>
              </w:rPr>
              <w:t>End-to-end systems evidence</w:t>
            </w:r>
          </w:p>
        </w:tc>
        <w:tc>
          <w:tcPr>
            <w:tcW w:type="dxa" w:w="2232"/>
            <w:vAlign w:val="top"/>
            <w:tcMar>
              <w:top w:w="55" w:type="dxa"/>
              <w:start w:w="65" w:type="dxa"/>
              <w:bottom w:w="55" w:type="dxa"/>
              <w:end w:w="65" w:type="dxa"/>
            </w:tcMar>
          </w:tcPr>
          <w:p>
            <w:pPr>
              <w:spacing w:after="0" w:line="240" w:lineRule="auto"/>
            </w:pPr>
            <w:r>
              <w:rPr>
                <w:rFonts w:ascii="Arial" w:hAnsi="Arial" w:eastAsia="Noto Sans CJK SC"/>
                <w:sz w:val="15"/>
              </w:rPr>
              <w:t>研究 private inference 的端到端系统，分析 offline preprocessing、online phase、communication、storage 与真实 request arrivals。</w:t>
            </w:r>
          </w:p>
        </w:tc>
        <w:tc>
          <w:tcPr>
            <w:tcW w:type="dxa" w:w="2664"/>
            <w:vAlign w:val="top"/>
            <w:tcMar>
              <w:top w:w="55" w:type="dxa"/>
              <w:start w:w="65" w:type="dxa"/>
              <w:bottom w:w="55" w:type="dxa"/>
              <w:end w:w="65" w:type="dxa"/>
            </w:tcMar>
          </w:tcPr>
          <w:p>
            <w:pPr>
              <w:spacing w:after="0" w:line="240" w:lineRule="auto"/>
            </w:pPr>
            <w:r>
              <w:rPr>
                <w:rFonts w:ascii="Arial" w:hAnsi="Arial" w:eastAsia="Noto Sans CJK SC"/>
                <w:sz w:val="15"/>
              </w:rPr>
              <w:t>不是纯 FHE accelerator，但非常适合支撑“只优化单个 cryptographic kernel 不足以代表 end-to-end system”的方法论。</w:t>
            </w:r>
          </w:p>
        </w:tc>
        <w:tc>
          <w:tcPr>
            <w:tcW w:type="dxa" w:w="2088"/>
            <w:vAlign w:val="top"/>
            <w:tcMar>
              <w:top w:w="55" w:type="dxa"/>
              <w:start w:w="65" w:type="dxa"/>
              <w:bottom w:w="55" w:type="dxa"/>
              <w:end w:w="65" w:type="dxa"/>
            </w:tcMar>
          </w:tcPr>
          <w:p>
            <w:pPr>
              <w:spacing w:after="0" w:line="240" w:lineRule="auto"/>
            </w:pPr>
            <w:r>
              <w:rPr>
                <w:rFonts w:ascii="Arial" w:hAnsi="Arial" w:eastAsia="Noto Sans CJK SC"/>
                <w:sz w:val="15"/>
              </w:rPr>
              <w:t>协议包含 HE/SS/GC/OT，不应当被描述成 FHEStore 的直接同类工作。</w:t>
            </w:r>
          </w:p>
        </w:tc>
      </w:tr>
      <w:tr>
        <w:tc>
          <w:tcPr>
            <w:tcW w:type="dxa" w:w="1757"/>
            <w:shd w:fill="F8FAFC"/>
            <w:vAlign w:val="top"/>
            <w:tcMar>
              <w:top w:w="55" w:type="dxa"/>
              <w:start w:w="65" w:type="dxa"/>
              <w:bottom w:w="55" w:type="dxa"/>
              <w:end w:w="65" w:type="dxa"/>
            </w:tcMar>
          </w:tcPr>
          <w:p>
            <w:pPr>
              <w:spacing w:after="0" w:line="240" w:lineRule="auto"/>
            </w:pPr>
            <w:r>
              <w:rPr>
                <w:rFonts w:ascii="Arial" w:hAnsi="Arial" w:eastAsia="Noto Sans CJK SC"/>
                <w:sz w:val="16"/>
              </w:rPr>
              <w:t>BlindFL (2025, preprint)</w:t>
            </w:r>
          </w:p>
        </w:tc>
        <w:tc>
          <w:tcPr>
            <w:tcW w:type="dxa" w:w="1123"/>
            <w:shd w:fill="F8FAFC"/>
            <w:vAlign w:val="top"/>
            <w:tcMar>
              <w:top w:w="55" w:type="dxa"/>
              <w:start w:w="65" w:type="dxa"/>
              <w:bottom w:w="55" w:type="dxa"/>
              <w:end w:w="65" w:type="dxa"/>
            </w:tcMar>
          </w:tcPr>
          <w:p>
            <w:pPr>
              <w:spacing w:after="0" w:line="240" w:lineRule="auto"/>
            </w:pPr>
            <w:r>
              <w:rPr>
                <w:rFonts w:ascii="Arial" w:hAnsi="Arial" w:eastAsia="Noto Sans CJK SC"/>
                <w:sz w:val="15"/>
              </w:rPr>
              <w:t>Application evidence</w:t>
            </w:r>
          </w:p>
        </w:tc>
        <w:tc>
          <w:tcPr>
            <w:tcW w:type="dxa" w:w="2232"/>
            <w:shd w:fill="F8FAFC"/>
            <w:vAlign w:val="top"/>
            <w:tcMar>
              <w:top w:w="55" w:type="dxa"/>
              <w:start w:w="65" w:type="dxa"/>
              <w:bottom w:w="55" w:type="dxa"/>
              <w:end w:w="65" w:type="dxa"/>
            </w:tcMar>
          </w:tcPr>
          <w:p>
            <w:pPr>
              <w:spacing w:after="0" w:line="240" w:lineRule="auto"/>
            </w:pPr>
            <w:r>
              <w:rPr>
                <w:rFonts w:ascii="Arial" w:hAnsi="Arial" w:eastAsia="Noto Sans CJK SC"/>
                <w:sz w:val="15"/>
              </w:rPr>
              <w:t>FHE-based federated learning 中，clients 加密并发送 local model updates 给中心端聚合。</w:t>
            </w:r>
          </w:p>
        </w:tc>
        <w:tc>
          <w:tcPr>
            <w:tcW w:type="dxa" w:w="2664"/>
            <w:shd w:fill="F8FAFC"/>
            <w:vAlign w:val="top"/>
            <w:tcMar>
              <w:top w:w="55" w:type="dxa"/>
              <w:start w:w="65" w:type="dxa"/>
              <w:bottom w:w="55" w:type="dxa"/>
              <w:end w:w="65" w:type="dxa"/>
            </w:tcMar>
          </w:tcPr>
          <w:p>
            <w:pPr>
              <w:spacing w:after="0" w:line="240" w:lineRule="auto"/>
            </w:pPr>
            <w:r>
              <w:rPr>
                <w:rFonts w:ascii="Arial" w:hAnsi="Arial" w:eastAsia="Noto Sans CJK SC"/>
                <w:sz w:val="15"/>
              </w:rPr>
              <w:t>清楚体现 producer→consumer pattern：本地参与方持续生成新 ciphertext，并承担 transmission cost。</w:t>
            </w:r>
          </w:p>
        </w:tc>
        <w:tc>
          <w:tcPr>
            <w:tcW w:type="dxa" w:w="2088"/>
            <w:shd w:fill="F8FAFC"/>
            <w:vAlign w:val="top"/>
            <w:tcMar>
              <w:top w:w="55" w:type="dxa"/>
              <w:start w:w="65" w:type="dxa"/>
              <w:bottom w:w="55" w:type="dxa"/>
              <w:end w:w="65" w:type="dxa"/>
            </w:tcMar>
          </w:tcPr>
          <w:p>
            <w:pPr>
              <w:spacing w:after="0" w:line="240" w:lineRule="auto"/>
            </w:pPr>
            <w:r>
              <w:rPr>
                <w:rFonts w:ascii="Arial" w:hAnsi="Arial" w:eastAsia="Noto Sans CJK SC"/>
                <w:sz w:val="15"/>
              </w:rPr>
              <w:t>FL 数据通常来自刚产生的 model updates，而非天然 storage-resident；更适合作为 producer-consumer 场景证据，不是 CSD placement 的最强动机。</w:t>
            </w:r>
          </w:p>
        </w:tc>
      </w:tr>
      <w:tr>
        <w:tc>
          <w:tcPr>
            <w:tcW w:type="dxa" w:w="1757"/>
            <w:vAlign w:val="top"/>
            <w:tcMar>
              <w:top w:w="55" w:type="dxa"/>
              <w:start w:w="65" w:type="dxa"/>
              <w:bottom w:w="55" w:type="dxa"/>
              <w:end w:w="65" w:type="dxa"/>
            </w:tcMar>
          </w:tcPr>
          <w:p>
            <w:pPr>
              <w:spacing w:after="0" w:line="240" w:lineRule="auto"/>
            </w:pPr>
            <w:r>
              <w:rPr>
                <w:rFonts w:ascii="Arial" w:hAnsi="Arial" w:eastAsia="Noto Sans CJK SC"/>
                <w:sz w:val="16"/>
              </w:rPr>
              <w:t>ArcEDB (CCS 2024)</w:t>
            </w:r>
          </w:p>
        </w:tc>
        <w:tc>
          <w:tcPr>
            <w:tcW w:type="dxa" w:w="1123"/>
            <w:vAlign w:val="top"/>
            <w:tcMar>
              <w:top w:w="55" w:type="dxa"/>
              <w:start w:w="65" w:type="dxa"/>
              <w:bottom w:w="55" w:type="dxa"/>
              <w:end w:w="65" w:type="dxa"/>
            </w:tcMar>
          </w:tcPr>
          <w:p>
            <w:pPr>
              <w:spacing w:after="0" w:line="240" w:lineRule="auto"/>
            </w:pPr>
            <w:r>
              <w:rPr>
                <w:rFonts w:ascii="Arial" w:hAnsi="Arial" w:eastAsia="Noto Sans CJK SC"/>
                <w:sz w:val="15"/>
              </w:rPr>
              <w:t>Application evidence</w:t>
            </w:r>
          </w:p>
        </w:tc>
        <w:tc>
          <w:tcPr>
            <w:tcW w:type="dxa" w:w="2232"/>
            <w:vAlign w:val="top"/>
            <w:tcMar>
              <w:top w:w="55" w:type="dxa"/>
              <w:start w:w="65" w:type="dxa"/>
              <w:bottom w:w="55" w:type="dxa"/>
              <w:end w:w="65" w:type="dxa"/>
            </w:tcMar>
          </w:tcPr>
          <w:p>
            <w:pPr>
              <w:spacing w:after="0" w:line="240" w:lineRule="auto"/>
            </w:pPr>
            <w:r>
              <w:rPr>
                <w:rFonts w:ascii="Arial" w:hAnsi="Arial" w:eastAsia="Noto Sans CJK SC"/>
                <w:sz w:val="15"/>
              </w:rPr>
              <w:t>FHE-based encrypted database，支持 encrypted filtering/aggregation/SQL，并强调 ciphertext space 与数据库执行成本。</w:t>
            </w:r>
          </w:p>
        </w:tc>
        <w:tc>
          <w:tcPr>
            <w:tcW w:type="dxa" w:w="2664"/>
            <w:vAlign w:val="top"/>
            <w:tcMar>
              <w:top w:w="55" w:type="dxa"/>
              <w:start w:w="65" w:type="dxa"/>
              <w:bottom w:w="55" w:type="dxa"/>
              <w:end w:w="65" w:type="dxa"/>
            </w:tcMar>
          </w:tcPr>
          <w:p>
            <w:pPr>
              <w:spacing w:after="0" w:line="240" w:lineRule="auto"/>
            </w:pPr>
            <w:r>
              <w:rPr>
                <w:rFonts w:ascii="Arial" w:hAnsi="Arial" w:eastAsia="Noto Sans CJK SC"/>
                <w:sz w:val="15"/>
              </w:rPr>
              <w:t>证明 persistent structured data + FHE analytics 是真实研究方向，可为 TPC-H/数据库类 workload 提供应用背景。</w:t>
            </w:r>
          </w:p>
        </w:tc>
        <w:tc>
          <w:tcPr>
            <w:tcW w:type="dxa" w:w="2088"/>
            <w:vAlign w:val="top"/>
            <w:tcMar>
              <w:top w:w="55" w:type="dxa"/>
              <w:start w:w="65" w:type="dxa"/>
              <w:bottom w:w="55" w:type="dxa"/>
              <w:end w:w="65" w:type="dxa"/>
            </w:tcMar>
          </w:tcPr>
          <w:p>
            <w:pPr>
              <w:spacing w:after="0" w:line="240" w:lineRule="auto"/>
            </w:pPr>
            <w:r>
              <w:rPr>
                <w:rFonts w:ascii="Arial" w:hAnsi="Arial" w:eastAsia="Noto Sans CJK SC"/>
                <w:sz w:val="15"/>
              </w:rPr>
              <w:t>主要研究 encrypted database query execution，不直接研究 plaintext ingestion/encryption/transport。</w:t>
            </w:r>
          </w:p>
        </w:tc>
      </w:tr>
    </w:tbl>
    <w:p>
      <w:pPr>
        <w:pStyle w:val="Heading1"/>
      </w:pPr>
      <w:r>
        <w:t>5. 可以安全使用的论文表述</w:t>
      </w:r>
    </w:p>
    <w:p>
      <w:pPr>
        <w:pStyle w:val="CompactBody"/>
      </w:pPr>
      <w:r>
        <w:rPr>
          <w:b/>
        </w:rPr>
        <w:t>关于领域趋势：</w:t>
      </w:r>
      <w:r>
        <w:t>Recent FHE accelerators have primarily optimized homomorphic evaluation, while client-side work has increasingly targeted encoding and encryption.</w:t>
      </w:r>
    </w:p>
    <w:p>
      <w:pPr>
        <w:pStyle w:val="CompactBody"/>
      </w:pPr>
      <w:r>
        <w:rPr>
          <w:b/>
        </w:rPr>
        <w:t>关于研究对象：</w:t>
      </w:r>
      <w:r>
        <w:t>FHEStore focuses on the end-to-end ciphertext producer path that supplies a downstream FHE accelerator from persistent data.</w:t>
      </w:r>
    </w:p>
    <w:p>
      <w:pPr>
        <w:pStyle w:val="CompactBody"/>
      </w:pPr>
      <w:r>
        <w:rPr>
          <w:b/>
        </w:rPr>
        <w:t>关于与 client-side accelerator 的区别：</w:t>
      </w:r>
      <w:r>
        <w:t>Unlike prior client-side accelerators that primarily optimize cryptographic kernels, FHEStore integrates persistent-data access, lightweight preprocessing, ciphertext generation, buffering, and delivery.</w:t>
      </w:r>
    </w:p>
    <w:p>
      <w:pPr>
        <w:pStyle w:val="CompactBody"/>
      </w:pPr>
      <w:r>
        <w:rPr>
          <w:b/>
        </w:rPr>
        <w:t>关于 computational storage 的作用：</w:t>
      </w:r>
      <w:r>
        <w:t>Computational storage places programmable FPGA processing on the data path close to persistent storage, allowing the producer pipeline to be organized without routing every preparation stage through the host CPU and memory.</w:t>
      </w:r>
    </w:p>
    <w:p>
      <w:pPr>
        <w:pStyle w:val="CompactBody"/>
      </w:pPr>
      <w:r>
        <w:rPr>
          <w:b/>
        </w:rPr>
        <w:t>关于不能过度声称的点：</w:t>
      </w:r>
      <w:r>
        <w:t>不建议写“prior work assumes ciphertexts already exist”或“first CSD for HE/FHE”。更准确的是：evaluation accelerators often leave the preceding producer path outside their scope；已有 in-storage HE 工作主要优化 encrypted execution，而非 producer path。</w:t>
      </w:r>
    </w:p>
    <w:p>
      <w:pPr>
        <w:pStyle w:val="Heading1"/>
      </w:pPr>
      <w:r>
        <w:t>6. 场景映射（用于 Introduction，不需要绑定到单一应用）</w:t>
      </w:r>
    </w:p>
    <w:p>
      <w:pPr>
        <w:pStyle w:val="CompactBody"/>
      </w:pPr>
      <w:r>
        <w:rPr>
          <w:b/>
        </w:rPr>
        <w:t>Producer–Consumer 模型最适合被写成一个跨应用抽象，而不是把论文绑定到联邦学习。</w:t>
      </w:r>
      <w:r>
        <w:t xml:space="preserve"> 可以用以下三类应用说明该模式的普遍性：</w:t>
      </w:r>
    </w:p>
    <w:p>
      <w:pPr>
        <w:pStyle w:val="CompactBody"/>
        <w:ind w:left="259" w:hanging="173"/>
      </w:pPr>
      <w:r>
        <w:rPr>
          <w:b/>
        </w:rPr>
        <w:t>• Edge / IoT → Cloud private analytics：</w:t>
      </w:r>
      <w:r>
        <w:t>数据持续产生并驻留/缓存于本地存储；producer 负责批量读取、预处理、加密和发送；remote FHE backend 消费 ciphertext stream。该场景与 CSD placement 最自然。</w:t>
      </w:r>
    </w:p>
    <w:p>
      <w:pPr>
        <w:pStyle w:val="CompactBody"/>
        <w:ind w:left="259" w:hanging="173"/>
      </w:pPr>
      <w:r>
        <w:rPr>
          <w:b/>
        </w:rPr>
        <w:t>• Enterprise / medical persistent data → outsourced FHE analytics：</w:t>
      </w:r>
      <w:r>
        <w:t>数据本来位于本地数据库、文件或数据湖；按批次或查询需要生成 ciphertext 并送往远端 FHE service。与 FHEStore 的 persistent-data 起点最贴合。</w:t>
      </w:r>
    </w:p>
    <w:p>
      <w:pPr>
        <w:pStyle w:val="CompactBody"/>
        <w:ind w:left="259" w:hanging="173"/>
      </w:pPr>
      <w:r>
        <w:rPr>
          <w:b/>
        </w:rPr>
        <w:t>• FHE-based federated learning：</w:t>
      </w:r>
      <w:r>
        <w:t>client 每轮生成 model update，随后加密并传给 aggregation backend；producer-consumer 关系清晰，但 update 不一定天然来自 persistent storage，因此适合作为补充场景。</w:t>
      </w:r>
    </w:p>
    <w:p>
      <w:pPr>
        <w:pStyle w:val="Heading1"/>
      </w:pPr>
      <w:r>
        <w:t>7. 可直接放进 Introduction 的叙事草稿</w:t>
      </w:r>
    </w:p>
    <w:p>
      <w:pPr>
        <w:pStyle w:val="CompactBody"/>
      </w:pPr>
      <w:r>
        <w:rPr>
          <w:i/>
        </w:rPr>
        <w:t>Modern FHE accelerators increasingly improve the throughput of homomorphic evaluation, effectively creating a high-performance consumer of ciphertexts. Supplying this consumer, however, requires a producer path that transforms application data into accelerator-ready ciphertexts. For data residing in persistent storage, this path can include data access, lightweight preprocessing, encoding and encryption, ciphertext buffering, and delivery to the downstream accelerator.</w:t>
      </w:r>
    </w:p>
    <w:p>
      <w:pPr>
        <w:pStyle w:val="CompactBody"/>
      </w:pPr>
      <w:r>
        <w:rPr>
          <w:i/>
        </w:rPr>
        <w:t>Prior work has extensively optimized the consumer side of FHE through programmable accelerators and dedicated bootstrapping architectures, while recent client-side accelerators have accelerated encoding and encryption kernels. FHEStore takes a complementary systems view: it treats ciphertext production and delivery as an end-to-end data path, and uses FPGA-based computational storage to connect persistent data directly to an FHE backend.</w:t>
      </w:r>
    </w:p>
    <w:p>
      <w:pPr>
        <w:pStyle w:val="Heading1"/>
      </w:pPr>
      <w:r>
        <w:t>8. 参考文献与链接</w:t>
      </w:r>
    </w:p>
    <w:p>
      <w:pPr>
        <w:pStyle w:val="CompactBody"/>
        <w:ind w:left="259" w:hanging="259"/>
      </w:pPr>
      <w:r>
        <w:t xml:space="preserve">[1] F1: A Fast and Programmable Accelerator for Fully Homomorphic Encryption, MICRO 2021. DOI: 10.1145/3466752.3480070  </w:t>
      </w:r>
      <w:hyperlink r:id="rId9">
        <w:r>
          <w:rPr>
            <w:color w:val="0563C1"/>
            <w:u w:val="single"/>
            <w:rFonts w:ascii="Arial" w:hAnsi="Arial" w:eastAsia="Noto Sans CJK SC"/>
          </w:rPr>
          <w:t>链接</w:t>
        </w:r>
      </w:hyperlink>
    </w:p>
    <w:p>
      <w:pPr>
        <w:pStyle w:val="CompactBody"/>
        <w:ind w:left="259" w:hanging="259"/>
      </w:pPr>
      <w:r>
        <w:t xml:space="preserve">[2] BTS: An Accelerator for Bootstrappable Fully Homomorphic Encryption, ISCA 2022. DOI: 10.1145/3470496.3527415  </w:t>
      </w:r>
      <w:hyperlink r:id="rId10">
        <w:r>
          <w:rPr>
            <w:color w:val="0563C1"/>
            <w:u w:val="single"/>
            <w:rFonts w:ascii="Arial" w:hAnsi="Arial" w:eastAsia="Noto Sans CJK SC"/>
          </w:rPr>
          <w:t>链接</w:t>
        </w:r>
      </w:hyperlink>
    </w:p>
    <w:p>
      <w:pPr>
        <w:pStyle w:val="CompactBody"/>
        <w:ind w:left="259" w:hanging="259"/>
      </w:pPr>
      <w:r>
        <w:t xml:space="preserve">[3] CraterLake: A Hardware Accelerator for Efficient Unbounded Computation on Encrypted Data, ISCA 2022. DOI: 10.1145/3470496.3527393  </w:t>
      </w:r>
      <w:hyperlink r:id="rId11">
        <w:r>
          <w:rPr>
            <w:color w:val="0563C1"/>
            <w:u w:val="single"/>
            <w:rFonts w:ascii="Arial" w:hAnsi="Arial" w:eastAsia="Noto Sans CJK SC"/>
          </w:rPr>
          <w:t>链接</w:t>
        </w:r>
      </w:hyperlink>
    </w:p>
    <w:p>
      <w:pPr>
        <w:pStyle w:val="CompactBody"/>
        <w:ind w:left="259" w:hanging="259"/>
      </w:pPr>
      <w:r>
        <w:t xml:space="preserve">[4] ARK: Fully Homomorphic Encryption Accelerator with Runtime Data Generation and Inter-Operation Key Reuse, MICRO 2022. DOI: 10.1109/MICRO56248.2022.00086  </w:t>
      </w:r>
      <w:hyperlink r:id="rId12">
        <w:r>
          <w:rPr>
            <w:color w:val="0563C1"/>
            <w:u w:val="single"/>
            <w:rFonts w:ascii="Arial" w:hAnsi="Arial" w:eastAsia="Noto Sans CJK SC"/>
          </w:rPr>
          <w:t>链接</w:t>
        </w:r>
      </w:hyperlink>
    </w:p>
    <w:p>
      <w:pPr>
        <w:pStyle w:val="CompactBody"/>
        <w:ind w:left="259" w:hanging="259"/>
      </w:pPr>
      <w:r>
        <w:t xml:space="preserve">[5] Design and Implementation of Encryption/Decryption Architectures for BFV Homomorphic Encryption Scheme, IEEE TVLSI 2020. DOI: 10.1109/TVLSI.2019.2943127  </w:t>
      </w:r>
      <w:hyperlink r:id="rId13">
        <w:r>
          <w:rPr>
            <w:color w:val="0563C1"/>
            <w:u w:val="single"/>
            <w:rFonts w:ascii="Arial" w:hAnsi="Arial" w:eastAsia="Noto Sans CJK SC"/>
          </w:rPr>
          <w:t>链接</w:t>
        </w:r>
      </w:hyperlink>
    </w:p>
    <w:p>
      <w:pPr>
        <w:pStyle w:val="CompactBody"/>
        <w:ind w:left="259" w:hanging="259"/>
      </w:pPr>
      <w:r>
        <w:t xml:space="preserve">[6] Configurable Encryption and Decryption Architectures for CKKS-Based Homomorphic Encryption, Sensors 2023. DOI: 10.3390/s23177389  </w:t>
      </w:r>
      <w:hyperlink r:id="rId14">
        <w:r>
          <w:rPr>
            <w:color w:val="0563C1"/>
            <w:u w:val="single"/>
            <w:rFonts w:ascii="Arial" w:hAnsi="Arial" w:eastAsia="Noto Sans CJK SC"/>
          </w:rPr>
          <w:t>链接</w:t>
        </w:r>
      </w:hyperlink>
    </w:p>
    <w:p>
      <w:pPr>
        <w:pStyle w:val="CompactBody"/>
        <w:ind w:left="259" w:hanging="259"/>
      </w:pPr>
      <w:r>
        <w:t xml:space="preserve">[7] Aloha-HE: A Low-Area Hardware Accelerator for Client-Side Operations in Homomorphic Encryption, DATE 2024. DOI: 10.23919/DATE58400.2024.10546608  </w:t>
      </w:r>
      <w:hyperlink r:id="rId15">
        <w:r>
          <w:rPr>
            <w:color w:val="0563C1"/>
            <w:u w:val="single"/>
            <w:rFonts w:ascii="Arial" w:hAnsi="Arial" w:eastAsia="Noto Sans CJK SC"/>
          </w:rPr>
          <w:t>链接</w:t>
        </w:r>
      </w:hyperlink>
    </w:p>
    <w:p>
      <w:pPr>
        <w:pStyle w:val="CompactBody"/>
        <w:ind w:left="259" w:hanging="259"/>
      </w:pPr>
      <w:r>
        <w:t xml:space="preserve">[8] ABC-FHE: A Resource-Efficient Accelerator Enabling Bootstrappable Parameters for Client-Side Fully Homomorphic Encryption, arXiv 2025.  </w:t>
      </w:r>
      <w:hyperlink r:id="rId16">
        <w:r>
          <w:rPr>
            <w:color w:val="0563C1"/>
            <w:u w:val="single"/>
            <w:rFonts w:ascii="Arial" w:hAnsi="Arial" w:eastAsia="Noto Sans CJK SC"/>
          </w:rPr>
          <w:t>链接</w:t>
        </w:r>
      </w:hyperlink>
    </w:p>
    <w:p>
      <w:pPr>
        <w:pStyle w:val="CompactBody"/>
        <w:ind w:left="259" w:hanging="259"/>
      </w:pPr>
      <w:r>
        <w:t xml:space="preserve">[9] MemFHE: End-to-End Computing with Fully Homomorphic Encryption in Memory. DOI: 10.1145/3569955  </w:t>
      </w:r>
      <w:hyperlink r:id="rId17">
        <w:r>
          <w:rPr>
            <w:color w:val="0563C1"/>
            <w:u w:val="single"/>
            <w:rFonts w:ascii="Arial" w:hAnsi="Arial" w:eastAsia="Noto Sans CJK SC"/>
          </w:rPr>
          <w:t>链接</w:t>
        </w:r>
      </w:hyperlink>
    </w:p>
    <w:p>
      <w:pPr>
        <w:pStyle w:val="CompactBody"/>
        <w:ind w:left="259" w:hanging="259"/>
      </w:pPr>
      <w:r>
        <w:t xml:space="preserve">[10] Designing In-Storage Computing for Low Latency and High Throughput Homomorphic Encrypted Execution, ICBDA 2023. DOI: 10.1109/ICBDA57405.2023.10104970  </w:t>
      </w:r>
      <w:hyperlink r:id="rId18">
        <w:r>
          <w:rPr>
            <w:color w:val="0563C1"/>
            <w:u w:val="single"/>
            <w:rFonts w:ascii="Arial" w:hAnsi="Arial" w:eastAsia="Noto Sans CJK SC"/>
          </w:rPr>
          <w:t>链接</w:t>
        </w:r>
      </w:hyperlink>
    </w:p>
    <w:p>
      <w:pPr>
        <w:pStyle w:val="CompactBody"/>
        <w:ind w:left="259" w:hanging="259"/>
      </w:pPr>
      <w:r>
        <w:t xml:space="preserve">[11] Characterizing and Optimizing End-to-End Systems for Private Inference, ASPLOS 2023. DOI: 10.1145/3582016.3582065  </w:t>
      </w:r>
      <w:hyperlink r:id="rId19">
        <w:r>
          <w:rPr>
            <w:color w:val="0563C1"/>
            <w:u w:val="single"/>
            <w:rFonts w:ascii="Arial" w:hAnsi="Arial" w:eastAsia="Noto Sans CJK SC"/>
          </w:rPr>
          <w:t>链接</w:t>
        </w:r>
      </w:hyperlink>
    </w:p>
    <w:p>
      <w:pPr>
        <w:pStyle w:val="CompactBody"/>
        <w:ind w:left="259" w:hanging="259"/>
      </w:pPr>
      <w:r>
        <w:t xml:space="preserve">[12] BlindFL: Segmented Federated Learning with Fully Homomorphic Encryption, arXiv 2025.  </w:t>
      </w:r>
      <w:hyperlink r:id="rId20">
        <w:r>
          <w:rPr>
            <w:color w:val="0563C1"/>
            <w:u w:val="single"/>
            <w:rFonts w:ascii="Arial" w:hAnsi="Arial" w:eastAsia="Noto Sans CJK SC"/>
          </w:rPr>
          <w:t>链接</w:t>
        </w:r>
      </w:hyperlink>
    </w:p>
    <w:p>
      <w:pPr>
        <w:pStyle w:val="CompactBody"/>
        <w:ind w:left="259" w:hanging="259"/>
      </w:pPr>
      <w:r>
        <w:t xml:space="preserve">[13] ArcEDB: An Arbitrary-Precision Encrypted Database via (Amortized) Modular Homomorphic Encryption, CCS 2024. DOI: 10.1145/3658644.3670384  </w:t>
      </w:r>
      <w:hyperlink r:id="rId21">
        <w:r>
          <w:rPr>
            <w:color w:val="0563C1"/>
            <w:u w:val="single"/>
            <w:rFonts w:ascii="Arial" w:hAnsi="Arial" w:eastAsia="Noto Sans CJK SC"/>
          </w:rPr>
          <w:t>链接</w:t>
        </w:r>
      </w:hyperlink>
    </w:p>
    <w:p>
      <w:pPr>
        <w:pStyle w:val="Heading1"/>
      </w:pPr>
      <w:r>
        <w:t>9. 目前建议进一步下载核对的文献</w:t>
      </w:r>
    </w:p>
    <w:p>
      <w:pPr>
        <w:pStyle w:val="CompactBody"/>
      </w:pPr>
      <w:r>
        <w:rPr>
          <w:b/>
        </w:rPr>
        <w:t>如果后续要写正式 Related Work，我建议优先下载并逐篇核对以下全文：</w:t>
      </w:r>
    </w:p>
    <w:p>
      <w:pPr>
        <w:pStyle w:val="CompactBody"/>
        <w:ind w:left="259" w:hanging="173"/>
      </w:pPr>
      <w:r>
        <w:t xml:space="preserve">• </w:t>
      </w:r>
      <w:r>
        <w:t>Aloha-HE：用于确认它对 client/cloud 数据流、client-side operation 边界以及数据传输的具体表述。</w:t>
      </w:r>
    </w:p>
    <w:p>
      <w:pPr>
        <w:pStyle w:val="CompactBody"/>
        <w:ind w:left="259" w:hanging="173"/>
      </w:pPr>
      <w:r>
        <w:t xml:space="preserve">• </w:t>
      </w:r>
      <w:r>
        <w:t>MemFHE：这是最接近 producer + consumer 双侧加速的工作，需要准确界定与 FHEStore 的区别。</w:t>
      </w:r>
    </w:p>
    <w:p>
      <w:pPr>
        <w:pStyle w:val="CompactBody"/>
        <w:ind w:left="259" w:hanging="173"/>
      </w:pPr>
      <w:r>
        <w:t xml:space="preserve">• </w:t>
      </w:r>
      <w:r>
        <w:t>Suzuki &amp; Yamana 2023：需要确认其 CSD 模型中数据的初始形态、host/SSD/FPGA 路径以及是否包含任何 plaintext-side preparation。</w:t>
      </w:r>
    </w:p>
    <w:p>
      <w:pPr>
        <w:pStyle w:val="CompactBody"/>
        <w:ind w:left="259" w:hanging="173"/>
      </w:pPr>
      <w:r>
        <w:t xml:space="preserve">• </w:t>
      </w:r>
      <w:r>
        <w:t>ABC-FHE：目前作为预印本趋势证据使用；若正式发表，需更新 venue 和最终版本。</w:t>
      </w:r>
    </w:p>
    <w:p>
      <w:pPr>
        <w:pStyle w:val="CompactBody"/>
        <w:ind w:left="259" w:hanging="173"/>
      </w:pPr>
      <w:r>
        <w:t xml:space="preserve">• </w:t>
      </w:r>
      <w:r>
        <w:t>BlindFL：用于应用场景，而不是 novelty 竞争；如果最终用 FL 作为正文案例，建议下载全文核对每轮 encryption/transmission 的具体流程。</w:t>
      </w:r>
    </w:p>
    <w:sectPr w:rsidR="00FC693F" w:rsidRPr="0006063C" w:rsidSect="00034616">
      <w:footerReference w:type="default" r:id="rId2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FHEStore producer–consumer narrative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S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S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ody">
    <w:name w:val="Compact Body"/>
    <w:pPr>
      <w:spacing w:after="60" w:line="269" w:lineRule="auto"/>
    </w:pPr>
    <w:rPr>
      <w:rFonts w:ascii="Arial" w:hAnsi="Arial" w:eastAsia="Noto Sans CJK S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45/3466752.3480070" TargetMode="External"/><Relationship Id="rId10" Type="http://schemas.openxmlformats.org/officeDocument/2006/relationships/hyperlink" Target="https://doi.org/10.1145/3470496.3527415" TargetMode="External"/><Relationship Id="rId11" Type="http://schemas.openxmlformats.org/officeDocument/2006/relationships/hyperlink" Target="https://doi.org/10.1145/3470496.3527393" TargetMode="External"/><Relationship Id="rId12" Type="http://schemas.openxmlformats.org/officeDocument/2006/relationships/hyperlink" Target="https://doi.org/10.1109/MICRO56248.2022.00086" TargetMode="External"/><Relationship Id="rId13" Type="http://schemas.openxmlformats.org/officeDocument/2006/relationships/hyperlink" Target="https://doi.org/10.1109/TVLSI.2019.2943127" TargetMode="External"/><Relationship Id="rId14" Type="http://schemas.openxmlformats.org/officeDocument/2006/relationships/hyperlink" Target="https://doi.org/10.3390/s23177389" TargetMode="External"/><Relationship Id="rId15" Type="http://schemas.openxmlformats.org/officeDocument/2006/relationships/hyperlink" Target="https://doi.org/10.23919/DATE58400.2024.10546608" TargetMode="External"/><Relationship Id="rId16" Type="http://schemas.openxmlformats.org/officeDocument/2006/relationships/hyperlink" Target="https://arxiv.org/abs/2506.08461" TargetMode="External"/><Relationship Id="rId17" Type="http://schemas.openxmlformats.org/officeDocument/2006/relationships/hyperlink" Target="https://doi.org/10.1145/3569955" TargetMode="External"/><Relationship Id="rId18" Type="http://schemas.openxmlformats.org/officeDocument/2006/relationships/hyperlink" Target="https://doi.org/10.1109/ICBDA57405.2023.10104970" TargetMode="External"/><Relationship Id="rId19" Type="http://schemas.openxmlformats.org/officeDocument/2006/relationships/hyperlink" Target="https://doi.org/10.1145/3582016.3582065" TargetMode="External"/><Relationship Id="rId20" Type="http://schemas.openxmlformats.org/officeDocument/2006/relationships/hyperlink" Target="https://arxiv.org/abs/2501.11659" TargetMode="External"/><Relationship Id="rId21" Type="http://schemas.openxmlformats.org/officeDocument/2006/relationships/hyperlink" Target="https://doi.org/10.1145/3658644.3670384"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