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Synthetic Access Policy</w:t>
      </w:r>
    </w:p>
    <w:p>
      <w:r>
        <w:t>Visitors must register before entering the laboratory.</w:t>
      </w:r>
    </w:p>
    <w:tbl>
      <w:tr>
        <w:tc>
          <w:p>
            <w:r>
              <w:t>Level</w:t>
            </w:r>
          </w:p>
        </w:tc>
        <w:tc>
          <w:p>
            <w:r>
              <w:t>Approver</w:t>
            </w:r>
          </w:p>
        </w:tc>
      </w:tr>
      <w:tr>
        <w:tc>
          <w:p>
            <w:r>
              <w:t>Restricted</w:t>
            </w:r>
          </w:p>
        </w:tc>
        <w:tc>
          <w:p>
            <w:r>
              <w:t>Department owner</w:t>
            </w:r>
          </w:p>
        </w:tc>
      </w:tr>
    </w:tbl>
    <w:sectPr/>
  </w:body>
</w:document>
</file>