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1AA2AB">
      <w:pPr>
        <w:jc w:val="center"/>
        <w:rPr>
          <w:rFonts w:hint="eastAsia" w:ascii="黑体" w:hAnsi="黑体" w:eastAsia="黑体" w:cs="黑体"/>
          <w:b/>
          <w:bCs/>
          <w:sz w:val="36"/>
          <w:szCs w:val="36"/>
        </w:rPr>
      </w:pPr>
      <w:r>
        <w:rPr>
          <w:rFonts w:hint="eastAsia" w:ascii="黑体" w:hAnsi="黑体" w:eastAsia="黑体" w:cs="黑体"/>
          <w:b/>
          <w:bCs/>
          <w:sz w:val="36"/>
          <w:szCs w:val="36"/>
        </w:rPr>
        <w:t>《中医体质分类与判定》标准发布</w:t>
      </w:r>
    </w:p>
    <w:p w14:paraId="27A232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中医体质分类与判定》标准发布会于2009年4月9日在北京东方花园酒店召开。会议由中华中医药学会主办，中华中医药学会体质分会协办。中国国家中医药管理局李大宁副局长出席会议并讲话，中国国家标准化管理委员会、中华中医药学会、北京中医药大学有关领导及中医药专家共100余人出席了发布会。</w:t>
      </w:r>
    </w:p>
    <w:p w14:paraId="76E10B7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中医体质分类与判定》标准作为贯彻落实中国《中医药标准化发展规划(2006-2010年)》所取得的重要成果之一，是中国第一部指导和规范中医体质分类和体质辨识研究及应用的规范性文件。是由中国国家中医药管理局立项并主管、中华中医药学会负责、中华中医药学会体质分会编制，并组织北京中医药大学、卫生部中日友好医院、中国疾病预防控制中心、南京中医药大学等十余家单位的中医体质课题组的数十名研究人员积极参与完成的。标准的发布实施，对于规范中医体质辨识方法、提高中医体质辨识水平、促进中医体质学的学术发展将起到积极的推动作用。标准不仅丰富了中医标准化建设的内容，而且对于全面推动中医药标准化工作，加快中医药现代化、国际化进程，提高中医药对人类健康的贡献率具有十分重要的意义。</w:t>
      </w:r>
    </w:p>
    <w:p w14:paraId="7FAB6A8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该标准将体质分为平和质、气虚质、阳虚质、阴虚质、痰湿质、湿热质、血瘀质、气郁质、特禀质九个类型，应用了流行病学、免疫学、分子生物学、遗传学、数理统计学等多学科交叉的方法，经中医临床专家、流行病学专家、体质专家多次论证而建立的体质辨识的标准化工具，并在国家973计划“基于因人制宜思想的中医体质理论基础研究”课题中得到进一步完善。</w:t>
      </w:r>
    </w:p>
    <w:p w14:paraId="75E7DE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通过21948例流行病学调查，该标准具有指导性、普遍性及可参照性，适用于从事中医体质研究的中医临床医生、科研人员及相关管理人员，并可作为临床实践、判定规范及质量评定的重要参考依据。该标准曾在多家“治未病”中心及中医药科研单位以及中国26个省、市、自治区（包括香港特别行政区、台湾地区等）试用。</w:t>
      </w:r>
    </w:p>
    <w:p w14:paraId="6D2A7C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bookmarkStart w:id="0" w:name="_GoBack"/>
      <w:bookmarkEnd w:id="0"/>
    </w:p>
    <w:p w14:paraId="2312AE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lang w:val="en-US" w:eastAsia="zh-CN"/>
        </w:rPr>
        <w:t>一、</w:t>
      </w:r>
      <w:r>
        <w:rPr>
          <w:rFonts w:hint="eastAsia"/>
          <w:sz w:val="24"/>
          <w:szCs w:val="24"/>
        </w:rPr>
        <w:t>平和质(A型)</w:t>
      </w:r>
    </w:p>
    <w:p w14:paraId="37AB948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总体特征：阴阳气血调和，以体态适中、面色红润、精力充沛等为主要特征。</w:t>
      </w:r>
    </w:p>
    <w:p w14:paraId="07CA19E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形体特征：体形匀称健壮。</w:t>
      </w:r>
    </w:p>
    <w:p w14:paraId="59316D6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常见表现：面色、肤色润泽，头发稠密有光泽，目光有神，鼻色明润，嗅觉通利，唇色红润，不易疲劳，精力充沛，耐受寒热，睡眠良好，胃纳佳，二便正常，舌色淡红，苔薄白，脉和缓有力。</w:t>
      </w:r>
    </w:p>
    <w:p w14:paraId="64A5B2D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心理特征：性格随和开朗。</w:t>
      </w:r>
    </w:p>
    <w:p w14:paraId="0ABF624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发病倾向：平素患病较少。</w:t>
      </w:r>
    </w:p>
    <w:p w14:paraId="229899B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对外界环境适应能力：对自然环境和社会环境适应能力较强。</w:t>
      </w:r>
    </w:p>
    <w:p w14:paraId="46C85AF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4"/>
          <w:szCs w:val="24"/>
        </w:rPr>
      </w:pPr>
    </w:p>
    <w:p w14:paraId="2BC841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lang w:val="en-US" w:eastAsia="zh-CN"/>
        </w:rPr>
        <w:t>二、</w:t>
      </w:r>
      <w:r>
        <w:rPr>
          <w:rFonts w:hint="eastAsia"/>
          <w:sz w:val="24"/>
          <w:szCs w:val="24"/>
        </w:rPr>
        <w:t>气虚质(B型)</w:t>
      </w:r>
    </w:p>
    <w:p w14:paraId="520A3E5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总体特征：元气不足，以疲乏、气短、自汗等气虚表现为主要特征。</w:t>
      </w:r>
    </w:p>
    <w:p w14:paraId="57433DD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形体特征：肌肉松软不实。</w:t>
      </w:r>
    </w:p>
    <w:p w14:paraId="54449EA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常见表现：平素语音低弱，气短懒言，容易疲乏，精神不振，易出汗，舌淡红，舌边有齿痕，脉弱。</w:t>
      </w:r>
    </w:p>
    <w:p w14:paraId="7EE700F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心理特征：性格内向，不喜冒险。</w:t>
      </w:r>
    </w:p>
    <w:p w14:paraId="4275CA6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发病倾向：易患感冒、内脏下垂等病；病后康复缓慢。</w:t>
      </w:r>
    </w:p>
    <w:p w14:paraId="5746083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对外界环境适应能力：不耐受风、寒、暑、湿邪。</w:t>
      </w:r>
    </w:p>
    <w:p w14:paraId="1574AF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4"/>
          <w:szCs w:val="24"/>
        </w:rPr>
      </w:pPr>
    </w:p>
    <w:p w14:paraId="750CFA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lang w:val="en-US" w:eastAsia="zh-CN"/>
        </w:rPr>
        <w:t>三、</w:t>
      </w:r>
      <w:r>
        <w:rPr>
          <w:rFonts w:hint="eastAsia"/>
          <w:sz w:val="24"/>
          <w:szCs w:val="24"/>
        </w:rPr>
        <w:t>阳虚质(C型)</w:t>
      </w:r>
    </w:p>
    <w:p w14:paraId="555B3B0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总体特征：阳气不足，以畏寒怕冷、手足不温等虚寒表现为主要特征。</w:t>
      </w:r>
    </w:p>
    <w:p w14:paraId="088E939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形体特征：肌肉松软不实。</w:t>
      </w:r>
    </w:p>
    <w:p w14:paraId="5E91594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常见表现：平素畏冷，手足不温，喜热饮食，精神不振，舌淡胖嫩，脉沉迟。</w:t>
      </w:r>
    </w:p>
    <w:p w14:paraId="4BF10C3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心理特征：性格多沉静、内向。</w:t>
      </w:r>
    </w:p>
    <w:p w14:paraId="64375D0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发病倾向：易患痰饮、肿胀、泄泻等病；感邪易从寒化。</w:t>
      </w:r>
    </w:p>
    <w:p w14:paraId="731CE81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对外界环境适应能力：耐夏不耐冬；易感风、寒、湿邪。</w:t>
      </w:r>
    </w:p>
    <w:p w14:paraId="13EAF7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4"/>
          <w:szCs w:val="24"/>
        </w:rPr>
      </w:pPr>
    </w:p>
    <w:p w14:paraId="58FFEF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lang w:val="en-US" w:eastAsia="zh-CN"/>
        </w:rPr>
        <w:t>四、</w:t>
      </w:r>
      <w:r>
        <w:rPr>
          <w:rFonts w:hint="eastAsia"/>
          <w:sz w:val="24"/>
          <w:szCs w:val="24"/>
        </w:rPr>
        <w:t>阴虚质(D型)</w:t>
      </w:r>
    </w:p>
    <w:p w14:paraId="337FB7E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总体特征：阴液亏少，以口燥咽干、手足心热等虚热表现为主要特征。</w:t>
      </w:r>
    </w:p>
    <w:p w14:paraId="53E224B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形体特征：体形偏瘦。</w:t>
      </w:r>
    </w:p>
    <w:p w14:paraId="4150CDC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常见表现：手足心热，口燥咽干，鼻微干，喜冷饮，大便干燥，舌红少津，脉细数。</w:t>
      </w:r>
    </w:p>
    <w:p w14:paraId="6FB5F5F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心理特征：性情急躁，外向好动，活泼。</w:t>
      </w:r>
    </w:p>
    <w:p w14:paraId="1C77500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发病倾向：易患虚劳、失精、不寐等病；感邪易从热化。</w:t>
      </w:r>
    </w:p>
    <w:p w14:paraId="36605D1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对外界环境适应能力：耐冬不耐夏；不耐受暑、热、燥邪。</w:t>
      </w:r>
    </w:p>
    <w:p w14:paraId="4A4092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4"/>
          <w:szCs w:val="24"/>
        </w:rPr>
      </w:pPr>
    </w:p>
    <w:p w14:paraId="41B31A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lang w:val="en-US" w:eastAsia="zh-CN"/>
        </w:rPr>
        <w:t>五、</w:t>
      </w:r>
      <w:r>
        <w:rPr>
          <w:rFonts w:hint="eastAsia"/>
          <w:sz w:val="24"/>
          <w:szCs w:val="24"/>
        </w:rPr>
        <w:t>痰湿质(E型)</w:t>
      </w:r>
    </w:p>
    <w:p w14:paraId="7152551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总体特征：痰湿凝聚，以形体肥胖、腹部肥满、口黏苔腻等痰湿表现为主要特征。</w:t>
      </w:r>
    </w:p>
    <w:p w14:paraId="6AB68A6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形体特征：体形肥胖，腹部肥满松软。</w:t>
      </w:r>
    </w:p>
    <w:p w14:paraId="4067399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常见表现：面部皮肤油脂较多，多汗且黏，胸闷，痰多，口黏腻或甜，喜食肥甘甜黏，苔腻，脉滑。</w:t>
      </w:r>
    </w:p>
    <w:p w14:paraId="477D868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心理特征：性格偏温和、稳重，多善于忍耐。</w:t>
      </w:r>
    </w:p>
    <w:p w14:paraId="0290EC2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发病倾向：易患消渴、中风、胸痹等病。</w:t>
      </w:r>
    </w:p>
    <w:p w14:paraId="21A594F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对外界环境适应能力：对梅雨季节及湿重环境适应能力差。</w:t>
      </w:r>
    </w:p>
    <w:p w14:paraId="678036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4"/>
          <w:szCs w:val="24"/>
        </w:rPr>
      </w:pPr>
    </w:p>
    <w:p w14:paraId="0EF972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lang w:val="en-US" w:eastAsia="zh-CN"/>
        </w:rPr>
        <w:t>六、</w:t>
      </w:r>
      <w:r>
        <w:rPr>
          <w:rFonts w:hint="eastAsia"/>
          <w:sz w:val="24"/>
          <w:szCs w:val="24"/>
        </w:rPr>
        <w:t>湿热质(F型)</w:t>
      </w:r>
    </w:p>
    <w:p w14:paraId="25D6BA3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总体特征：湿热内蕴，以面垢油光、口苦、苔黄腻等湿热表现为主要特征。</w:t>
      </w:r>
    </w:p>
    <w:p w14:paraId="2A477A6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形体特征：形体中等或偏瘦。</w:t>
      </w:r>
    </w:p>
    <w:p w14:paraId="5B6B856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常见表现：面垢油光，易生痤疮，口苦口干，身重困倦，大便黏滞不畅或燥结，小便短黄，男性易阴囊潮湿，女性易带下增多，舌质偏红，苔黄腻，脉滑数。</w:t>
      </w:r>
    </w:p>
    <w:p w14:paraId="1E1EA55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心理特征：容易心烦急躁。</w:t>
      </w:r>
    </w:p>
    <w:p w14:paraId="719B01B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发病倾向：易患疮疖、黄疸、热淋等病。</w:t>
      </w:r>
    </w:p>
    <w:p w14:paraId="71301A6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对外界环境适应能力：对夏末秋初湿热气候，湿重或气温偏高环境较难适应。</w:t>
      </w:r>
    </w:p>
    <w:p w14:paraId="14D7D0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4"/>
          <w:szCs w:val="24"/>
        </w:rPr>
      </w:pPr>
    </w:p>
    <w:p w14:paraId="6776E7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lang w:val="en-US" w:eastAsia="zh-CN"/>
        </w:rPr>
        <w:t>七、</w:t>
      </w:r>
      <w:r>
        <w:rPr>
          <w:rFonts w:hint="eastAsia"/>
          <w:sz w:val="24"/>
          <w:szCs w:val="24"/>
        </w:rPr>
        <w:t>血瘀质(G型)</w:t>
      </w:r>
    </w:p>
    <w:p w14:paraId="78E024A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总体特征：血行不畅，以肤色晦黯、舌质紫黯等血瘀表现为主要特征。</w:t>
      </w:r>
    </w:p>
    <w:p w14:paraId="2067C85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形体特征：胖瘦均见。</w:t>
      </w:r>
    </w:p>
    <w:p w14:paraId="2606169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常见表现：肤色晦黯，色素沉着，容易出现瘀斑，口唇黯淡，舌黯或有瘀点，舌下络脉紫黯或增粗，脉涩。</w:t>
      </w:r>
    </w:p>
    <w:p w14:paraId="7C48E9A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心理特征：易烦，健忘。</w:t>
      </w:r>
    </w:p>
    <w:p w14:paraId="4423EBA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发病倾向：易患癥瘕及痛证、血证等。</w:t>
      </w:r>
    </w:p>
    <w:p w14:paraId="6B45DBC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对外界环境适应能力：不耐受寒邪。</w:t>
      </w:r>
    </w:p>
    <w:p w14:paraId="0F675B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4"/>
          <w:szCs w:val="24"/>
        </w:rPr>
      </w:pPr>
    </w:p>
    <w:p w14:paraId="5C7E02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lang w:val="en-US" w:eastAsia="zh-CN"/>
        </w:rPr>
        <w:t>八、</w:t>
      </w:r>
      <w:r>
        <w:rPr>
          <w:rFonts w:hint="eastAsia"/>
          <w:sz w:val="24"/>
          <w:szCs w:val="24"/>
        </w:rPr>
        <w:t>气郁质(H型)</w:t>
      </w:r>
    </w:p>
    <w:p w14:paraId="1C50695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总体特征：气机郁滞，以神情抑郁、忧虑脆弱等气郁表现为主要特征。</w:t>
      </w:r>
    </w:p>
    <w:p w14:paraId="59F4D17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形体特征：形体瘦者为多。</w:t>
      </w:r>
    </w:p>
    <w:p w14:paraId="33A9479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常见表现：神情抑郁，情感脆弱，烦闷不乐，舌淡红，苔薄白，脉弦。</w:t>
      </w:r>
    </w:p>
    <w:p w14:paraId="178AD75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心理特征：性格内向不稳定、敏感多虑。</w:t>
      </w:r>
    </w:p>
    <w:p w14:paraId="394116A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发病倾向：易患脏躁、梅核气、百合病及郁证等。</w:t>
      </w:r>
    </w:p>
    <w:p w14:paraId="37307DC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对外界环境适应能力：对精神刺激适应能力较差；不适应阴雨天气。</w:t>
      </w:r>
    </w:p>
    <w:p w14:paraId="5FA8FC4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4"/>
          <w:szCs w:val="24"/>
        </w:rPr>
      </w:pPr>
    </w:p>
    <w:p w14:paraId="437693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lang w:val="en-US" w:eastAsia="zh-CN"/>
        </w:rPr>
        <w:t>九、</w:t>
      </w:r>
      <w:r>
        <w:rPr>
          <w:rFonts w:hint="eastAsia"/>
          <w:sz w:val="24"/>
          <w:szCs w:val="24"/>
        </w:rPr>
        <w:t>特禀质(I型)</w:t>
      </w:r>
    </w:p>
    <w:p w14:paraId="5836127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总体特征：先天失常，以生理缺陷、过敏反应等为主要特征。</w:t>
      </w:r>
    </w:p>
    <w:p w14:paraId="357CF3F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形体特征：过敏体质者一般无特殊；先天禀赋异常者或有畸形，或有生理缺陷。</w:t>
      </w:r>
    </w:p>
    <w:p w14:paraId="4E4949E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常见表现：过敏体质者常见哮喘、风团、咽痒、鼻塞、喷嚏等；患遗传性疾病者有垂直遗传、先天性、家族性特征；患胎传性疾病者具有母体影响胎儿个体生长发育及相关疾病特征。</w:t>
      </w:r>
    </w:p>
    <w:p w14:paraId="541A3BC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心理特征：随禀质不同情况各异。</w:t>
      </w:r>
    </w:p>
    <w:p w14:paraId="4BE4004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szCs w:val="24"/>
        </w:rPr>
      </w:pPr>
      <w:r>
        <w:rPr>
          <w:rFonts w:hint="eastAsia"/>
          <w:sz w:val="24"/>
          <w:szCs w:val="24"/>
        </w:rPr>
        <w:t>发病倾向：过敏体质者易患哮喘、荨麻疹、花粉症及药物过敏等；遗传性疾病如血友病、先天愚型等；胎传性疾病如五迟（立迟、行迟、发迟、齿迟和语迟）、五软（头软、项软、手足软、肌肉软、口软）、解颅、胎惊等。</w:t>
      </w:r>
    </w:p>
    <w:p w14:paraId="43DD650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sz w:val="24"/>
          <w:szCs w:val="24"/>
        </w:rPr>
      </w:pPr>
      <w:r>
        <w:rPr>
          <w:rFonts w:hint="eastAsia"/>
          <w:sz w:val="24"/>
          <w:szCs w:val="24"/>
        </w:rPr>
        <w:t>对外界环境适应能力：适应能力差，如过敏体质者对易致过敏季节适应能力差，易引发宿疾。</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3D95ED"/>
    <w:multiLevelType w:val="singleLevel"/>
    <w:tmpl w:val="B53D95ED"/>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F13E27"/>
    <w:rsid w:val="0B212DFC"/>
    <w:rsid w:val="1E19721E"/>
    <w:rsid w:val="28BB38A0"/>
    <w:rsid w:val="5124051D"/>
    <w:rsid w:val="6A575068"/>
    <w:rsid w:val="74962C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2375</Words>
  <Characters>2405</Characters>
  <Lines>0</Lines>
  <Paragraphs>0</Paragraphs>
  <TotalTime>0</TotalTime>
  <ScaleCrop>false</ScaleCrop>
  <LinksUpToDate>false</LinksUpToDate>
  <CharactersWithSpaces>2405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2025-12-20T02:43:00Z</dcterms:created>
  <dc:creator>23529</dc:creator>
  <cp:lastModifiedBy>朽木断玄</cp:lastModifiedBy>
  <dcterms:modified xsi:type="dcterms:W3CDTF">2025-12-24T02:39:07Z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eyJoZGlkIjoiZGVjZTBmNzZkMzU1ZTE0MzdlOGUyYjdmOWMyZmFlNTYiLCJ1c2VySWQiOiIxNTU2NDI2NzAzIn0=</vt:lpwstr>
  </property>
  <property fmtid="{D5CDD505-2E9C-101B-9397-08002B2CF9AE}" pid="4" name="ICV">
    <vt:lpwstr>A52F634952B54E4480FA0D22E5A4621E_12</vt:lpwstr>
  </property>
</Properties>
</file>