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4704D">
      <w:pPr>
        <w:spacing w:line="360" w:lineRule="auto"/>
        <w:rPr>
          <w:rFonts w:hint="eastAsia" w:ascii="黑体" w:eastAsia="黑体"/>
          <w:spacing w:val="56"/>
          <w:sz w:val="21"/>
        </w:rPr>
      </w:pPr>
      <w:r>
        <w:rPr>
          <w:sz w:val="20"/>
        </w:rPr>
        <w:drawing>
          <wp:anchor distT="0" distB="0" distL="114300" distR="114300" simplePos="0" relativeHeight="251665408" behindDoc="0" locked="0" layoutInCell="1" allowOverlap="1">
            <wp:simplePos x="0" y="0"/>
            <wp:positionH relativeFrom="column">
              <wp:posOffset>114300</wp:posOffset>
            </wp:positionH>
            <wp:positionV relativeFrom="paragraph">
              <wp:posOffset>0</wp:posOffset>
            </wp:positionV>
            <wp:extent cx="1143635" cy="1143635"/>
            <wp:effectExtent l="0" t="0" r="24765" b="24765"/>
            <wp:wrapNone/>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24"/>
                    <a:stretch>
                      <a:fillRect/>
                    </a:stretch>
                  </pic:blipFill>
                  <pic:spPr>
                    <a:xfrm>
                      <a:off x="0" y="0"/>
                      <a:ext cx="1143635" cy="1143635"/>
                    </a:xfrm>
                    <a:prstGeom prst="rect">
                      <a:avLst/>
                    </a:prstGeom>
                    <a:noFill/>
                    <a:ln>
                      <a:noFill/>
                    </a:ln>
                  </pic:spPr>
                </pic:pic>
              </a:graphicData>
            </a:graphic>
          </wp:anchor>
        </w:drawing>
      </w:r>
      <w:r>
        <w:rPr>
          <w:rFonts w:hint="eastAsia" w:ascii="黑体" w:eastAsia="黑体"/>
          <w:sz w:val="24"/>
        </w:rPr>
        <w:t xml:space="preserve">                                                    </w:t>
      </w:r>
      <w:r>
        <w:rPr>
          <w:rFonts w:hint="eastAsia" w:ascii="黑体" w:eastAsia="黑体"/>
          <w:sz w:val="21"/>
        </w:rPr>
        <w:t>单位代码</w:t>
      </w:r>
      <w:r>
        <w:rPr>
          <w:rFonts w:hint="eastAsia" w:ascii="黑体" w:eastAsia="黑体"/>
          <w:sz w:val="21"/>
          <w:u w:val="single"/>
        </w:rPr>
        <w:t xml:space="preserve">      </w:t>
      </w:r>
      <w:r>
        <w:rPr>
          <w:rFonts w:hint="eastAsia" w:ascii="黑体" w:eastAsia="黑体"/>
          <w:sz w:val="24"/>
          <w:u w:val="single"/>
        </w:rPr>
        <w:t xml:space="preserve"> </w:t>
      </w:r>
      <w:r>
        <w:rPr>
          <w:rFonts w:hint="eastAsia" w:eastAsia="黑体"/>
          <w:b/>
          <w:bCs/>
          <w:sz w:val="21"/>
          <w:u w:val="single"/>
        </w:rPr>
        <w:t>10006</w:t>
      </w:r>
      <w:r>
        <w:rPr>
          <w:rFonts w:hint="eastAsia" w:eastAsia="黑体"/>
          <w:b/>
          <w:bCs/>
          <w:sz w:val="24"/>
          <w:u w:val="single"/>
        </w:rPr>
        <w:t xml:space="preserve"> </w:t>
      </w:r>
      <w:r>
        <w:rPr>
          <w:rFonts w:hint="eastAsia" w:eastAsia="黑体"/>
          <w:sz w:val="21"/>
          <w:u w:val="single"/>
        </w:rPr>
        <w:t xml:space="preserve">       </w:t>
      </w:r>
    </w:p>
    <w:p w14:paraId="2C239E77">
      <w:pPr>
        <w:spacing w:line="360" w:lineRule="auto"/>
        <w:ind w:firstLine="6247" w:firstLineChars="2975"/>
        <w:rPr>
          <w:rFonts w:hint="eastAsia" w:eastAsia="黑体"/>
          <w:sz w:val="21"/>
        </w:rPr>
      </w:pPr>
      <w:r>
        <w:rPr>
          <w:rFonts w:hint="eastAsia" w:ascii="黑体" w:eastAsia="黑体"/>
          <w:sz w:val="21"/>
        </w:rPr>
        <w:t xml:space="preserve">学 </w:t>
      </w:r>
      <w:r>
        <w:rPr>
          <w:rFonts w:hint="eastAsia" w:ascii="黑体" w:eastAsia="黑体"/>
          <w:spacing w:val="-16"/>
          <w:sz w:val="21"/>
        </w:rPr>
        <w:t xml:space="preserve"> </w:t>
      </w:r>
      <w:r>
        <w:rPr>
          <w:rFonts w:hint="eastAsia" w:ascii="黑体" w:eastAsia="黑体"/>
          <w:spacing w:val="-4"/>
          <w:sz w:val="21"/>
        </w:rPr>
        <w:t xml:space="preserve"> </w:t>
      </w:r>
      <w:r>
        <w:rPr>
          <w:rFonts w:hint="eastAsia" w:ascii="黑体" w:eastAsia="黑体"/>
          <w:spacing w:val="22"/>
          <w:sz w:val="21"/>
        </w:rPr>
        <w:t xml:space="preserve"> </w:t>
      </w:r>
      <w:r>
        <w:rPr>
          <w:rFonts w:hint="eastAsia" w:ascii="黑体" w:eastAsia="黑体"/>
          <w:sz w:val="21"/>
        </w:rPr>
        <w:t>号</w:t>
      </w:r>
      <w:r>
        <w:rPr>
          <w:rFonts w:hint="eastAsia" w:ascii="黑体" w:eastAsia="黑体"/>
          <w:sz w:val="21"/>
          <w:u w:val="single"/>
        </w:rPr>
        <w:t xml:space="preserve">  </w:t>
      </w:r>
      <w:r>
        <w:rPr>
          <w:rFonts w:hint="eastAsia" w:eastAsia="黑体"/>
          <w:sz w:val="21"/>
          <w:u w:val="single"/>
        </w:rPr>
        <w:t xml:space="preserve">   </w:t>
      </w:r>
      <w:r>
        <w:rPr>
          <w:rFonts w:eastAsia="黑体"/>
          <w:b/>
          <w:bCs/>
          <w:sz w:val="21"/>
          <w:u w:val="single"/>
        </w:rPr>
        <w:t xml:space="preserve">      </w:t>
      </w:r>
      <w:r>
        <w:rPr>
          <w:rFonts w:hint="eastAsia" w:eastAsia="黑体"/>
          <w:sz w:val="21"/>
          <w:u w:val="single"/>
        </w:rPr>
        <w:t xml:space="preserve"> </w:t>
      </w:r>
      <w:r>
        <w:rPr>
          <w:rFonts w:eastAsia="黑体"/>
          <w:sz w:val="21"/>
          <w:u w:val="single"/>
        </w:rPr>
        <w:t xml:space="preserve"> </w:t>
      </w:r>
      <w:r>
        <w:rPr>
          <w:rFonts w:hint="eastAsia" w:eastAsia="黑体"/>
          <w:sz w:val="21"/>
          <w:u w:val="single"/>
        </w:rPr>
        <w:t xml:space="preserve">    </w:t>
      </w:r>
      <w:r>
        <w:rPr>
          <w:rFonts w:hint="eastAsia" w:eastAsia="黑体"/>
          <w:sz w:val="24"/>
          <w:u w:val="single"/>
        </w:rPr>
        <w:t xml:space="preserve">  </w:t>
      </w:r>
    </w:p>
    <w:p w14:paraId="61CD3407">
      <w:pPr>
        <w:spacing w:line="360" w:lineRule="auto"/>
        <w:ind w:firstLine="6023" w:firstLineChars="2106"/>
        <w:rPr>
          <w:rFonts w:hint="eastAsia" w:ascii="黑体" w:eastAsia="黑体"/>
          <w:spacing w:val="38"/>
          <w:sz w:val="21"/>
        </w:rPr>
      </w:pPr>
      <w:r>
        <w:rPr>
          <w:rFonts w:hint="eastAsia" w:ascii="黑体" w:eastAsia="黑体"/>
          <w:color w:val="FFFFFF"/>
          <w:spacing w:val="38"/>
          <w:sz w:val="21"/>
          <w:shd w:val="clear" w:color="auto" w:fill="FFFFFF"/>
        </w:rPr>
        <w:t>1</w:t>
      </w:r>
      <w:r>
        <w:rPr>
          <w:rFonts w:hint="eastAsia" w:ascii="黑体" w:eastAsia="黑体"/>
          <w:spacing w:val="54"/>
          <w:sz w:val="21"/>
        </w:rPr>
        <w:t>分</w:t>
      </w:r>
      <w:r>
        <w:rPr>
          <w:rFonts w:hint="eastAsia" w:ascii="黑体" w:eastAsia="黑体"/>
          <w:spacing w:val="52"/>
          <w:sz w:val="21"/>
        </w:rPr>
        <w:t>类</w:t>
      </w:r>
      <w:r>
        <w:rPr>
          <w:rFonts w:hint="eastAsia" w:ascii="黑体" w:eastAsia="黑体"/>
          <w:sz w:val="21"/>
        </w:rPr>
        <w:t>号</w:t>
      </w:r>
      <w:r>
        <w:rPr>
          <w:rFonts w:hint="eastAsia" w:ascii="黑体" w:eastAsia="黑体"/>
          <w:spacing w:val="38"/>
          <w:sz w:val="21"/>
          <w:u w:val="single"/>
        </w:rPr>
        <w:t xml:space="preserve">     </w:t>
      </w:r>
      <w:r>
        <w:rPr>
          <w:rFonts w:ascii="黑体" w:eastAsia="黑体"/>
          <w:spacing w:val="38"/>
          <w:sz w:val="21"/>
          <w:u w:val="single"/>
        </w:rPr>
        <w:t xml:space="preserve">  </w:t>
      </w:r>
      <w:r>
        <w:rPr>
          <w:rFonts w:hint="eastAsia" w:ascii="黑体" w:eastAsia="黑体"/>
          <w:spacing w:val="38"/>
          <w:sz w:val="21"/>
          <w:u w:val="single"/>
        </w:rPr>
        <w:t xml:space="preserve">  </w:t>
      </w:r>
      <w:r>
        <w:rPr>
          <w:rFonts w:hint="eastAsia" w:ascii="黑体" w:eastAsia="黑体"/>
          <w:spacing w:val="-12"/>
          <w:sz w:val="21"/>
          <w:u w:val="single"/>
        </w:rPr>
        <w:t xml:space="preserve">      </w:t>
      </w:r>
    </w:p>
    <w:p w14:paraId="43BF2C45">
      <w:pPr>
        <w:spacing w:line="360" w:lineRule="auto"/>
        <w:jc w:val="left"/>
        <w:rPr>
          <w:rFonts w:hint="eastAsia" w:ascii="黑体" w:eastAsia="黑体"/>
          <w:b/>
          <w:bCs/>
          <w:sz w:val="24"/>
          <w:u w:val="single"/>
        </w:rPr>
      </w:pPr>
      <w:r>
        <w:rPr>
          <w:rFonts w:hint="eastAsia" w:ascii="黑体" w:eastAsia="黑体"/>
          <w:sz w:val="21"/>
        </w:rPr>
        <w:t xml:space="preserve">                                                      </w:t>
      </w:r>
    </w:p>
    <w:p w14:paraId="7BB6285B">
      <w:pPr>
        <w:rPr>
          <w:rFonts w:hint="eastAsia" w:ascii="黑体" w:eastAsia="黑体"/>
          <w:b/>
          <w:bCs/>
        </w:rPr>
      </w:pPr>
    </w:p>
    <w:p w14:paraId="7AC05E73">
      <w:pPr>
        <w:rPr>
          <w:rFonts w:hint="eastAsia" w:ascii="黑体" w:eastAsia="黑体"/>
          <w:b/>
          <w:bCs/>
          <w:sz w:val="21"/>
        </w:rPr>
      </w:pPr>
    </w:p>
    <w:p w14:paraId="07118B73">
      <w:pPr>
        <w:jc w:val="center"/>
        <w:rPr>
          <w:rFonts w:hint="eastAsia" w:ascii="黑体" w:eastAsia="黑体"/>
          <w:b/>
          <w:bCs/>
          <w:sz w:val="28"/>
        </w:rPr>
      </w:pPr>
      <w:r>
        <w:rPr>
          <w:rFonts w:hint="eastAsia" w:ascii="黑体" w:eastAsia="黑体"/>
          <w:b/>
          <w:bCs/>
          <w:sz w:val="28"/>
        </w:rPr>
        <w:drawing>
          <wp:inline distT="0" distB="0" distL="114300" distR="114300">
            <wp:extent cx="4603750" cy="808355"/>
            <wp:effectExtent l="0" t="0" r="19050" b="444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5"/>
                    <a:stretch>
                      <a:fillRect/>
                    </a:stretch>
                  </pic:blipFill>
                  <pic:spPr>
                    <a:xfrm>
                      <a:off x="0" y="0"/>
                      <a:ext cx="4603750" cy="808355"/>
                    </a:xfrm>
                    <a:prstGeom prst="rect">
                      <a:avLst/>
                    </a:prstGeom>
                    <a:noFill/>
                    <a:ln>
                      <a:noFill/>
                    </a:ln>
                  </pic:spPr>
                </pic:pic>
              </a:graphicData>
            </a:graphic>
          </wp:inline>
        </w:drawing>
      </w:r>
    </w:p>
    <w:p w14:paraId="71C0506E">
      <w:pPr>
        <w:jc w:val="center"/>
        <w:rPr>
          <w:rFonts w:hint="eastAsia" w:ascii="黑体" w:eastAsia="黑体"/>
          <w:b/>
          <w:bCs/>
        </w:rPr>
      </w:pPr>
    </w:p>
    <w:p w14:paraId="47D1E8D0">
      <w:pPr>
        <w:spacing w:before="312" w:beforeLines="100"/>
        <w:jc w:val="center"/>
        <w:rPr>
          <w:rFonts w:hint="eastAsia" w:ascii="黑体" w:eastAsia="黑体"/>
          <w:spacing w:val="20"/>
          <w:sz w:val="72"/>
        </w:rPr>
      </w:pPr>
      <w:r>
        <w:rPr>
          <w:rFonts w:hint="eastAsia" w:ascii="黑体" w:eastAsia="黑体"/>
          <w:spacing w:val="20"/>
          <w:sz w:val="72"/>
        </w:rPr>
        <w:t>毕业设计</w:t>
      </w:r>
      <w:r>
        <w:rPr>
          <w:rFonts w:hint="eastAsia" w:eastAsia="黑体"/>
          <w:spacing w:val="20"/>
          <w:sz w:val="72"/>
        </w:rPr>
        <w:t>（</w:t>
      </w:r>
      <w:r>
        <w:rPr>
          <w:rFonts w:hint="eastAsia" w:ascii="黑体" w:eastAsia="黑体"/>
          <w:spacing w:val="20"/>
          <w:sz w:val="72"/>
        </w:rPr>
        <w:t>论文</w:t>
      </w:r>
      <w:r>
        <w:rPr>
          <w:rFonts w:hint="eastAsia" w:eastAsia="黑体"/>
          <w:spacing w:val="20"/>
          <w:sz w:val="72"/>
        </w:rPr>
        <w:t>）</w:t>
      </w:r>
    </w:p>
    <w:p w14:paraId="21B1402B">
      <w:pPr>
        <w:rPr>
          <w:rFonts w:hint="eastAsia"/>
          <w:b/>
          <w:bCs/>
          <w:sz w:val="28"/>
        </w:rPr>
      </w:pPr>
    </w:p>
    <w:p w14:paraId="263F3B16">
      <w:pPr>
        <w:rPr>
          <w:rFonts w:hint="eastAsia"/>
          <w:b/>
          <w:bCs/>
          <w:sz w:val="28"/>
        </w:rPr>
      </w:pPr>
    </w:p>
    <w:p w14:paraId="70D060FE">
      <w:pPr>
        <w:jc w:val="center"/>
        <w:rPr>
          <w:rFonts w:hint="eastAsia" w:eastAsia="黑体"/>
          <w:sz w:val="44"/>
        </w:rPr>
      </w:pPr>
      <w:r>
        <w:rPr>
          <w:rFonts w:hint="eastAsia" w:eastAsia="黑体"/>
          <w:sz w:val="44"/>
        </w:rPr>
        <w:t>题目</w:t>
      </w:r>
    </w:p>
    <w:p w14:paraId="409A24FC">
      <w:pPr>
        <w:rPr>
          <w:rFonts w:hint="eastAsia"/>
          <w:b/>
          <w:bCs/>
          <w:sz w:val="28"/>
        </w:rPr>
      </w:pPr>
    </w:p>
    <w:p w14:paraId="3937318C">
      <w:pPr>
        <w:rPr>
          <w:rFonts w:hint="eastAsia"/>
          <w:b/>
          <w:bCs/>
          <w:sz w:val="28"/>
        </w:rPr>
      </w:pPr>
    </w:p>
    <w:p w14:paraId="4215B279">
      <w:pPr>
        <w:rPr>
          <w:rFonts w:hint="eastAsia"/>
          <w:b/>
          <w:bCs/>
          <w:sz w:val="28"/>
        </w:rPr>
      </w:pPr>
    </w:p>
    <w:p w14:paraId="3E23C24B">
      <w:pPr>
        <w:rPr>
          <w:rFonts w:hint="eastAsia"/>
          <w:b/>
          <w:bCs/>
        </w:rPr>
      </w:pPr>
    </w:p>
    <w:tbl>
      <w:tblPr>
        <w:tblStyle w:val="39"/>
        <w:tblW w:w="0" w:type="auto"/>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48"/>
        <w:gridCol w:w="4371"/>
      </w:tblGrid>
      <w:tr w14:paraId="7AE88716">
        <w:trPr>
          <w:trHeight w:val="616" w:hRule="atLeast"/>
        </w:trPr>
        <w:tc>
          <w:tcPr>
            <w:tcW w:w="2448" w:type="dxa"/>
            <w:noWrap w:val="0"/>
            <w:vAlign w:val="top"/>
          </w:tcPr>
          <w:p w14:paraId="0FFADCFA">
            <w:pPr>
              <w:spacing w:line="600" w:lineRule="exact"/>
              <w:jc w:val="distribute"/>
              <w:rPr>
                <w:rFonts w:hint="eastAsia" w:eastAsia="黑体"/>
                <w:spacing w:val="30"/>
                <w:kern w:val="10"/>
                <w:sz w:val="30"/>
              </w:rPr>
            </w:pPr>
            <w:r>
              <w:rPr>
                <w:rFonts w:hint="eastAsia" w:eastAsia="黑体"/>
                <w:spacing w:val="30"/>
                <w:kern w:val="10"/>
                <w:sz w:val="30"/>
              </w:rPr>
              <w:t xml:space="preserve"> 学院名称</w:t>
            </w:r>
          </w:p>
        </w:tc>
        <w:tc>
          <w:tcPr>
            <w:tcW w:w="4371" w:type="dxa"/>
            <w:tcBorders>
              <w:bottom w:val="single" w:color="auto" w:sz="4" w:space="0"/>
            </w:tcBorders>
            <w:noWrap w:val="0"/>
            <w:vAlign w:val="center"/>
          </w:tcPr>
          <w:p w14:paraId="319FD256">
            <w:pPr>
              <w:spacing w:line="600" w:lineRule="exact"/>
              <w:jc w:val="center"/>
              <w:rPr>
                <w:rFonts w:hint="eastAsia" w:eastAsia="黑体"/>
                <w:spacing w:val="30"/>
                <w:kern w:val="10"/>
                <w:sz w:val="30"/>
              </w:rPr>
            </w:pPr>
            <w:r>
              <w:rPr>
                <w:rFonts w:hint="eastAsia" w:eastAsia="黑体"/>
                <w:spacing w:val="30"/>
                <w:kern w:val="10"/>
                <w:sz w:val="30"/>
              </w:rPr>
              <w:t>继续教育学院</w:t>
            </w:r>
          </w:p>
        </w:tc>
      </w:tr>
      <w:tr w14:paraId="0FD19599">
        <w:trPr>
          <w:trHeight w:val="616" w:hRule="atLeast"/>
        </w:trPr>
        <w:tc>
          <w:tcPr>
            <w:tcW w:w="2448" w:type="dxa"/>
            <w:noWrap w:val="0"/>
            <w:vAlign w:val="top"/>
          </w:tcPr>
          <w:p w14:paraId="71272B2A">
            <w:pPr>
              <w:spacing w:line="600" w:lineRule="exact"/>
              <w:jc w:val="distribute"/>
              <w:rPr>
                <w:rFonts w:hint="eastAsia" w:eastAsia="黑体"/>
                <w:spacing w:val="30"/>
                <w:kern w:val="10"/>
                <w:sz w:val="30"/>
              </w:rPr>
            </w:pPr>
            <w:r>
              <w:rPr>
                <w:rFonts w:hint="eastAsia" w:eastAsia="黑体"/>
                <w:spacing w:val="30"/>
                <w:kern w:val="10"/>
                <w:sz w:val="30"/>
              </w:rPr>
              <w:t xml:space="preserve"> 专业名称</w:t>
            </w:r>
          </w:p>
        </w:tc>
        <w:tc>
          <w:tcPr>
            <w:tcW w:w="4371" w:type="dxa"/>
            <w:tcBorders>
              <w:top w:val="single" w:color="auto" w:sz="4" w:space="0"/>
              <w:bottom w:val="single" w:color="auto" w:sz="4" w:space="0"/>
            </w:tcBorders>
            <w:noWrap w:val="0"/>
            <w:vAlign w:val="center"/>
          </w:tcPr>
          <w:p w14:paraId="4B2B6604">
            <w:pPr>
              <w:spacing w:line="600" w:lineRule="exact"/>
              <w:jc w:val="center"/>
              <w:rPr>
                <w:rFonts w:hint="eastAsia" w:eastAsia="黑体"/>
                <w:spacing w:val="30"/>
                <w:kern w:val="10"/>
                <w:sz w:val="30"/>
              </w:rPr>
            </w:pPr>
            <w:r>
              <w:rPr>
                <w:rFonts w:hint="eastAsia" w:eastAsia="黑体"/>
                <w:spacing w:val="30"/>
                <w:kern w:val="10"/>
                <w:sz w:val="30"/>
              </w:rPr>
              <w:t>计算机科学与技术</w:t>
            </w:r>
          </w:p>
        </w:tc>
      </w:tr>
      <w:tr w14:paraId="563D1460">
        <w:trPr>
          <w:trHeight w:val="601" w:hRule="atLeast"/>
        </w:trPr>
        <w:tc>
          <w:tcPr>
            <w:tcW w:w="2448" w:type="dxa"/>
            <w:noWrap w:val="0"/>
            <w:vAlign w:val="top"/>
          </w:tcPr>
          <w:p w14:paraId="57AAC646">
            <w:pPr>
              <w:spacing w:line="600" w:lineRule="exact"/>
              <w:jc w:val="distribute"/>
              <w:rPr>
                <w:rFonts w:hint="eastAsia" w:eastAsia="黑体"/>
                <w:spacing w:val="30"/>
                <w:kern w:val="10"/>
                <w:sz w:val="30"/>
              </w:rPr>
            </w:pPr>
            <w:r>
              <w:rPr>
                <w:rFonts w:hint="eastAsia" w:eastAsia="黑体"/>
                <w:spacing w:val="30"/>
                <w:kern w:val="10"/>
                <w:sz w:val="30"/>
              </w:rPr>
              <w:t xml:space="preserve"> 学生姓名</w:t>
            </w:r>
          </w:p>
        </w:tc>
        <w:tc>
          <w:tcPr>
            <w:tcW w:w="4371" w:type="dxa"/>
            <w:tcBorders>
              <w:top w:val="single" w:color="auto" w:sz="4" w:space="0"/>
              <w:bottom w:val="single" w:color="auto" w:sz="4" w:space="0"/>
            </w:tcBorders>
            <w:noWrap w:val="0"/>
            <w:vAlign w:val="center"/>
          </w:tcPr>
          <w:p w14:paraId="600F1CE9">
            <w:pPr>
              <w:spacing w:line="600" w:lineRule="exact"/>
              <w:jc w:val="center"/>
              <w:rPr>
                <w:rFonts w:hint="eastAsia" w:eastAsia="黑体"/>
                <w:spacing w:val="30"/>
                <w:kern w:val="10"/>
                <w:sz w:val="30"/>
              </w:rPr>
            </w:pPr>
          </w:p>
        </w:tc>
      </w:tr>
      <w:tr w14:paraId="63B8F0DD">
        <w:trPr>
          <w:trHeight w:val="631" w:hRule="atLeast"/>
        </w:trPr>
        <w:tc>
          <w:tcPr>
            <w:tcW w:w="2448" w:type="dxa"/>
            <w:tcBorders>
              <w:bottom w:val="nil"/>
            </w:tcBorders>
            <w:noWrap w:val="0"/>
            <w:vAlign w:val="top"/>
          </w:tcPr>
          <w:p w14:paraId="280A6CAB">
            <w:pPr>
              <w:spacing w:line="600" w:lineRule="exact"/>
              <w:jc w:val="distribute"/>
              <w:rPr>
                <w:rFonts w:hint="eastAsia" w:eastAsia="黑体"/>
                <w:spacing w:val="30"/>
                <w:kern w:val="10"/>
                <w:sz w:val="30"/>
              </w:rPr>
            </w:pPr>
            <w:r>
              <w:rPr>
                <w:rFonts w:hint="eastAsia" w:eastAsia="黑体"/>
                <w:spacing w:val="30"/>
                <w:kern w:val="10"/>
                <w:sz w:val="30"/>
              </w:rPr>
              <w:t xml:space="preserve"> 指导教师</w:t>
            </w:r>
          </w:p>
        </w:tc>
        <w:tc>
          <w:tcPr>
            <w:tcW w:w="4371" w:type="dxa"/>
            <w:tcBorders>
              <w:top w:val="single" w:color="auto" w:sz="4" w:space="0"/>
              <w:bottom w:val="single" w:color="auto" w:sz="4" w:space="0"/>
            </w:tcBorders>
            <w:noWrap w:val="0"/>
            <w:vAlign w:val="center"/>
          </w:tcPr>
          <w:p w14:paraId="4E25337D">
            <w:pPr>
              <w:spacing w:line="600" w:lineRule="exact"/>
              <w:jc w:val="center"/>
              <w:rPr>
                <w:rFonts w:hint="eastAsia" w:eastAsia="黑体"/>
                <w:spacing w:val="30"/>
                <w:kern w:val="10"/>
                <w:sz w:val="30"/>
              </w:rPr>
            </w:pPr>
          </w:p>
        </w:tc>
      </w:tr>
    </w:tbl>
    <w:p w14:paraId="7675F6DB">
      <w:pPr>
        <w:spacing w:line="600" w:lineRule="exact"/>
        <w:rPr>
          <w:rFonts w:hint="eastAsia"/>
          <w:b/>
          <w:bCs/>
          <w:spacing w:val="22"/>
          <w:kern w:val="10"/>
          <w:sz w:val="28"/>
        </w:rPr>
      </w:pPr>
    </w:p>
    <w:p w14:paraId="7455B511">
      <w:pPr>
        <w:spacing w:line="600" w:lineRule="exact"/>
        <w:jc w:val="center"/>
        <w:rPr>
          <w:rFonts w:hint="eastAsia" w:eastAsia="黑体"/>
          <w:spacing w:val="22"/>
          <w:kern w:val="10"/>
          <w:sz w:val="30"/>
        </w:rPr>
      </w:pPr>
      <w:r>
        <w:rPr>
          <w:rFonts w:hint="eastAsia" w:eastAsia="黑体"/>
          <w:spacing w:val="22"/>
          <w:kern w:val="10"/>
          <w:sz w:val="30"/>
        </w:rPr>
        <w:t>20</w:t>
      </w:r>
      <w:r>
        <w:rPr>
          <w:rFonts w:eastAsia="黑体"/>
          <w:spacing w:val="22"/>
          <w:kern w:val="10"/>
          <w:sz w:val="30"/>
        </w:rPr>
        <w:t>2</w:t>
      </w:r>
      <w:r>
        <w:rPr>
          <w:rFonts w:hint="eastAsia" w:eastAsia="黑体"/>
          <w:spacing w:val="22"/>
          <w:kern w:val="10"/>
          <w:sz w:val="30"/>
        </w:rPr>
        <w:t>5年6月</w:t>
      </w:r>
    </w:p>
    <w:p w14:paraId="518C31A4">
      <w:pPr>
        <w:spacing w:line="600" w:lineRule="exact"/>
        <w:rPr>
          <w:sz w:val="28"/>
        </w:rPr>
        <w:sectPr>
          <w:headerReference r:id="rId3" w:type="default"/>
          <w:footerReference r:id="rId4" w:type="default"/>
          <w:footerReference r:id="rId5" w:type="even"/>
          <w:pgSz w:w="11906" w:h="16838"/>
          <w:pgMar w:top="1701" w:right="1134" w:bottom="1418" w:left="1701" w:header="567" w:footer="851" w:gutter="0"/>
          <w:pgNumType w:start="9"/>
          <w:cols w:space="720" w:num="1"/>
          <w:docGrid w:type="lines" w:linePitch="312" w:charSpace="0"/>
        </w:sectPr>
      </w:pPr>
    </w:p>
    <w:p w14:paraId="56440E9C">
      <w:pPr>
        <w:spacing w:line="600" w:lineRule="exact"/>
        <w:rPr>
          <w:rFonts w:hint="eastAsia"/>
          <w:sz w:val="28"/>
        </w:rPr>
      </w:pPr>
    </w:p>
    <w:p w14:paraId="6C9FB400">
      <w:pPr>
        <w:spacing w:line="600" w:lineRule="exact"/>
        <w:ind w:firstLine="3640" w:firstLineChars="1300"/>
        <w:rPr>
          <w:rFonts w:hint="eastAsia"/>
          <w:sz w:val="28"/>
        </w:rPr>
      </w:pPr>
      <w:r>
        <w:rPr>
          <w:rFonts w:hint="eastAsia"/>
          <w:sz w:val="28"/>
        </w:rPr>
        <w:t>论文封面书脊</w:t>
      </w:r>
    </w:p>
    <w:p w14:paraId="38B0CA32">
      <w:pPr>
        <w:spacing w:line="600" w:lineRule="exact"/>
        <w:rPr>
          <w:rFonts w:hint="eastAsia" w:eastAsia="黑体"/>
          <w:b/>
          <w:bCs/>
          <w:spacing w:val="22"/>
          <w:kern w:val="10"/>
          <w:sz w:val="32"/>
        </w:rPr>
      </w:pPr>
    </w:p>
    <w:p w14:paraId="3BB6C59F">
      <w:pPr>
        <w:rPr>
          <w:rFonts w:hint="eastAsia"/>
        </w:rPr>
      </w:pPr>
    </w:p>
    <w:p w14:paraId="7BFC5532">
      <w:pPr>
        <w:rPr>
          <w:rFonts w:hint="eastAsia"/>
        </w:rPr>
      </w:pPr>
    </w:p>
    <w:p w14:paraId="3D5C16F6">
      <w:pPr>
        <w:rPr>
          <w:rFonts w:hint="eastAsia"/>
        </w:rPr>
      </w:pPr>
    </w:p>
    <w:p w14:paraId="19FAE592">
      <w:pPr>
        <w:rPr>
          <w:rFonts w:hint="eastAsia"/>
        </w:rPr>
      </w:pPr>
      <w:r>
        <w:rPr>
          <w:sz w:val="20"/>
        </w:rPr>
        <mc:AlternateContent>
          <mc:Choice Requires="wps">
            <w:drawing>
              <wp:anchor distT="0" distB="0" distL="114300" distR="114300" simplePos="0" relativeHeight="251666432" behindDoc="0" locked="0" layoutInCell="1" allowOverlap="1">
                <wp:simplePos x="0" y="0"/>
                <wp:positionH relativeFrom="column">
                  <wp:posOffset>2628900</wp:posOffset>
                </wp:positionH>
                <wp:positionV relativeFrom="paragraph">
                  <wp:posOffset>45720</wp:posOffset>
                </wp:positionV>
                <wp:extent cx="457200" cy="5448300"/>
                <wp:effectExtent l="6350" t="6350" r="19050" b="6350"/>
                <wp:wrapNone/>
                <wp:docPr id="1" name="文本框 5"/>
                <wp:cNvGraphicFramePr/>
                <a:graphic xmlns:a="http://schemas.openxmlformats.org/drawingml/2006/main">
                  <a:graphicData uri="http://schemas.microsoft.com/office/word/2010/wordprocessingShape">
                    <wps:wsp>
                      <wps:cNvSpPr txBox="1"/>
                      <wps:spPr>
                        <a:xfrm>
                          <a:off x="0" y="0"/>
                          <a:ext cx="457200" cy="5448300"/>
                        </a:xfrm>
                        <a:prstGeom prst="rect">
                          <a:avLst/>
                        </a:prstGeom>
                        <a:noFill/>
                        <a:ln w="9525" cap="flat" cmpd="sng">
                          <a:solidFill>
                            <a:srgbClr val="000000"/>
                          </a:solidFill>
                          <a:prstDash val="solid"/>
                          <a:miter/>
                          <a:headEnd type="none" w="med" len="med"/>
                          <a:tailEnd type="none" w="med" len="med"/>
                        </a:ln>
                      </wps:spPr>
                      <wps:txbx>
                        <w:txbxContent>
                          <w:p w14:paraId="003ABE1E">
                            <w:pPr>
                              <w:pStyle w:val="17"/>
                              <w:spacing w:line="360" w:lineRule="auto"/>
                              <w:rPr>
                                <w:rFonts w:hint="eastAsia" w:eastAsia="黑体"/>
                                <w:sz w:val="28"/>
                              </w:rPr>
                            </w:pPr>
                            <w:r>
                              <w:rPr>
                                <w:rFonts w:hint="eastAsia" w:eastAsia="黑体"/>
                                <w:sz w:val="28"/>
                              </w:rPr>
                              <w:t>论</w:t>
                            </w:r>
                          </w:p>
                          <w:p w14:paraId="3A21F67F">
                            <w:pPr>
                              <w:pStyle w:val="17"/>
                              <w:spacing w:line="360" w:lineRule="auto"/>
                              <w:rPr>
                                <w:rFonts w:hint="eastAsia" w:eastAsia="黑体"/>
                              </w:rPr>
                            </w:pPr>
                            <w:r>
                              <w:rPr>
                                <w:rFonts w:hint="eastAsia" w:eastAsia="黑体"/>
                                <w:sz w:val="28"/>
                              </w:rPr>
                              <w:t>文题目</w:t>
                            </w:r>
                          </w:p>
                          <w:p w14:paraId="2BEE3BC8">
                            <w:pPr>
                              <w:pStyle w:val="17"/>
                              <w:spacing w:line="320" w:lineRule="atLeast"/>
                              <w:rPr>
                                <w:rFonts w:hint="eastAsia" w:eastAsia="黑体"/>
                              </w:rPr>
                            </w:pPr>
                          </w:p>
                          <w:p w14:paraId="5EE11F6F">
                            <w:pPr>
                              <w:pStyle w:val="17"/>
                              <w:spacing w:line="320" w:lineRule="atLeast"/>
                              <w:rPr>
                                <w:rFonts w:hint="eastAsia" w:eastAsia="黑体"/>
                              </w:rPr>
                            </w:pPr>
                          </w:p>
                          <w:p w14:paraId="6EA25DA6">
                            <w:pPr>
                              <w:spacing w:line="320" w:lineRule="atLeast"/>
                              <w:jc w:val="center"/>
                              <w:rPr>
                                <w:rFonts w:hint="eastAsia" w:eastAsia="黑体"/>
                                <w:sz w:val="28"/>
                              </w:rPr>
                            </w:pPr>
                            <w:r>
                              <w:rPr>
                                <w:rFonts w:hint="eastAsia" w:eastAsia="黑体"/>
                                <w:sz w:val="28"/>
                              </w:rPr>
                              <w:t>姓</w:t>
                            </w:r>
                          </w:p>
                          <w:p w14:paraId="581FD67D">
                            <w:pPr>
                              <w:spacing w:line="320" w:lineRule="atLeast"/>
                              <w:jc w:val="center"/>
                              <w:rPr>
                                <w:rFonts w:hint="eastAsia" w:eastAsia="黑体"/>
                                <w:sz w:val="28"/>
                              </w:rPr>
                            </w:pPr>
                          </w:p>
                          <w:p w14:paraId="00012937">
                            <w:pPr>
                              <w:spacing w:line="320" w:lineRule="atLeast"/>
                              <w:jc w:val="center"/>
                              <w:rPr>
                                <w:rFonts w:hint="eastAsia" w:eastAsia="黑体"/>
                                <w:sz w:val="24"/>
                              </w:rPr>
                            </w:pPr>
                            <w:r>
                              <w:rPr>
                                <w:rFonts w:hint="eastAsia" w:eastAsia="黑体"/>
                                <w:sz w:val="28"/>
                              </w:rPr>
                              <w:t>名</w:t>
                            </w:r>
                          </w:p>
                          <w:p w14:paraId="2B641A45">
                            <w:pPr>
                              <w:spacing w:line="320" w:lineRule="atLeast"/>
                              <w:rPr>
                                <w:rFonts w:hint="eastAsia" w:eastAsia="黑体"/>
                                <w:sz w:val="24"/>
                              </w:rPr>
                            </w:pPr>
                          </w:p>
                          <w:p w14:paraId="217DD1D4">
                            <w:pPr>
                              <w:pStyle w:val="36"/>
                              <w:spacing w:line="320" w:lineRule="atLeast"/>
                              <w:rPr>
                                <w:rFonts w:hint="eastAsia" w:eastAsia="黑体"/>
                                <w:sz w:val="24"/>
                              </w:rPr>
                            </w:pPr>
                          </w:p>
                          <w:p w14:paraId="3BC91277">
                            <w:pPr>
                              <w:pStyle w:val="36"/>
                              <w:spacing w:line="320" w:lineRule="atLeast"/>
                              <w:rPr>
                                <w:rFonts w:hint="eastAsia" w:eastAsia="黑体"/>
                                <w:sz w:val="24"/>
                              </w:rPr>
                            </w:pPr>
                            <w:r>
                              <w:rPr>
                                <w:rFonts w:hint="eastAsia" w:eastAsia="黑体"/>
                                <w:sz w:val="24"/>
                              </w:rPr>
                              <w:t>北</w:t>
                            </w:r>
                          </w:p>
                          <w:p w14:paraId="3E43EC82">
                            <w:pPr>
                              <w:pStyle w:val="36"/>
                              <w:spacing w:line="320" w:lineRule="atLeast"/>
                              <w:rPr>
                                <w:rFonts w:hint="eastAsia" w:eastAsia="黑体"/>
                                <w:sz w:val="24"/>
                              </w:rPr>
                            </w:pPr>
                            <w:r>
                              <w:rPr>
                                <w:rFonts w:hint="eastAsia" w:eastAsia="黑体"/>
                                <w:sz w:val="24"/>
                              </w:rPr>
                              <w:t>京</w:t>
                            </w:r>
                          </w:p>
                          <w:p w14:paraId="436A3A32">
                            <w:pPr>
                              <w:pStyle w:val="36"/>
                              <w:spacing w:line="320" w:lineRule="atLeast"/>
                              <w:rPr>
                                <w:rFonts w:hint="eastAsia" w:eastAsia="黑体"/>
                                <w:sz w:val="24"/>
                              </w:rPr>
                            </w:pPr>
                            <w:r>
                              <w:rPr>
                                <w:rFonts w:hint="eastAsia" w:eastAsia="黑体"/>
                                <w:sz w:val="24"/>
                              </w:rPr>
                              <w:t>航</w:t>
                            </w:r>
                          </w:p>
                          <w:p w14:paraId="03AFECE1">
                            <w:pPr>
                              <w:pStyle w:val="36"/>
                              <w:spacing w:line="320" w:lineRule="atLeast"/>
                              <w:rPr>
                                <w:rFonts w:hint="eastAsia" w:eastAsia="黑体"/>
                                <w:sz w:val="24"/>
                              </w:rPr>
                            </w:pPr>
                            <w:r>
                              <w:rPr>
                                <w:rFonts w:hint="eastAsia" w:eastAsia="黑体"/>
                                <w:sz w:val="24"/>
                              </w:rPr>
                              <w:t>空</w:t>
                            </w:r>
                          </w:p>
                          <w:p w14:paraId="0BA05364">
                            <w:pPr>
                              <w:pStyle w:val="36"/>
                              <w:spacing w:line="320" w:lineRule="atLeast"/>
                              <w:rPr>
                                <w:rFonts w:hint="eastAsia" w:eastAsia="黑体"/>
                                <w:sz w:val="24"/>
                              </w:rPr>
                            </w:pPr>
                            <w:r>
                              <w:rPr>
                                <w:rFonts w:hint="eastAsia" w:eastAsia="黑体"/>
                                <w:sz w:val="24"/>
                              </w:rPr>
                              <w:t>航</w:t>
                            </w:r>
                          </w:p>
                          <w:p w14:paraId="742CC186">
                            <w:pPr>
                              <w:pStyle w:val="36"/>
                              <w:spacing w:line="320" w:lineRule="atLeast"/>
                              <w:rPr>
                                <w:rFonts w:hint="eastAsia" w:eastAsia="黑体"/>
                                <w:sz w:val="24"/>
                              </w:rPr>
                            </w:pPr>
                            <w:r>
                              <w:rPr>
                                <w:rFonts w:hint="eastAsia" w:eastAsia="黑体"/>
                                <w:sz w:val="24"/>
                              </w:rPr>
                              <w:t>天</w:t>
                            </w:r>
                          </w:p>
                          <w:p w14:paraId="3BABC241">
                            <w:pPr>
                              <w:pStyle w:val="36"/>
                              <w:spacing w:line="320" w:lineRule="atLeast"/>
                              <w:rPr>
                                <w:rFonts w:hint="eastAsia" w:eastAsia="黑体"/>
                                <w:sz w:val="24"/>
                              </w:rPr>
                            </w:pPr>
                            <w:r>
                              <w:rPr>
                                <w:rFonts w:hint="eastAsia" w:eastAsia="黑体"/>
                                <w:sz w:val="24"/>
                              </w:rPr>
                              <w:t>大</w:t>
                            </w:r>
                          </w:p>
                          <w:p w14:paraId="3C4B8FBF">
                            <w:pPr>
                              <w:pStyle w:val="36"/>
                              <w:spacing w:line="320" w:lineRule="atLeast"/>
                              <w:rPr>
                                <w:rFonts w:hint="eastAsia"/>
                              </w:rPr>
                            </w:pPr>
                            <w:r>
                              <w:rPr>
                                <w:rFonts w:hint="eastAsia" w:eastAsia="黑体"/>
                                <w:sz w:val="24"/>
                              </w:rPr>
                              <w:t>学</w:t>
                            </w:r>
                          </w:p>
                        </w:txbxContent>
                      </wps:txbx>
                      <wps:bodyPr wrap="square" upright="1"/>
                    </wps:wsp>
                  </a:graphicData>
                </a:graphic>
              </wp:anchor>
            </w:drawing>
          </mc:Choice>
          <mc:Fallback>
            <w:pict>
              <v:shape id="文本框 5" o:spid="_x0000_s1026" o:spt="202" type="#_x0000_t202" style="position:absolute;left:0pt;margin-left:207pt;margin-top:3.6pt;height:429pt;width:36pt;z-index:251666432;mso-width-relative:page;mso-height-relative:page;" filled="f" stroked="t" coordsize="21600,21600" o:gfxdata="UEsDBAoAAAAAAIdO4kAAAAAAAAAAAAAAAAAEAAAAZHJzL1BLAwQUAAAACACHTuJApcIbC9YAAAAJ&#10;AQAADwAAAGRycy9kb3ducmV2LnhtbE2PzVKEMBCE71b5DqmxypsbYBEQCXtw9a646nUgs0BJEopk&#10;f/TpHU967Orpnq+rzdlM4kiLH51VEK8iEGQ7p0fbK9i9Pt0UIHxAq3FylhR8kYdNfXlRYandyb7Q&#10;sQm94BLrS1QwhDCXUvpuIIN+5Way7O3dYjCwXHqpFzxxuZlkEkWZNDha/jDgTA8DdZ/NwTBG8rFb&#10;b58bynNs19vH77e7/fuk1PVVHN2DCHQOf8fwi88ZqJmpdQervZgUpHHKW4KCPAHBflpkrFsFRXab&#10;gKwr+X9B/QNQSwMEFAAAAAgAh07iQMYS/pUOAgAAGwQAAA4AAABkcnMvZTJvRG9jLnhtbK1TzY7T&#10;MBC+I/EOlu803dLCEjVdCcpyQYC08ABTx0ks+Q+P26QvAG/AiQt3nqvPwdgJXVguPdBDOp75/M3M&#10;N+P1zWA0O8iAytmKX83mnEkrXK1sW/FPH2+fXHOGEWwN2llZ8aNEfrN5/Gjd+1IuXOd0LQMjEotl&#10;7yvexejLokDRSQM4c15aCjYuGIh0DG1RB+iJ3ehiMZ8/K3oXah+ckIjk3Y5BPjGGSwhd0yght07s&#10;jbRxZA1SQ6SWsFMe+SZX2zRSxPdNgzIyXXHqNOYvJSF7l77FZg1lG8B3SkwlwCUlPOjJgLKU9Ey1&#10;hQhsH9Q/VEaJ4NA1cSacKcZGsiLUxdX8gTZ3HXiZeyGp0Z9Fx/9HK94dPgSmatoEziwYGvjp29fT&#10;95+nH1/YKsnTeywJdecJF4eXbkjQyY/kTF0PTTDpn/phFCdxj2dx5RCZIOdy9ZzGz5mg0Gq5vH5K&#10;B6Ip7m/7gPGNdIYlo+KBhpc1hcNbjCP0NyQls+5WaU1+KLVlfcVfrBYr4gdayoaWgUzjqTG0baZB&#10;p1WdrqQbGNrdKx3YAdJi5N9UzV+wlG8L2I24HEowKI2KMmSrk1C/tjWLR0/iWXozPBVjZM2ZlvTE&#10;kpWREZS+BEmSaEvKJOVHhZMVh91ANMncufpI0+hpbam9z3sIlHPvg2o70i1PJ1+mnckCT/udlvLP&#10;c05x/6Y3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lwhsL1gAAAAkBAAAPAAAAAAAAAAEAIAAA&#10;ACIAAABkcnMvZG93bnJldi54bWxQSwECFAAUAAAACACHTuJAxhL+lQ4CAAAbBAAADgAAAAAAAAAB&#10;ACAAAAAlAQAAZHJzL2Uyb0RvYy54bWxQSwUGAAAAAAYABgBZAQAApQUAAAAA&#10;">
                <v:fill on="f" focussize="0,0"/>
                <v:stroke color="#000000" joinstyle="miter"/>
                <v:imagedata o:title=""/>
                <o:lock v:ext="edit" aspectratio="f"/>
                <v:textbox>
                  <w:txbxContent>
                    <w:p w14:paraId="003ABE1E">
                      <w:pPr>
                        <w:pStyle w:val="17"/>
                        <w:spacing w:line="360" w:lineRule="auto"/>
                        <w:rPr>
                          <w:rFonts w:hint="eastAsia" w:eastAsia="黑体"/>
                          <w:sz w:val="28"/>
                        </w:rPr>
                      </w:pPr>
                      <w:r>
                        <w:rPr>
                          <w:rFonts w:hint="eastAsia" w:eastAsia="黑体"/>
                          <w:sz w:val="28"/>
                        </w:rPr>
                        <w:t>论</w:t>
                      </w:r>
                    </w:p>
                    <w:p w14:paraId="3A21F67F">
                      <w:pPr>
                        <w:pStyle w:val="17"/>
                        <w:spacing w:line="360" w:lineRule="auto"/>
                        <w:rPr>
                          <w:rFonts w:hint="eastAsia" w:eastAsia="黑体"/>
                        </w:rPr>
                      </w:pPr>
                      <w:r>
                        <w:rPr>
                          <w:rFonts w:hint="eastAsia" w:eastAsia="黑体"/>
                          <w:sz w:val="28"/>
                        </w:rPr>
                        <w:t>文题目</w:t>
                      </w:r>
                    </w:p>
                    <w:p w14:paraId="2BEE3BC8">
                      <w:pPr>
                        <w:pStyle w:val="17"/>
                        <w:spacing w:line="320" w:lineRule="atLeast"/>
                        <w:rPr>
                          <w:rFonts w:hint="eastAsia" w:eastAsia="黑体"/>
                        </w:rPr>
                      </w:pPr>
                    </w:p>
                    <w:p w14:paraId="5EE11F6F">
                      <w:pPr>
                        <w:pStyle w:val="17"/>
                        <w:spacing w:line="320" w:lineRule="atLeast"/>
                        <w:rPr>
                          <w:rFonts w:hint="eastAsia" w:eastAsia="黑体"/>
                        </w:rPr>
                      </w:pPr>
                    </w:p>
                    <w:p w14:paraId="6EA25DA6">
                      <w:pPr>
                        <w:spacing w:line="320" w:lineRule="atLeast"/>
                        <w:jc w:val="center"/>
                        <w:rPr>
                          <w:rFonts w:hint="eastAsia" w:eastAsia="黑体"/>
                          <w:sz w:val="28"/>
                        </w:rPr>
                      </w:pPr>
                      <w:r>
                        <w:rPr>
                          <w:rFonts w:hint="eastAsia" w:eastAsia="黑体"/>
                          <w:sz w:val="28"/>
                        </w:rPr>
                        <w:t>姓</w:t>
                      </w:r>
                    </w:p>
                    <w:p w14:paraId="581FD67D">
                      <w:pPr>
                        <w:spacing w:line="320" w:lineRule="atLeast"/>
                        <w:jc w:val="center"/>
                        <w:rPr>
                          <w:rFonts w:hint="eastAsia" w:eastAsia="黑体"/>
                          <w:sz w:val="28"/>
                        </w:rPr>
                      </w:pPr>
                    </w:p>
                    <w:p w14:paraId="00012937">
                      <w:pPr>
                        <w:spacing w:line="320" w:lineRule="atLeast"/>
                        <w:jc w:val="center"/>
                        <w:rPr>
                          <w:rFonts w:hint="eastAsia" w:eastAsia="黑体"/>
                          <w:sz w:val="24"/>
                        </w:rPr>
                      </w:pPr>
                      <w:r>
                        <w:rPr>
                          <w:rFonts w:hint="eastAsia" w:eastAsia="黑体"/>
                          <w:sz w:val="28"/>
                        </w:rPr>
                        <w:t>名</w:t>
                      </w:r>
                    </w:p>
                    <w:p w14:paraId="2B641A45">
                      <w:pPr>
                        <w:spacing w:line="320" w:lineRule="atLeast"/>
                        <w:rPr>
                          <w:rFonts w:hint="eastAsia" w:eastAsia="黑体"/>
                          <w:sz w:val="24"/>
                        </w:rPr>
                      </w:pPr>
                    </w:p>
                    <w:p w14:paraId="217DD1D4">
                      <w:pPr>
                        <w:pStyle w:val="36"/>
                        <w:spacing w:line="320" w:lineRule="atLeast"/>
                        <w:rPr>
                          <w:rFonts w:hint="eastAsia" w:eastAsia="黑体"/>
                          <w:sz w:val="24"/>
                        </w:rPr>
                      </w:pPr>
                    </w:p>
                    <w:p w14:paraId="3BC91277">
                      <w:pPr>
                        <w:pStyle w:val="36"/>
                        <w:spacing w:line="320" w:lineRule="atLeast"/>
                        <w:rPr>
                          <w:rFonts w:hint="eastAsia" w:eastAsia="黑体"/>
                          <w:sz w:val="24"/>
                        </w:rPr>
                      </w:pPr>
                      <w:r>
                        <w:rPr>
                          <w:rFonts w:hint="eastAsia" w:eastAsia="黑体"/>
                          <w:sz w:val="24"/>
                        </w:rPr>
                        <w:t>北</w:t>
                      </w:r>
                    </w:p>
                    <w:p w14:paraId="3E43EC82">
                      <w:pPr>
                        <w:pStyle w:val="36"/>
                        <w:spacing w:line="320" w:lineRule="atLeast"/>
                        <w:rPr>
                          <w:rFonts w:hint="eastAsia" w:eastAsia="黑体"/>
                          <w:sz w:val="24"/>
                        </w:rPr>
                      </w:pPr>
                      <w:r>
                        <w:rPr>
                          <w:rFonts w:hint="eastAsia" w:eastAsia="黑体"/>
                          <w:sz w:val="24"/>
                        </w:rPr>
                        <w:t>京</w:t>
                      </w:r>
                    </w:p>
                    <w:p w14:paraId="436A3A32">
                      <w:pPr>
                        <w:pStyle w:val="36"/>
                        <w:spacing w:line="320" w:lineRule="atLeast"/>
                        <w:rPr>
                          <w:rFonts w:hint="eastAsia" w:eastAsia="黑体"/>
                          <w:sz w:val="24"/>
                        </w:rPr>
                      </w:pPr>
                      <w:r>
                        <w:rPr>
                          <w:rFonts w:hint="eastAsia" w:eastAsia="黑体"/>
                          <w:sz w:val="24"/>
                        </w:rPr>
                        <w:t>航</w:t>
                      </w:r>
                    </w:p>
                    <w:p w14:paraId="03AFECE1">
                      <w:pPr>
                        <w:pStyle w:val="36"/>
                        <w:spacing w:line="320" w:lineRule="atLeast"/>
                        <w:rPr>
                          <w:rFonts w:hint="eastAsia" w:eastAsia="黑体"/>
                          <w:sz w:val="24"/>
                        </w:rPr>
                      </w:pPr>
                      <w:r>
                        <w:rPr>
                          <w:rFonts w:hint="eastAsia" w:eastAsia="黑体"/>
                          <w:sz w:val="24"/>
                        </w:rPr>
                        <w:t>空</w:t>
                      </w:r>
                    </w:p>
                    <w:p w14:paraId="0BA05364">
                      <w:pPr>
                        <w:pStyle w:val="36"/>
                        <w:spacing w:line="320" w:lineRule="atLeast"/>
                        <w:rPr>
                          <w:rFonts w:hint="eastAsia" w:eastAsia="黑体"/>
                          <w:sz w:val="24"/>
                        </w:rPr>
                      </w:pPr>
                      <w:r>
                        <w:rPr>
                          <w:rFonts w:hint="eastAsia" w:eastAsia="黑体"/>
                          <w:sz w:val="24"/>
                        </w:rPr>
                        <w:t>航</w:t>
                      </w:r>
                    </w:p>
                    <w:p w14:paraId="742CC186">
                      <w:pPr>
                        <w:pStyle w:val="36"/>
                        <w:spacing w:line="320" w:lineRule="atLeast"/>
                        <w:rPr>
                          <w:rFonts w:hint="eastAsia" w:eastAsia="黑体"/>
                          <w:sz w:val="24"/>
                        </w:rPr>
                      </w:pPr>
                      <w:r>
                        <w:rPr>
                          <w:rFonts w:hint="eastAsia" w:eastAsia="黑体"/>
                          <w:sz w:val="24"/>
                        </w:rPr>
                        <w:t>天</w:t>
                      </w:r>
                    </w:p>
                    <w:p w14:paraId="3BABC241">
                      <w:pPr>
                        <w:pStyle w:val="36"/>
                        <w:spacing w:line="320" w:lineRule="atLeast"/>
                        <w:rPr>
                          <w:rFonts w:hint="eastAsia" w:eastAsia="黑体"/>
                          <w:sz w:val="24"/>
                        </w:rPr>
                      </w:pPr>
                      <w:r>
                        <w:rPr>
                          <w:rFonts w:hint="eastAsia" w:eastAsia="黑体"/>
                          <w:sz w:val="24"/>
                        </w:rPr>
                        <w:t>大</w:t>
                      </w:r>
                    </w:p>
                    <w:p w14:paraId="3C4B8FBF">
                      <w:pPr>
                        <w:pStyle w:val="36"/>
                        <w:spacing w:line="320" w:lineRule="atLeast"/>
                        <w:rPr>
                          <w:rFonts w:hint="eastAsia"/>
                        </w:rPr>
                      </w:pPr>
                      <w:r>
                        <w:rPr>
                          <w:rFonts w:hint="eastAsia" w:eastAsia="黑体"/>
                          <w:sz w:val="24"/>
                        </w:rPr>
                        <w:t>学</w:t>
                      </w:r>
                    </w:p>
                  </w:txbxContent>
                </v:textbox>
              </v:shape>
            </w:pict>
          </mc:Fallback>
        </mc:AlternateContent>
      </w:r>
    </w:p>
    <w:p w14:paraId="7D9752DF">
      <w:pPr>
        <w:rPr>
          <w:rFonts w:hint="eastAsia"/>
        </w:rPr>
      </w:pPr>
    </w:p>
    <w:p w14:paraId="1A5FEBB3">
      <w:pPr>
        <w:rPr>
          <w:rFonts w:hint="eastAsia"/>
        </w:rPr>
      </w:pPr>
    </w:p>
    <w:p w14:paraId="25450FDC">
      <w:pPr>
        <w:rPr>
          <w:rFonts w:hint="eastAsia"/>
        </w:rPr>
      </w:pPr>
      <w:r>
        <w:rPr>
          <w:rFonts w:hint="eastAsia"/>
        </w:rPr>
        <w:t xml:space="preserve">                                                  </w:t>
      </w:r>
      <w:r>
        <w:rPr>
          <w:rFonts w:hint="eastAsia"/>
          <w:spacing w:val="22"/>
          <w:kern w:val="10"/>
          <w:sz w:val="24"/>
        </w:rPr>
        <w:t>四号黑体字</w:t>
      </w:r>
    </w:p>
    <w:p w14:paraId="4FCA3719">
      <w:pPr>
        <w:rPr>
          <w:rFonts w:hint="eastAsia"/>
        </w:rPr>
      </w:pPr>
      <w:r>
        <w:rPr>
          <w:sz w:val="20"/>
        </w:rPr>
        <mc:AlternateContent>
          <mc:Choice Requires="wps">
            <w:drawing>
              <wp:anchor distT="0" distB="0" distL="114300" distR="114300" simplePos="0" relativeHeight="251669504" behindDoc="0" locked="0" layoutInCell="1" allowOverlap="1">
                <wp:simplePos x="0" y="0"/>
                <wp:positionH relativeFrom="column">
                  <wp:posOffset>2971800</wp:posOffset>
                </wp:positionH>
                <wp:positionV relativeFrom="paragraph">
                  <wp:posOffset>45720</wp:posOffset>
                </wp:positionV>
                <wp:extent cx="685800" cy="396240"/>
                <wp:effectExtent l="3175" t="5715" r="22225" b="29845"/>
                <wp:wrapNone/>
                <wp:docPr id="4" name="直线 9"/>
                <wp:cNvGraphicFramePr/>
                <a:graphic xmlns:a="http://schemas.openxmlformats.org/drawingml/2006/main">
                  <a:graphicData uri="http://schemas.microsoft.com/office/word/2010/wordprocessingShape">
                    <wps:wsp>
                      <wps:cNvCnPr/>
                      <wps:spPr>
                        <a:xfrm flipV="1">
                          <a:off x="0" y="0"/>
                          <a:ext cx="685800" cy="3962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flip:y;margin-left:234pt;margin-top:3.6pt;height:31.2pt;width:54pt;z-index:251669504;mso-width-relative:page;mso-height-relative:page;" filled="f" stroked="t" coordsize="21600,21600" o:gfxdata="UEsDBAoAAAAAAIdO4kAAAAAAAAAAAAAAAAAEAAAAZHJzL1BLAwQUAAAACACHTuJAAXMIfdYAAAAI&#10;AQAADwAAAGRycy9kb3ducmV2LnhtbE2PwU7DMBBE70j8g7VI3KjdAGkbsqkQAi5IlSiBsxObJMJe&#10;R7Gblr9nOcFxNKOZN+X25J2Y7RSHQAjLhQJhqQ1moA6hfnu6WoOISZPRLpBF+LYRttX5WakLE470&#10;aud96gSXUCw0Qp/SWEgZ2956HRdhtMTeZ5i8TiynTppJH7ncO5kplUuvB+KFXo/2obft1/7gEe4/&#10;Xh6vd3PjgzObrn43vlbPGeLlxVLdgUj2lP7C8IvP6FAxUxMOZKJwCDf5mr8khFUGgv3bVc66Qcg3&#10;OciqlP8PVD9QSwMEFAAAAAgAh07iQFv9bPf1AQAA6QMAAA4AAABkcnMvZTJvRG9jLnhtbK1TS44T&#10;MRDdI3EHy3vSnTCJklY6s5gwbBBE4rOv+NNtyT/ZTjo5C9dgxYbjzDUou0OAYZMFvWiVXeVX9Z6f&#10;1/cno8lRhKicbel0UlMiLHNc2a6lnz89vlpSEhNYDtpZ0dKziPR+8/LFevCNmLneaS4CQRAbm8G3&#10;tE/JN1UVWS8MxInzwmJSumAg4TJ0FQ8wILrR1ayuF9XgAvfBMREj7m7HJL0ghlsAnZSKia1jByNs&#10;GlGD0JCQUuyVj3RTppVSsPRByigS0S1Fpqn8sQnG+/yvNmtougC+V+wyAtwywjNOBpTFpleoLSQg&#10;h6D+gTKKBRedTBPmTDUSKYogi2n9TJuPPXhRuKDU0V9Fj/8Plr0/7gJRvKV3lFgweOFPX789ff9B&#10;VlmbwccGSx7sLlxW0e9CJnqSwRCplf+CJirUkQw5FWXPV2XFKRGGm4vlfFmj5gxTr1eL2V1Rvhph&#10;MpwPMb0VzpActFQrm4lDA8d3MWFrLP1Vkre1JUNLV/PZHDEBXSjx9jE0HplE25Wz0WnFH5XW+UQM&#10;3f5BB3KE7ITyZYKI+1dZbrKF2I91JTV6pBfA31hO0tmjRhafBs0jGMEp0QJfUo4QEJoESt9Sia21&#10;xQmyxqOqOdo7fsYbOfiguh6VmJYpcwYdUOa9uDVb7M91Qfr9Qjc/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AFzCH3WAAAACAEAAA8AAAAAAAAAAQAgAAAAIgAAAGRycy9kb3ducmV2LnhtbFBLAQIU&#10;ABQAAAAIAIdO4kBb/Wz39QEAAOkDAAAOAAAAAAAAAAEAIAAAACUBAABkcnMvZTJvRG9jLnhtbFBL&#10;BQYAAAAABgAGAFkBAACMBQ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3657600</wp:posOffset>
                </wp:positionH>
                <wp:positionV relativeFrom="paragraph">
                  <wp:posOffset>45720</wp:posOffset>
                </wp:positionV>
                <wp:extent cx="1028700" cy="0"/>
                <wp:effectExtent l="0" t="6350" r="0" b="6350"/>
                <wp:wrapNone/>
                <wp:docPr id="5" name="直线 10"/>
                <wp:cNvGraphicFramePr/>
                <a:graphic xmlns:a="http://schemas.openxmlformats.org/drawingml/2006/main">
                  <a:graphicData uri="http://schemas.microsoft.com/office/word/2010/wordprocessingShape">
                    <wps:wsp>
                      <wps:cNvCnPr/>
                      <wps:spPr>
                        <a:xfrm>
                          <a:off x="0" y="0"/>
                          <a:ext cx="1028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288pt;margin-top:3.6pt;height:0pt;width:81pt;z-index:251670528;mso-width-relative:page;mso-height-relative:page;" filled="f" stroked="t" coordsize="21600,21600" o:gfxdata="UEsDBAoAAAAAAIdO4kAAAAAAAAAAAAAAAAAEAAAAZHJzL1BLAwQUAAAACACHTuJAMn0TbtUAAAAH&#10;AQAADwAAAGRycy9kb3ducmV2LnhtbE2Py07DMBBF90j8gzVIbKrWaSqaKsTpAsiODS2I7TSeJhHx&#10;OI3dB3w9AxtYHt3RvWeK9cX16kRj6DwbmM8SUMS1tx03Bl631XQFKkRki71nMvBJAdbl9VWBufVn&#10;fqHTJjZKSjjkaKCNcci1DnVLDsPMD8SS7f3oMAqOjbYjnqXc9TpNkqV22LEstDjQQ0v1x+boDITq&#10;jQ7V16SeJO+LxlN6eHx+QmNub+bJPahIl/h3DD/6og6lOO38kW1QvYG7bCm/RANZCkrybLES3v2y&#10;Lgv937/8BlBLAwQUAAAACACHTuJArW+GO+cBAADcAwAADgAAAGRycy9lMm9Eb2MueG1srVPNjtMw&#10;EL4j8Q6W7zRppYUlarqHLcsFQSXYB5jaTmLJf/K4TfssvAYnLjzOvgZjp9vCcumBHJyxZ/zNN9+M&#10;l3cHa9heRdTetXw+qzlTTnipXd/yx28Pb245wwROgvFOtfyokN+tXr9ajqFRCz94I1VkBOKwGUPL&#10;h5RCU1UoBmUBZz4oR87ORwuJtrGvZISR0K2pFnX9thp9lCF6oRDpdD05+QkxXgPou04LtfZiZ5VL&#10;E2pUBhKVhIMOyFeFbdcpkb50HarETMup0lRWSkL2Nq/VaglNHyEMWpwowDUUXtRkQTtKeoZaQwK2&#10;i/ofKKtF9Oi7NBPeVlMhRRGqYl6/0ObrAEGVWkhqDGfR8f/Bis/7TWRatvyGMweWGv70/cfTz19s&#10;XsQZAzYUc+82kaTKOwybmCs9dNHmP9XADkXQ41lQdUhM0OG8Xty+q0lr8eyrLhdDxPRRecuy0XKj&#10;Xa4VGth/wkTJKPQ5JB8bx8aWv79ZEFEBNHgdNZxMG4g8ur7cRW+0fNDG5BsY++29iWwPufnly/0m&#10;3L/CcpI14DDFFdc0FoMC+cFJlo6BZHH0GnimYJXkzCh6PNkqA5RAm2siKbVxxOCiY7a2Xh6pCbsQ&#10;dT+QEvPCMnuo6YXvaUDzVP25L0iXR7n6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J9E27VAAAA&#10;BwEAAA8AAAAAAAAAAQAgAAAAIgAAAGRycy9kb3ducmV2LnhtbFBLAQIUABQAAAAIAIdO4kCtb4Y7&#10;5wEAANwDAAAOAAAAAAAAAAEAIAAAACQBAABkcnMvZTJvRG9jLnhtbFBLBQYAAAAABgAGAFkBAAB9&#10;BQAAAAA=&#10;">
                <v:fill on="f" focussize="0,0"/>
                <v:stroke color="#000000" joinstyle="round"/>
                <v:imagedata o:title=""/>
                <o:lock v:ext="edit" aspectratio="f"/>
              </v:line>
            </w:pict>
          </mc:Fallback>
        </mc:AlternateContent>
      </w:r>
    </w:p>
    <w:p w14:paraId="43800388">
      <w:pPr>
        <w:rPr>
          <w:rFonts w:hint="eastAsia"/>
        </w:rPr>
      </w:pPr>
    </w:p>
    <w:p w14:paraId="5F1A1125">
      <w:pPr>
        <w:rPr>
          <w:rFonts w:hint="eastAsia"/>
        </w:rPr>
      </w:pPr>
    </w:p>
    <w:p w14:paraId="15F91DF5">
      <w:pPr>
        <w:rPr>
          <w:rFonts w:hint="eastAsia"/>
          <w:sz w:val="24"/>
        </w:rPr>
      </w:pPr>
      <w:r>
        <w:rPr>
          <w:rFonts w:hint="eastAsia"/>
        </w:rPr>
        <w:t xml:space="preserve">                                                                   </w:t>
      </w:r>
    </w:p>
    <w:p w14:paraId="657B6A67">
      <w:pPr>
        <w:pStyle w:val="28"/>
        <w:rPr>
          <w:rFonts w:hint="eastAsia"/>
        </w:rPr>
      </w:pPr>
    </w:p>
    <w:p w14:paraId="6A856879">
      <w:pPr>
        <w:pStyle w:val="28"/>
        <w:rPr>
          <w:rFonts w:hint="eastAsia"/>
        </w:rPr>
      </w:pPr>
    </w:p>
    <w:p w14:paraId="76DC6701">
      <w:pPr>
        <w:pStyle w:val="28"/>
        <w:rPr>
          <w:rFonts w:hint="eastAsia"/>
        </w:rPr>
      </w:pPr>
    </w:p>
    <w:p w14:paraId="700ED193">
      <w:pPr>
        <w:pStyle w:val="28"/>
        <w:rPr>
          <w:rFonts w:hint="eastAsia" w:eastAsia="宋体"/>
          <w:b w:val="0"/>
          <w:spacing w:val="22"/>
          <w:kern w:val="10"/>
          <w:szCs w:val="18"/>
        </w:rPr>
      </w:pPr>
      <w:r>
        <w:rPr>
          <w:sz w:val="20"/>
        </w:rPr>
        <mc:AlternateContent>
          <mc:Choice Requires="wps">
            <w:drawing>
              <wp:anchor distT="0" distB="0" distL="114300" distR="114300" simplePos="0" relativeHeight="251668480" behindDoc="0" locked="0" layoutInCell="1" allowOverlap="1">
                <wp:simplePos x="0" y="0"/>
                <wp:positionH relativeFrom="column">
                  <wp:posOffset>3771900</wp:posOffset>
                </wp:positionH>
                <wp:positionV relativeFrom="paragraph">
                  <wp:posOffset>243840</wp:posOffset>
                </wp:positionV>
                <wp:extent cx="1028700" cy="0"/>
                <wp:effectExtent l="0" t="6350" r="0" b="6350"/>
                <wp:wrapNone/>
                <wp:docPr id="3" name="直线 8"/>
                <wp:cNvGraphicFramePr/>
                <a:graphic xmlns:a="http://schemas.openxmlformats.org/drawingml/2006/main">
                  <a:graphicData uri="http://schemas.microsoft.com/office/word/2010/wordprocessingShape">
                    <wps:wsp>
                      <wps:cNvCnPr/>
                      <wps:spPr>
                        <a:xfrm>
                          <a:off x="0" y="0"/>
                          <a:ext cx="1028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297pt;margin-top:19.2pt;height:0pt;width:81pt;z-index:251668480;mso-width-relative:page;mso-height-relative:page;" filled="f" stroked="t" coordsize="21600,21600" o:gfxdata="UEsDBAoAAAAAAIdO4kAAAAAAAAAAAAAAAAAEAAAAZHJzL1BLAwQUAAAACACHTuJAB+Yrq9YAAAAJ&#10;AQAADwAAAGRycy9kb3ducmV2LnhtbE2PS0/DMBCE70j8B2uRuFTU7pMS4vQA5MaFAuK6jZckIl6n&#10;sfuAX88iDnDc2dHMN/n65Dt1oCG2gS1MxgYUcRVcy7WFl+fyagUqJmSHXWCy8EkR1sX5WY6ZC0d+&#10;osMm1UpCOGZooUmpz7SOVUMe4zj0xPJ7D4PHJOdQazfgUcJ9p6fGLLXHlqWhwZ7uGqo+NntvIZav&#10;tCu/RtXIvM3qQNPd/eMDWnt5MTG3oBKd0p8ZfvAFHQph2oY9u6g6C4ubuWxJFmarOSgxXC+WImx/&#10;BV3k+v+C4htQSwMEFAAAAAgAh07iQJQy8A/oAQAA2wMAAA4AAABkcnMvZTJvRG9jLnhtbK1TzY7T&#10;MBC+I/EOlu80adFCiZruYctyQVAJeICp7SSW/CeP27TPwmtw4sLj7GswdrpdWC49kIMz9oy/me+b&#10;8er2aA07qIjau5bPZzVnygkvtetb/u3r/aslZ5jASTDeqZafFPLb9csXqzE0auEHb6SKjEAcNmNo&#10;+ZBSaKoKxaAs4MwH5cjZ+Wgh0Tb2lYwwEro11aKu31SjjzJELxQinW4mJz8jxmsAfddpoTZe7K1y&#10;aUKNykAiSjjogHxdqu06JdLnrkOVmGk5MU1lpSRk7/JarVfQ9BHCoMW5BLimhGecLGhHSS9QG0jA&#10;9lH/A2W1iB59l2bC22oiUhQhFvP6mTZfBgiqcCGpMVxEx/8HKz4dtpFp2fLXnDmw1PCH7z8efv5i&#10;y6zNGLChkDu3jecdhm3MRI9dtPlPFNix6Hm66KmOiQk6nNeL5duapBaPvurpYoiYPihvWTZabrTL&#10;VKGBw0dMlIxCH0PysXFsbPm7m8UNwQHNXUf9JtMGqh1dX+6iN1rea2PyDYz97s5EdoDc+/JlSoT7&#10;V1hOsgEcprjimqZiUCDfO8nSKZAqjh4DzyVYJTkzit5OtggQmgTaXBNJqY2jCrKqk47Z2nl5oh7s&#10;Q9T9QErMS5XZQz0v9Z7nMw/Vn/uC9PQm1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B+Yrq9YA&#10;AAAJAQAADwAAAAAAAAABACAAAAAiAAAAZHJzL2Rvd25yZXYueG1sUEsBAhQAFAAAAAgAh07iQJQy&#10;8A/oAQAA2wMAAA4AAAAAAAAAAQAgAAAAJQEAAGRycy9lMm9Eb2MueG1sUEsFBgAAAAAGAAYAWQEA&#10;AH8FAAAAAA==&#10;">
                <v:fill on="f" focussize="0,0"/>
                <v:stroke color="#000000" joinstyle="round"/>
                <v:imagedata o:title=""/>
                <o:lock v:ext="edit" aspectratio="f"/>
              </v:line>
            </w:pict>
          </mc:Fallback>
        </mc:AlternateContent>
      </w:r>
      <w:r>
        <w:rPr>
          <w:rFonts w:hint="eastAsia"/>
        </w:rPr>
        <w:t xml:space="preserve">                                                   </w:t>
      </w:r>
      <w:r>
        <w:rPr>
          <w:rFonts w:hint="eastAsia" w:eastAsia="宋体"/>
          <w:b w:val="0"/>
          <w:spacing w:val="22"/>
          <w:kern w:val="10"/>
          <w:szCs w:val="18"/>
        </w:rPr>
        <w:t>四号黑体字</w:t>
      </w:r>
    </w:p>
    <w:p w14:paraId="1B196983">
      <w:pPr>
        <w:pStyle w:val="28"/>
        <w:rPr>
          <w:rFonts w:hint="eastAsia"/>
        </w:rPr>
      </w:pPr>
      <w:r>
        <w:rPr>
          <w:sz w:val="20"/>
        </w:rPr>
        <mc:AlternateContent>
          <mc:Choice Requires="wps">
            <w:drawing>
              <wp:anchor distT="0" distB="0" distL="114300" distR="114300" simplePos="0" relativeHeight="251667456" behindDoc="0" locked="0" layoutInCell="1" allowOverlap="1">
                <wp:simplePos x="0" y="0"/>
                <wp:positionH relativeFrom="column">
                  <wp:posOffset>2971800</wp:posOffset>
                </wp:positionH>
                <wp:positionV relativeFrom="paragraph">
                  <wp:posOffset>45720</wp:posOffset>
                </wp:positionV>
                <wp:extent cx="800100" cy="495300"/>
                <wp:effectExtent l="3175" t="5715" r="9525" b="6985"/>
                <wp:wrapNone/>
                <wp:docPr id="2" name="直线 6"/>
                <wp:cNvGraphicFramePr/>
                <a:graphic xmlns:a="http://schemas.openxmlformats.org/drawingml/2006/main">
                  <a:graphicData uri="http://schemas.microsoft.com/office/word/2010/wordprocessingShape">
                    <wps:wsp>
                      <wps:cNvCnPr/>
                      <wps:spPr>
                        <a:xfrm flipH="1">
                          <a:off x="0" y="0"/>
                          <a:ext cx="800100" cy="4953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 o:spid="_x0000_s1026" o:spt="20" style="position:absolute;left:0pt;flip:x;margin-left:234pt;margin-top:3.6pt;height:39pt;width:63pt;z-index:251667456;mso-width-relative:page;mso-height-relative:page;" filled="f" stroked="t" coordsize="21600,21600" o:gfxdata="UEsDBAoAAAAAAIdO4kAAAAAAAAAAAAAAAAAEAAAAZHJzL1BLAwQUAAAACACHTuJAuaBPqNcAAAAI&#10;AQAADwAAAGRycy9kb3ducmV2LnhtbE2PzU7DMBCE70i8g7VI3Kjd0JY0ZFMhBFyQkCiBsxMvSYR/&#10;othNy9uznOA4mtHMN+Xu5KyYaYpD8AjLhQJBvg1m8B1C/fZ4lYOISXujbfCE8E0RdtX5WakLE47+&#10;leZ96gSX+FhohD6lsZAytj05HRdhJM/eZ5icTiynTppJH7ncWZkptZFOD54Xej3SfU/t1/7gEO4+&#10;nh+uX+bGBWu2Xf1uXK2eMsTLi6W6BZHolP7C8IvP6FAxUxMO3kRhEVabnL8khJsMBPvr7Yp1g5Cv&#10;M5BVKf8fqH4AUEsDBBQAAAAIAIdO4kBoLSiK8QEAAOkDAAAOAAAAZHJzL2Uyb0RvYy54bWytU0uO&#10;EzEQ3SNxB8t70kkgo5lWOrOYMLBAEGngABW33W3JP7mcdHIWrsGKDceZa1B2h8DMbLLAC6vsen6u&#10;91xe3h6sYXsZUXvX8Nlkypl0wrfadQ3/9vX+zTVnmMC1YLyTDT9K5Ler16+WQ6jl3PfetDIyInFY&#10;D6HhfUqhrioUvbSAEx+ko6Ty0UKiZeyqNsJA7NZU8+n0qhp8bEP0QiLS7npM8hNjvITQK6WFXHux&#10;s9KlkTVKA4kkYa8D8lWpVikp0helUCZmGk5KU5npEoq3ea5WS6i7CKHX4lQCXFLCM00WtKNLz1Rr&#10;SMB2Ub+gslpEj16lifC2GoUUR0jFbPrMm4cegixayGoMZ9Px/9GKz/tNZLpt+JwzB5Ye/PH7j8ef&#10;v9hV9mYIWBPkzm3iaYVhE7PQg4qWKaPDR2qiIp3EsENx9nh2Vh4SE7R5PSV15Lmg1LubxVuKia8a&#10;aTJdiJg+SG9ZDhputMvCoYb9J0wj9A8kbxvHhobfLOYL4gTqQkWvT6ENpARdV86iN7q918bkExi7&#10;7Z2JbA+5E8o4lfAEli9ZA/YjrqQyDOpeQvvetSwdA3nk6GvwXIKVLWdG0k/KUUEm0OYSJKk3jkzI&#10;Ho+u5mjr2yO9yC5E3fXkxKxUmTPUAcWyU7fmFvt3XZj+/tDV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mgT6jXAAAACAEAAA8AAAAAAAAAAQAgAAAAIgAAAGRycy9kb3ducmV2LnhtbFBLAQIUABQA&#10;AAAIAIdO4kBoLSiK8QEAAOkDAAAOAAAAAAAAAAEAIAAAACYBAABkcnMvZTJvRG9jLnhtbFBLBQYA&#10;AAAABgAGAFkBAACJBQAAAAA=&#10;">
                <v:fill on="f" focussize="0,0"/>
                <v:stroke color="#000000" joinstyle="round"/>
                <v:imagedata o:title=""/>
                <o:lock v:ext="edit" aspectratio="f"/>
              </v:line>
            </w:pict>
          </mc:Fallback>
        </mc:AlternateContent>
      </w:r>
    </w:p>
    <w:p w14:paraId="5AAA6BB5">
      <w:pPr>
        <w:pStyle w:val="28"/>
        <w:rPr>
          <w:rFonts w:hint="eastAsia"/>
        </w:rPr>
      </w:pPr>
    </w:p>
    <w:p w14:paraId="422DE569">
      <w:pPr>
        <w:pStyle w:val="28"/>
        <w:rPr>
          <w:rFonts w:hint="eastAsia"/>
        </w:rPr>
      </w:pPr>
    </w:p>
    <w:p w14:paraId="61B71635">
      <w:pPr>
        <w:pStyle w:val="28"/>
        <w:rPr>
          <w:rFonts w:hint="eastAsia"/>
        </w:rPr>
      </w:pPr>
    </w:p>
    <w:p w14:paraId="384318AB">
      <w:pPr>
        <w:pStyle w:val="28"/>
        <w:rPr>
          <w:rFonts w:hint="eastAsia"/>
        </w:rPr>
      </w:pPr>
    </w:p>
    <w:p w14:paraId="00E3A56E">
      <w:pPr>
        <w:pStyle w:val="28"/>
        <w:rPr>
          <w:rFonts w:hint="eastAsia"/>
        </w:rPr>
      </w:pPr>
    </w:p>
    <w:p w14:paraId="485A40B6">
      <w:pPr>
        <w:pStyle w:val="28"/>
        <w:rPr>
          <w:rFonts w:hint="eastAsia"/>
        </w:rPr>
      </w:pPr>
    </w:p>
    <w:p w14:paraId="0D0ECD9C">
      <w:pPr>
        <w:pStyle w:val="28"/>
        <w:rPr>
          <w:rFonts w:hint="eastAsia"/>
        </w:rPr>
      </w:pPr>
    </w:p>
    <w:p w14:paraId="7CB24A36">
      <w:pPr>
        <w:pStyle w:val="28"/>
        <w:rPr>
          <w:rFonts w:hint="eastAsia" w:eastAsia="宋体"/>
          <w:b w:val="0"/>
          <w:spacing w:val="22"/>
          <w:kern w:val="10"/>
          <w:szCs w:val="18"/>
        </w:rPr>
      </w:pPr>
      <w:r>
        <w:rPr>
          <w:rFonts w:hint="eastAsia"/>
        </w:rPr>
        <w:t xml:space="preserve">                                                    </w:t>
      </w:r>
      <w:r>
        <w:rPr>
          <w:rFonts w:hint="eastAsia" w:eastAsia="宋体"/>
          <w:b w:val="0"/>
          <w:spacing w:val="22"/>
          <w:kern w:val="10"/>
          <w:szCs w:val="18"/>
        </w:rPr>
        <w:t>小四号黑体字</w:t>
      </w:r>
    </w:p>
    <w:p w14:paraId="71C4EB15">
      <w:pPr>
        <w:pStyle w:val="28"/>
        <w:rPr>
          <w:rFonts w:hint="eastAsia"/>
        </w:rPr>
      </w:pPr>
      <w:r>
        <w:rPr>
          <w:sz w:val="20"/>
        </w:rPr>
        <mc:AlternateContent>
          <mc:Choice Requires="wps">
            <w:drawing>
              <wp:anchor distT="0" distB="0" distL="114300" distR="114300" simplePos="0" relativeHeight="251671552" behindDoc="0" locked="0" layoutInCell="1" allowOverlap="1">
                <wp:simplePos x="0" y="0"/>
                <wp:positionH relativeFrom="column">
                  <wp:posOffset>2971800</wp:posOffset>
                </wp:positionH>
                <wp:positionV relativeFrom="paragraph">
                  <wp:posOffset>45720</wp:posOffset>
                </wp:positionV>
                <wp:extent cx="914400" cy="594360"/>
                <wp:effectExtent l="3175" t="5080" r="22225" b="10160"/>
                <wp:wrapNone/>
                <wp:docPr id="6" name="直线 11"/>
                <wp:cNvGraphicFramePr/>
                <a:graphic xmlns:a="http://schemas.openxmlformats.org/drawingml/2006/main">
                  <a:graphicData uri="http://schemas.microsoft.com/office/word/2010/wordprocessingShape">
                    <wps:wsp>
                      <wps:cNvCnPr/>
                      <wps:spPr>
                        <a:xfrm flipV="1">
                          <a:off x="0" y="0"/>
                          <a:ext cx="914400" cy="5943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 o:spid="_x0000_s1026" o:spt="20" style="position:absolute;left:0pt;flip:y;margin-left:234pt;margin-top:3.6pt;height:46.8pt;width:72pt;z-index:251671552;mso-width-relative:page;mso-height-relative:page;" filled="f" stroked="t" coordsize="21600,21600" o:gfxdata="UEsDBAoAAAAAAIdO4kAAAAAAAAAAAAAAAAAEAAAAZHJzL1BLAwQUAAAACACHTuJADe9S8NUAAAAJ&#10;AQAADwAAAGRycy9kb3ducmV2LnhtbE2PQUvEMBSE74L/ITzBm5u0Sq216SKiXgTBtXpOm2dbTF5K&#10;k+2u/97nSY/DDDPf1Nujd2LFJU6BNGQbBQKpD3aiQUP79nhRgojJkDUuEGr4xgjb5vSkNpUNB3rF&#10;dZcGwSUUK6NhTGmupIz9iN7ETZiR2PsMizeJ5TJIu5gDl3snc6UK6c1EvDCaGe9H7L92e6/h7uP5&#10;4fJl7Xxw9mZo361v1VOu9flZpm5BJDymvzD84jM6NMzUhT3ZKJyGq6LkL0nDdQ6C/SLLWXccVKoE&#10;2dTy/4PmB1BLAwQUAAAACACHTuJAYTmYsPQBAADqAwAADgAAAGRycy9lMm9Eb2MueG1srVO9jhMx&#10;EO6ReAfLPdkkJBG3yuaKC0eD4CQO+onX3rXkP3mcbPIsvAYVDY9zr8HYGwIcTQpcWGPP+Jv5vhmv&#10;b4/WsIOMqL1r+Gwy5Uw64VvtuoZ/frx/9YYzTOBaMN7Jhp8k8tvNyxfrIdRy7ntvWhkZgTish9Dw&#10;PqVQVxWKXlrAiQ/SkVP5aCHRMXZVG2EgdGuq+XS6qgYf2xC9kIh0ux2d/IwYrwH0Smkht17srXRp&#10;RI3SQCJK2OuAfFOqVUqK9FEplImZhhPTVHZKQvYu79VmDXUXIfRanEuAa0p4xsmCdpT0ArWFBGwf&#10;9T9QVovo0as0Ed5WI5GiCLGYTZ9p86mHIAsXkhrDRXT8f7Diw+EhMt02fMWZA0sNf/r67en7Dzab&#10;ZXGGgDXF3LmHeD5heIiZ6VFFy5TR4QtNUeFObNixSHu6SCuPiQm6vJktFlMSXZBrebN4vSrSVyNM&#10;hgsR0zvpLctGw412mTnUcHiPiVJT6K+QfG0cGwh1OV8SJtAYKmo/mTYQFXRdeYve6PZeG5NfYOx2&#10;dyayA+RRKCsTJNy/wnKSLWA/xhXXOCS9hPata1k6BRLJ0d/guQQrW86MpK+ULQKEOoE210RSauOo&#10;gqzxqGq2dr49UUv2IequJyVKG0oMjUCp9zyuecb+PBek31908x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N71Lw1QAAAAkBAAAPAAAAAAAAAAEAIAAAACIAAABkcnMvZG93bnJldi54bWxQSwECFAAU&#10;AAAACACHTuJAYTmYsPQBAADqAwAADgAAAAAAAAABACAAAAAkAQAAZHJzL2Uyb0RvYy54bWxQSwUG&#10;AAAAAAYABgBZAQAAigU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72576" behindDoc="0" locked="0" layoutInCell="1" allowOverlap="1">
                <wp:simplePos x="0" y="0"/>
                <wp:positionH relativeFrom="column">
                  <wp:posOffset>3886200</wp:posOffset>
                </wp:positionH>
                <wp:positionV relativeFrom="paragraph">
                  <wp:posOffset>45720</wp:posOffset>
                </wp:positionV>
                <wp:extent cx="1143000" cy="0"/>
                <wp:effectExtent l="0" t="6350" r="0" b="6350"/>
                <wp:wrapNone/>
                <wp:docPr id="7" name="直线 12"/>
                <wp:cNvGraphicFramePr/>
                <a:graphic xmlns:a="http://schemas.openxmlformats.org/drawingml/2006/main">
                  <a:graphicData uri="http://schemas.microsoft.com/office/word/2010/wordprocessingShape">
                    <wps:wsp>
                      <wps:cNvCnPr/>
                      <wps:spPr>
                        <a:xfrm>
                          <a:off x="0" y="0"/>
                          <a:ext cx="1143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306pt;margin-top:3.6pt;height:0pt;width:90pt;z-index:251672576;mso-width-relative:page;mso-height-relative:page;" filled="f" stroked="t" coordsize="21600,21600" o:gfxdata="UEsDBAoAAAAAAIdO4kAAAAAAAAAAAAAAAAAEAAAAZHJzL1BLAwQUAAAACACHTuJAnL1Ie9QAAAAH&#10;AQAADwAAAGRycy9kb3ducmV2LnhtbE2Py07DMBBF90j8gzVIbCpqJ0gthEy6ALJjQwGxncZDEhGP&#10;09h9wNfjsoHl0R3de6ZcHd2g9jyF3gtCNjegWBpve2kRXl/qqxtQIZJYGrwwwhcHWFXnZyUV1h/k&#10;mffr2KpUIqEghC7GsdA6NB07CnM/sqTsw0+OYsKp1XaiQyp3g86NWWhHvaSFjka+77j5XO8cQqjf&#10;eFt/z5qZeb9uPefbh6dHQry8yMwdqMjH+HcMJ/2kDlVy2vid2KAGhEWWp18iwjIHlfLl7Yk3v6yr&#10;Uv/3r34AUEsDBBQAAAAIAIdO4kDEMN5q6QEAANwDAAAOAAAAZHJzL2Uyb0RvYy54bWytU0uS0zAQ&#10;3VPFHVTaE9uB4eOKM4sJw4aCqQIO0JFkW1X6lVqJk7NwDVZsOM5cg5acycCwyQIv5Ja69brf69bq&#10;+mAN26uI2ruON4uaM+WEl9oNHf/29fbFW84wgZNgvFMdPyrk1+vnz1ZTaNXSj95IFRmBOGyn0PEx&#10;pdBWFYpRWcCFD8qRs/fRQqJtHCoZYSJ0a6plXb+uJh9liF4oRDrdzE5+QoyXAPq+10JtvNhZ5dKM&#10;GpWBRJRw1AH5ulTb90qkz32PKjHTcWKaykpJyN7mtVqvoB0ihFGLUwlwSQlPOFnQjpKeoTaQgO2i&#10;/gfKahE9+j4thLfVTKQoQiya+ok2X0YIqnAhqTGcRcf/Bys+7e8i07LjbzhzYKnh999/3P/8xZpl&#10;FmcK2FLMjbuLpx2Gu5iZHvpo8584sEMR9HgWVB0SE3TYNK9e1jVpLR581ePFEDF9UN6ybHTcaJe5&#10;Qgv7j5goGYU+hORj49jU8XdXyyuCAxq8nhpOpg1UPLqh3EVvtLzVxuQbGIftjYlsD7n55cuUCPev&#10;sJxkAzjOccU1j8WoQL53kqVjIFkcvQaeS7BKcmYUPZ5sESC0CbS5JJJSG0cVZFVnHbO19fJITdiF&#10;qIeRlGhKldlDTS/1ngY0T9Wf+4L0+Cj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cvUh71AAA&#10;AAcBAAAPAAAAAAAAAAEAIAAAACIAAABkcnMvZG93bnJldi54bWxQSwECFAAUAAAACACHTuJAxDDe&#10;aukBAADcAwAADgAAAAAAAAABACAAAAAjAQAAZHJzL2Uyb0RvYy54bWxQSwUGAAAAAAYABgBZAQAA&#10;fgUAAAAA&#10;">
                <v:fill on="f" focussize="0,0"/>
                <v:stroke color="#000000" joinstyle="round"/>
                <v:imagedata o:title=""/>
                <o:lock v:ext="edit" aspectratio="f"/>
              </v:line>
            </w:pict>
          </mc:Fallback>
        </mc:AlternateContent>
      </w:r>
    </w:p>
    <w:p w14:paraId="540014C8">
      <w:pPr>
        <w:pStyle w:val="28"/>
        <w:rPr>
          <w:rFonts w:hint="eastAsia"/>
        </w:rPr>
      </w:pPr>
      <w:r>
        <w:rPr>
          <w:rFonts w:hint="eastAsia"/>
        </w:rPr>
        <w:t xml:space="preserve">                                                                 </w:t>
      </w:r>
    </w:p>
    <w:p w14:paraId="3B92ED3B">
      <w:pPr>
        <w:pStyle w:val="28"/>
        <w:rPr>
          <w:rFonts w:hint="eastAsia"/>
        </w:rPr>
      </w:pPr>
      <w:r>
        <w:rPr>
          <w:rFonts w:hint="eastAsia"/>
        </w:rPr>
        <w:t xml:space="preserve">                                                                 </w:t>
      </w:r>
    </w:p>
    <w:p w14:paraId="52509693">
      <w:pPr>
        <w:spacing w:after="156" w:afterLines="50" w:line="360" w:lineRule="auto"/>
        <w:ind w:right="-119"/>
        <w:jc w:val="center"/>
        <w:rPr>
          <w:rFonts w:hint="eastAsia" w:eastAsia="华文行楷"/>
          <w:bCs/>
          <w:spacing w:val="20"/>
          <w:sz w:val="44"/>
        </w:rPr>
        <w:sectPr>
          <w:headerReference r:id="rId8" w:type="first"/>
          <w:footerReference r:id="rId11" w:type="first"/>
          <w:headerReference r:id="rId6" w:type="default"/>
          <w:footerReference r:id="rId9" w:type="default"/>
          <w:headerReference r:id="rId7" w:type="even"/>
          <w:footerReference r:id="rId10" w:type="even"/>
          <w:pgSz w:w="11906" w:h="16838"/>
          <w:pgMar w:top="1701" w:right="1417" w:bottom="1417" w:left="1417" w:header="567" w:footer="851" w:gutter="0"/>
          <w:pgNumType w:start="9"/>
          <w:cols w:space="720" w:num="1"/>
          <w:docGrid w:type="linesAndChars" w:linePitch="312" w:charSpace="0"/>
        </w:sectPr>
      </w:pPr>
    </w:p>
    <w:p w14:paraId="320644D2">
      <w:pPr>
        <w:spacing w:after="156" w:afterLines="50" w:line="360" w:lineRule="auto"/>
        <w:ind w:right="-119"/>
        <w:jc w:val="center"/>
        <w:rPr>
          <w:rFonts w:hint="eastAsia" w:eastAsia="华文行楷"/>
          <w:bCs/>
          <w:spacing w:val="20"/>
          <w:sz w:val="44"/>
        </w:rPr>
      </w:pPr>
      <w:r>
        <w:rPr>
          <w:rFonts w:hint="eastAsia" w:eastAsia="华文行楷"/>
          <w:bCs/>
          <w:spacing w:val="20"/>
          <w:sz w:val="44"/>
        </w:rPr>
        <w:t>北京航空航天大学</w:t>
      </w:r>
    </w:p>
    <w:p w14:paraId="3B4AD762">
      <w:pPr>
        <w:spacing w:line="360" w:lineRule="auto"/>
        <w:jc w:val="center"/>
        <w:rPr>
          <w:rFonts w:hint="eastAsia"/>
          <w:b/>
          <w:spacing w:val="24"/>
          <w:sz w:val="44"/>
        </w:rPr>
      </w:pPr>
      <w:r>
        <w:rPr>
          <w:rFonts w:hint="eastAsia"/>
          <w:b/>
          <w:spacing w:val="24"/>
          <w:sz w:val="44"/>
        </w:rPr>
        <w:t>本科生毕业设</w:t>
      </w:r>
      <w:r>
        <w:rPr>
          <w:rFonts w:hint="eastAsia"/>
          <w:b/>
          <w:spacing w:val="-40"/>
          <w:sz w:val="44"/>
        </w:rPr>
        <w:t>计</w:t>
      </w:r>
      <w:r>
        <w:rPr>
          <w:rFonts w:hint="eastAsia"/>
          <w:b/>
          <w:sz w:val="44"/>
        </w:rPr>
        <w:t>（论文</w:t>
      </w:r>
      <w:r>
        <w:rPr>
          <w:rFonts w:hint="eastAsia"/>
          <w:b/>
          <w:spacing w:val="-40"/>
          <w:sz w:val="44"/>
        </w:rPr>
        <w:t>）</w:t>
      </w:r>
      <w:r>
        <w:rPr>
          <w:rFonts w:hint="eastAsia"/>
          <w:b/>
          <w:spacing w:val="24"/>
          <w:sz w:val="44"/>
        </w:rPr>
        <w:t>任务书</w:t>
      </w:r>
    </w:p>
    <w:p w14:paraId="18D2B684">
      <w:pPr>
        <w:spacing w:before="312" w:beforeLines="100" w:after="390" w:afterLines="125" w:line="360" w:lineRule="auto"/>
        <w:rPr>
          <w:rFonts w:hint="eastAsia"/>
          <w:sz w:val="28"/>
        </w:rPr>
      </w:pPr>
      <w:r>
        <w:rPr>
          <w:rFonts w:hint="eastAsia" w:ascii="宋体"/>
          <w:sz w:val="28"/>
        </w:rPr>
        <w:t>Ⅰ</w:t>
      </w:r>
      <w:r>
        <w:rPr>
          <w:rFonts w:hint="eastAsia"/>
          <w:sz w:val="28"/>
        </w:rPr>
        <w:t>、毕业设计（论文）题目：</w:t>
      </w:r>
    </w:p>
    <w:p w14:paraId="16885DF0">
      <w:pPr>
        <w:spacing w:line="360" w:lineRule="auto"/>
        <w:rPr>
          <w:rFonts w:hint="eastAsia"/>
          <w:sz w:val="28"/>
          <w:u w:val="single"/>
        </w:rPr>
      </w:pPr>
      <w:r>
        <w:rPr>
          <w:rFonts w:hint="eastAsia"/>
          <w:sz w:val="28"/>
          <w:u w:val="single"/>
        </w:rPr>
        <w:t xml:space="preserve">                                                                     </w:t>
      </w:r>
    </w:p>
    <w:p w14:paraId="3EBE46C9">
      <w:pPr>
        <w:spacing w:line="360" w:lineRule="auto"/>
        <w:rPr>
          <w:rFonts w:hint="eastAsia"/>
          <w:sz w:val="28"/>
          <w:u w:val="single"/>
        </w:rPr>
      </w:pPr>
      <w:r>
        <w:rPr>
          <w:rFonts w:hint="eastAsia"/>
          <w:sz w:val="28"/>
          <w:u w:val="single"/>
        </w:rPr>
        <w:t xml:space="preserve">                                                                     </w:t>
      </w:r>
    </w:p>
    <w:p w14:paraId="61DDB57E">
      <w:pPr>
        <w:spacing w:line="360" w:lineRule="auto"/>
        <w:rPr>
          <w:rFonts w:hint="eastAsia"/>
          <w:sz w:val="28"/>
          <w:u w:val="single"/>
        </w:rPr>
      </w:pPr>
      <w:r>
        <w:rPr>
          <w:rFonts w:hint="eastAsia"/>
          <w:sz w:val="28"/>
          <w:u w:val="single"/>
        </w:rPr>
        <w:t xml:space="preserve">                                                                     </w:t>
      </w:r>
    </w:p>
    <w:p w14:paraId="19EBF1E1">
      <w:pPr>
        <w:spacing w:before="156" w:beforeLines="50" w:after="390" w:afterLines="125" w:line="360" w:lineRule="auto"/>
        <w:rPr>
          <w:rFonts w:hint="eastAsia"/>
          <w:sz w:val="28"/>
        </w:rPr>
      </w:pPr>
      <w:r>
        <w:rPr>
          <w:rFonts w:hint="eastAsia" w:ascii="宋体"/>
          <w:sz w:val="28"/>
        </w:rPr>
        <w:t>Ⅱ、毕业设计（论文）使用的原始资料（数据）及设计技术要求：</w:t>
      </w:r>
    </w:p>
    <w:p w14:paraId="572ADD31">
      <w:pPr>
        <w:spacing w:line="360" w:lineRule="auto"/>
        <w:rPr>
          <w:rFonts w:hint="eastAsia"/>
          <w:sz w:val="28"/>
          <w:u w:val="single"/>
        </w:rPr>
      </w:pPr>
      <w:r>
        <w:rPr>
          <w:rFonts w:hint="eastAsia"/>
          <w:sz w:val="28"/>
          <w:u w:val="single"/>
        </w:rPr>
        <w:t xml:space="preserve">                                                                     </w:t>
      </w:r>
    </w:p>
    <w:p w14:paraId="2F4871B9">
      <w:pPr>
        <w:spacing w:line="360" w:lineRule="auto"/>
        <w:rPr>
          <w:rFonts w:hint="eastAsia"/>
          <w:sz w:val="28"/>
          <w:u w:val="single"/>
        </w:rPr>
      </w:pPr>
      <w:r>
        <w:rPr>
          <w:rFonts w:hint="eastAsia"/>
          <w:sz w:val="28"/>
          <w:u w:val="single"/>
        </w:rPr>
        <w:t xml:space="preserve">                                                                         </w:t>
      </w:r>
    </w:p>
    <w:p w14:paraId="16334B08">
      <w:pPr>
        <w:spacing w:line="360" w:lineRule="auto"/>
        <w:rPr>
          <w:rFonts w:hint="eastAsia"/>
          <w:sz w:val="28"/>
          <w:u w:val="single"/>
        </w:rPr>
      </w:pPr>
      <w:r>
        <w:rPr>
          <w:rFonts w:hint="eastAsia"/>
          <w:sz w:val="28"/>
          <w:u w:val="single"/>
        </w:rPr>
        <w:t xml:space="preserve">                                                                      </w:t>
      </w:r>
    </w:p>
    <w:p w14:paraId="3078145D">
      <w:pPr>
        <w:spacing w:line="360" w:lineRule="auto"/>
        <w:rPr>
          <w:rFonts w:hint="eastAsia"/>
          <w:sz w:val="28"/>
          <w:u w:val="single"/>
        </w:rPr>
      </w:pPr>
      <w:r>
        <w:rPr>
          <w:rFonts w:hint="eastAsia"/>
          <w:sz w:val="28"/>
          <w:u w:val="single"/>
        </w:rPr>
        <w:t xml:space="preserve">                                                                           </w:t>
      </w:r>
    </w:p>
    <w:p w14:paraId="68F03D48">
      <w:pPr>
        <w:spacing w:line="360" w:lineRule="auto"/>
        <w:rPr>
          <w:rFonts w:hint="eastAsia"/>
          <w:sz w:val="28"/>
          <w:u w:val="single"/>
        </w:rPr>
      </w:pPr>
      <w:r>
        <w:rPr>
          <w:rFonts w:hint="eastAsia"/>
          <w:sz w:val="28"/>
          <w:u w:val="single"/>
        </w:rPr>
        <w:t xml:space="preserve">                                                                                                                                              </w:t>
      </w:r>
    </w:p>
    <w:p w14:paraId="0949DCA3">
      <w:pPr>
        <w:spacing w:before="156" w:beforeLines="50" w:after="390" w:afterLines="125" w:line="360" w:lineRule="auto"/>
        <w:rPr>
          <w:rFonts w:hint="eastAsia" w:ascii="宋体"/>
          <w:sz w:val="28"/>
        </w:rPr>
      </w:pPr>
      <w:r>
        <w:rPr>
          <w:rFonts w:hint="eastAsia" w:ascii="宋体"/>
          <w:sz w:val="28"/>
        </w:rPr>
        <w:t>Ⅲ、毕业设计（论文）工作内容：</w:t>
      </w:r>
    </w:p>
    <w:p w14:paraId="165804B8">
      <w:pPr>
        <w:spacing w:line="360" w:lineRule="auto"/>
        <w:rPr>
          <w:rFonts w:hint="eastAsia"/>
          <w:sz w:val="28"/>
          <w:u w:val="single"/>
        </w:rPr>
      </w:pPr>
      <w:r>
        <w:rPr>
          <w:rFonts w:hint="eastAsia"/>
          <w:sz w:val="28"/>
          <w:u w:val="single"/>
        </w:rPr>
        <w:t xml:space="preserve">                                                                           </w:t>
      </w:r>
    </w:p>
    <w:p w14:paraId="7114B917">
      <w:pPr>
        <w:spacing w:line="360" w:lineRule="auto"/>
        <w:rPr>
          <w:rFonts w:hint="eastAsia"/>
          <w:sz w:val="28"/>
          <w:u w:val="single"/>
        </w:rPr>
      </w:pPr>
      <w:r>
        <w:rPr>
          <w:rFonts w:hint="eastAsia"/>
          <w:sz w:val="28"/>
          <w:u w:val="single"/>
        </w:rPr>
        <w:t xml:space="preserve">                                                                           </w:t>
      </w:r>
    </w:p>
    <w:p w14:paraId="10ACE415">
      <w:pPr>
        <w:spacing w:line="360" w:lineRule="auto"/>
        <w:rPr>
          <w:rFonts w:hint="eastAsia"/>
          <w:sz w:val="28"/>
          <w:u w:val="single"/>
        </w:rPr>
      </w:pPr>
      <w:r>
        <w:rPr>
          <w:rFonts w:hint="eastAsia"/>
          <w:sz w:val="28"/>
          <w:u w:val="single"/>
        </w:rPr>
        <w:t xml:space="preserve">                                                                           </w:t>
      </w:r>
    </w:p>
    <w:p w14:paraId="2F5F18C7">
      <w:pPr>
        <w:spacing w:line="360" w:lineRule="auto"/>
        <w:rPr>
          <w:rFonts w:hint="eastAsia"/>
          <w:sz w:val="28"/>
          <w:u w:val="single"/>
        </w:rPr>
      </w:pPr>
      <w:r>
        <w:rPr>
          <w:rFonts w:hint="eastAsia"/>
          <w:sz w:val="28"/>
          <w:u w:val="single"/>
        </w:rPr>
        <w:t xml:space="preserve">                                                                           </w:t>
      </w:r>
    </w:p>
    <w:p w14:paraId="5511C934">
      <w:pPr>
        <w:spacing w:line="360" w:lineRule="auto"/>
        <w:rPr>
          <w:rFonts w:hint="eastAsia"/>
          <w:sz w:val="28"/>
          <w:u w:val="single"/>
        </w:rPr>
      </w:pPr>
      <w:r>
        <w:rPr>
          <w:rFonts w:hint="eastAsia"/>
          <w:sz w:val="28"/>
          <w:u w:val="single"/>
        </w:rPr>
        <w:t xml:space="preserve">                                                                  </w:t>
      </w:r>
    </w:p>
    <w:p w14:paraId="38A23309">
      <w:pPr>
        <w:spacing w:line="360" w:lineRule="auto"/>
        <w:rPr>
          <w:rFonts w:hint="eastAsia"/>
          <w:sz w:val="28"/>
          <w:u w:val="single"/>
        </w:rPr>
      </w:pPr>
      <w:r>
        <w:rPr>
          <w:rFonts w:hint="eastAsia"/>
          <w:sz w:val="28"/>
          <w:u w:val="single"/>
        </w:rPr>
        <w:t xml:space="preserve">                                                                             </w:t>
      </w:r>
    </w:p>
    <w:p w14:paraId="679F6C41">
      <w:pPr>
        <w:spacing w:before="156" w:beforeLines="50" w:after="390" w:afterLines="125" w:line="360" w:lineRule="auto"/>
        <w:rPr>
          <w:rFonts w:hint="eastAsia" w:ascii="宋体"/>
          <w:sz w:val="28"/>
        </w:rPr>
        <w:sectPr>
          <w:headerReference r:id="rId12" w:type="default"/>
          <w:footerReference r:id="rId13" w:type="default"/>
          <w:pgSz w:w="11906" w:h="16838"/>
          <w:pgMar w:top="1247" w:right="1417" w:bottom="1417" w:left="1417" w:header="567" w:footer="851" w:gutter="0"/>
          <w:pgNumType w:start="9"/>
          <w:cols w:space="720" w:num="1"/>
          <w:docGrid w:type="linesAndChars" w:linePitch="312" w:charSpace="0"/>
        </w:sectPr>
      </w:pPr>
    </w:p>
    <w:p w14:paraId="093A25CB">
      <w:pPr>
        <w:spacing w:before="156" w:beforeLines="50" w:after="390" w:afterLines="125" w:line="360" w:lineRule="auto"/>
        <w:rPr>
          <w:rFonts w:hint="eastAsia"/>
          <w:sz w:val="28"/>
        </w:rPr>
      </w:pPr>
      <w:r>
        <w:rPr>
          <w:rFonts w:hint="eastAsia" w:ascii="宋体"/>
          <w:sz w:val="28"/>
        </w:rPr>
        <w:t>Ⅳ、主要参考资料：</w:t>
      </w:r>
    </w:p>
    <w:p w14:paraId="2ABDE717">
      <w:pPr>
        <w:spacing w:line="360" w:lineRule="auto"/>
        <w:rPr>
          <w:rFonts w:hint="eastAsia"/>
          <w:sz w:val="28"/>
          <w:u w:val="single"/>
        </w:rPr>
      </w:pPr>
      <w:r>
        <w:rPr>
          <w:rFonts w:hint="eastAsia"/>
          <w:sz w:val="28"/>
          <w:u w:val="single"/>
        </w:rPr>
        <w:t xml:space="preserve">                                                                           </w:t>
      </w:r>
    </w:p>
    <w:p w14:paraId="417F77F1">
      <w:pPr>
        <w:spacing w:line="360" w:lineRule="auto"/>
        <w:rPr>
          <w:rFonts w:hint="eastAsia"/>
          <w:sz w:val="28"/>
          <w:u w:val="single"/>
        </w:rPr>
      </w:pPr>
      <w:r>
        <w:rPr>
          <w:rFonts w:hint="eastAsia"/>
          <w:sz w:val="28"/>
          <w:u w:val="single"/>
        </w:rPr>
        <w:t xml:space="preserve">                                                                           </w:t>
      </w:r>
    </w:p>
    <w:p w14:paraId="4F6249A3">
      <w:pPr>
        <w:spacing w:line="360" w:lineRule="auto"/>
        <w:rPr>
          <w:rFonts w:hint="eastAsia"/>
          <w:sz w:val="28"/>
          <w:u w:val="single"/>
        </w:rPr>
      </w:pPr>
      <w:r>
        <w:rPr>
          <w:rFonts w:hint="eastAsia"/>
          <w:sz w:val="28"/>
          <w:u w:val="single"/>
        </w:rPr>
        <w:t xml:space="preserve">                                                                           </w:t>
      </w:r>
    </w:p>
    <w:p w14:paraId="0C6061A3">
      <w:pPr>
        <w:spacing w:line="360" w:lineRule="auto"/>
        <w:rPr>
          <w:rFonts w:hint="eastAsia"/>
          <w:sz w:val="28"/>
          <w:u w:val="single"/>
        </w:rPr>
      </w:pPr>
      <w:r>
        <w:rPr>
          <w:rFonts w:hint="eastAsia"/>
          <w:sz w:val="28"/>
          <w:u w:val="single"/>
        </w:rPr>
        <w:t xml:space="preserve">                                                                           </w:t>
      </w:r>
    </w:p>
    <w:p w14:paraId="68179662">
      <w:pPr>
        <w:spacing w:line="360" w:lineRule="auto"/>
        <w:rPr>
          <w:rFonts w:hint="eastAsia"/>
          <w:sz w:val="28"/>
          <w:u w:val="single"/>
        </w:rPr>
      </w:pPr>
      <w:r>
        <w:rPr>
          <w:rFonts w:hint="eastAsia"/>
          <w:sz w:val="28"/>
          <w:u w:val="single"/>
        </w:rPr>
        <w:t xml:space="preserve">                                                                                                                                                 </w:t>
      </w:r>
    </w:p>
    <w:p w14:paraId="7BA5B1D8">
      <w:pPr>
        <w:spacing w:line="360" w:lineRule="auto"/>
        <w:rPr>
          <w:rFonts w:hint="eastAsia"/>
          <w:sz w:val="28"/>
          <w:u w:val="single"/>
        </w:rPr>
      </w:pPr>
      <w:r>
        <w:rPr>
          <w:rFonts w:hint="eastAsia"/>
          <w:sz w:val="28"/>
          <w:u w:val="single"/>
        </w:rPr>
        <w:t xml:space="preserve">                                                                           </w:t>
      </w:r>
    </w:p>
    <w:p w14:paraId="52DE64E2">
      <w:pPr>
        <w:spacing w:line="360" w:lineRule="auto"/>
        <w:rPr>
          <w:rFonts w:hint="eastAsia"/>
          <w:sz w:val="28"/>
          <w:u w:val="single"/>
        </w:rPr>
      </w:pPr>
      <w:r>
        <w:rPr>
          <w:rFonts w:hint="eastAsia"/>
          <w:sz w:val="28"/>
          <w:u w:val="single"/>
        </w:rPr>
        <w:t xml:space="preserve">                                                                           </w:t>
      </w:r>
    </w:p>
    <w:p w14:paraId="7B13B20B">
      <w:pPr>
        <w:spacing w:line="360" w:lineRule="auto"/>
        <w:rPr>
          <w:rFonts w:hint="eastAsia"/>
          <w:sz w:val="28"/>
          <w:u w:val="single"/>
        </w:rPr>
      </w:pPr>
      <w:r>
        <w:rPr>
          <w:rFonts w:hint="eastAsia"/>
          <w:sz w:val="28"/>
          <w:u w:val="single"/>
        </w:rPr>
        <w:t xml:space="preserve">                                                                </w:t>
      </w:r>
    </w:p>
    <w:p w14:paraId="20B7E553">
      <w:pPr>
        <w:spacing w:line="360" w:lineRule="auto"/>
        <w:jc w:val="left"/>
        <w:rPr>
          <w:rFonts w:hint="eastAsia"/>
          <w:sz w:val="28"/>
        </w:rPr>
      </w:pPr>
      <w:r>
        <w:rPr>
          <w:rFonts w:hint="eastAsia"/>
          <w:sz w:val="28"/>
          <w:u w:val="single"/>
        </w:rPr>
        <w:t xml:space="preserve">          </w:t>
      </w:r>
      <w:r>
        <w:rPr>
          <w:rFonts w:hint="eastAsia"/>
          <w:sz w:val="28"/>
        </w:rPr>
        <w:t>学院（系）</w:t>
      </w:r>
      <w:r>
        <w:rPr>
          <w:rFonts w:hint="eastAsia"/>
          <w:sz w:val="28"/>
          <w:u w:val="single"/>
        </w:rPr>
        <w:t xml:space="preserve">            </w:t>
      </w:r>
      <w:r>
        <w:rPr>
          <w:rFonts w:hint="eastAsia"/>
          <w:sz w:val="28"/>
        </w:rPr>
        <w:t xml:space="preserve"> 专业类 </w:t>
      </w:r>
      <w:r>
        <w:rPr>
          <w:rFonts w:hint="eastAsia"/>
          <w:sz w:val="28"/>
          <w:u w:val="single"/>
        </w:rPr>
        <w:t xml:space="preserve">            </w:t>
      </w:r>
      <w:r>
        <w:rPr>
          <w:rFonts w:hint="eastAsia"/>
          <w:sz w:val="28"/>
        </w:rPr>
        <w:t xml:space="preserve"> 班</w:t>
      </w:r>
    </w:p>
    <w:p w14:paraId="3B737D3B">
      <w:pPr>
        <w:spacing w:line="360" w:lineRule="auto"/>
        <w:rPr>
          <w:rFonts w:hint="eastAsia"/>
          <w:sz w:val="28"/>
          <w:u w:val="single"/>
        </w:rPr>
      </w:pPr>
      <w:r>
        <w:rPr>
          <w:rFonts w:hint="eastAsia"/>
          <w:sz w:val="28"/>
        </w:rPr>
        <w:t xml:space="preserve">学生 </w:t>
      </w:r>
      <w:r>
        <w:rPr>
          <w:rFonts w:hint="eastAsia"/>
          <w:sz w:val="28"/>
          <w:u w:val="single"/>
        </w:rPr>
        <w:t xml:space="preserve">                     </w:t>
      </w:r>
    </w:p>
    <w:p w14:paraId="0737468B">
      <w:pPr>
        <w:spacing w:line="360" w:lineRule="auto"/>
        <w:rPr>
          <w:rFonts w:hint="eastAsia"/>
          <w:sz w:val="28"/>
        </w:rPr>
      </w:pPr>
      <w:r>
        <w:rPr>
          <w:rFonts w:hint="eastAsia"/>
          <w:sz w:val="28"/>
        </w:rPr>
        <w:t xml:space="preserve">毕业设计（论文）时间：  </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日至</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p>
    <w:p w14:paraId="330CBE22">
      <w:pPr>
        <w:spacing w:line="360" w:lineRule="auto"/>
        <w:rPr>
          <w:rFonts w:hint="eastAsia"/>
          <w:sz w:val="28"/>
        </w:rPr>
      </w:pPr>
      <w:r>
        <w:rPr>
          <w:rFonts w:hint="eastAsia"/>
          <w:sz w:val="28"/>
        </w:rPr>
        <w:t>答辩时间：</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 xml:space="preserve">日           </w:t>
      </w:r>
    </w:p>
    <w:p w14:paraId="25019885">
      <w:pPr>
        <w:spacing w:line="360" w:lineRule="auto"/>
        <w:rPr>
          <w:rFonts w:hint="eastAsia"/>
          <w:sz w:val="28"/>
        </w:rPr>
      </w:pPr>
      <w:r>
        <w:rPr>
          <w:rFonts w:hint="eastAsia"/>
          <w:sz w:val="28"/>
        </w:rPr>
        <w:t>成    绩：</w:t>
      </w:r>
      <w:r>
        <w:rPr>
          <w:rFonts w:hint="eastAsia"/>
          <w:sz w:val="28"/>
          <w:u w:val="single"/>
        </w:rPr>
        <w:t xml:space="preserve">               </w:t>
      </w:r>
    </w:p>
    <w:p w14:paraId="3C87B155">
      <w:pPr>
        <w:spacing w:line="360" w:lineRule="auto"/>
        <w:rPr>
          <w:rFonts w:hint="eastAsia"/>
          <w:sz w:val="28"/>
          <w:u w:val="single"/>
        </w:rPr>
      </w:pPr>
      <w:r>
        <w:rPr>
          <w:rFonts w:hint="eastAsia"/>
          <w:sz w:val="28"/>
        </w:rPr>
        <w:t>指导教师：</w:t>
      </w:r>
      <w:r>
        <w:rPr>
          <w:rFonts w:hint="eastAsia"/>
          <w:sz w:val="28"/>
          <w:u w:val="single"/>
        </w:rPr>
        <w:t xml:space="preserve">               </w:t>
      </w:r>
    </w:p>
    <w:p w14:paraId="1C365E6E">
      <w:pPr>
        <w:spacing w:line="360" w:lineRule="auto"/>
        <w:rPr>
          <w:rFonts w:hint="eastAsia"/>
          <w:sz w:val="28"/>
        </w:rPr>
      </w:pPr>
      <w:r>
        <w:rPr>
          <w:rFonts w:hint="eastAsia"/>
          <w:sz w:val="28"/>
        </w:rPr>
        <w:t>兼职教师或答疑教师（并指出所负责部分）：</w:t>
      </w:r>
    </w:p>
    <w:p w14:paraId="7755BA8C">
      <w:pPr>
        <w:spacing w:line="360" w:lineRule="auto"/>
        <w:rPr>
          <w:rFonts w:hint="eastAsia"/>
          <w:sz w:val="28"/>
          <w:u w:val="single"/>
        </w:rPr>
      </w:pPr>
      <w:r>
        <w:rPr>
          <w:rFonts w:hint="eastAsia"/>
          <w:sz w:val="28"/>
          <w:u w:val="single"/>
        </w:rPr>
        <w:t xml:space="preserve">                                                               </w:t>
      </w:r>
    </w:p>
    <w:p w14:paraId="08DD8F20">
      <w:pPr>
        <w:spacing w:line="360" w:lineRule="auto"/>
        <w:rPr>
          <w:rFonts w:hint="eastAsia"/>
          <w:sz w:val="28"/>
        </w:rPr>
      </w:pPr>
      <w:r>
        <w:rPr>
          <w:rFonts w:hint="eastAsia"/>
          <w:sz w:val="28"/>
          <w:u w:val="single"/>
        </w:rPr>
        <w:t xml:space="preserve">                                                               </w:t>
      </w:r>
      <w:r>
        <w:rPr>
          <w:rFonts w:hint="eastAsia"/>
          <w:sz w:val="28"/>
        </w:rPr>
        <w:t xml:space="preserve">     </w:t>
      </w:r>
    </w:p>
    <w:p w14:paraId="7B30F9FA">
      <w:pPr>
        <w:spacing w:line="360" w:lineRule="auto"/>
        <w:rPr>
          <w:rFonts w:hint="eastAsia"/>
          <w:sz w:val="28"/>
          <w:u w:val="single"/>
        </w:rPr>
      </w:pPr>
      <w:r>
        <w:rPr>
          <w:rFonts w:hint="eastAsia"/>
          <w:sz w:val="28"/>
          <w:u w:val="single"/>
        </w:rPr>
        <w:t xml:space="preserve">               </w:t>
      </w:r>
      <w:r>
        <w:rPr>
          <w:rFonts w:hint="eastAsia"/>
          <w:sz w:val="28"/>
        </w:rPr>
        <w:t>系（教研室） 主任（签字）：</w:t>
      </w:r>
      <w:r>
        <w:rPr>
          <w:rFonts w:hint="eastAsia"/>
          <w:sz w:val="28"/>
          <w:u w:val="single"/>
        </w:rPr>
        <w:t xml:space="preserve">                  </w:t>
      </w:r>
    </w:p>
    <w:p w14:paraId="1AB8F4E6">
      <w:pPr>
        <w:spacing w:line="360" w:lineRule="auto"/>
        <w:rPr>
          <w:rFonts w:hint="eastAsia"/>
          <w:sz w:val="24"/>
        </w:rPr>
      </w:pPr>
    </w:p>
    <w:p w14:paraId="47E8473B">
      <w:pPr>
        <w:spacing w:line="360" w:lineRule="auto"/>
        <w:rPr>
          <w:rFonts w:hint="eastAsia"/>
          <w:sz w:val="28"/>
        </w:rPr>
        <w:sectPr>
          <w:headerReference r:id="rId14" w:type="default"/>
          <w:pgSz w:w="11906" w:h="16838"/>
          <w:pgMar w:top="1701" w:right="1417" w:bottom="1417" w:left="1417" w:header="567" w:footer="851" w:gutter="0"/>
          <w:pgNumType w:start="9"/>
          <w:cols w:space="720" w:num="1"/>
          <w:docGrid w:type="linesAndChars" w:linePitch="312" w:charSpace="0"/>
        </w:sectPr>
      </w:pPr>
      <w:r>
        <w:rPr>
          <w:rFonts w:hint="eastAsia"/>
          <w:sz w:val="28"/>
        </w:rPr>
        <w:t>注：任务书应该附在已完成的毕业设计（论文）的首页。</w:t>
      </w:r>
    </w:p>
    <w:p w14:paraId="1F9C761B">
      <w:pPr>
        <w:spacing w:line="360" w:lineRule="auto"/>
        <w:rPr>
          <w:rFonts w:hint="eastAsia"/>
          <w:sz w:val="28"/>
        </w:rPr>
      </w:pPr>
    </w:p>
    <w:p w14:paraId="389323AF">
      <w:pPr>
        <w:rPr>
          <w:b/>
          <w:sz w:val="36"/>
        </w:rPr>
      </w:pPr>
    </w:p>
    <w:p w14:paraId="0A4D2CB9">
      <w:pPr>
        <w:jc w:val="center"/>
        <w:outlineLvl w:val="0"/>
        <w:rPr>
          <w:b/>
          <w:sz w:val="36"/>
        </w:rPr>
      </w:pPr>
      <w:r>
        <w:rPr>
          <w:rFonts w:hint="eastAsia"/>
          <w:b/>
          <w:sz w:val="36"/>
        </w:rPr>
        <w:t>本人声明</w:t>
      </w:r>
    </w:p>
    <w:p w14:paraId="19B68B32">
      <w:pPr>
        <w:jc w:val="center"/>
        <w:rPr>
          <w:b/>
          <w:sz w:val="36"/>
        </w:rPr>
      </w:pPr>
    </w:p>
    <w:p w14:paraId="281FA420">
      <w:pPr>
        <w:pStyle w:val="23"/>
        <w:spacing w:line="360" w:lineRule="auto"/>
        <w:ind w:firstLine="561"/>
        <w:rPr>
          <w:rFonts w:hint="eastAsia"/>
          <w:sz w:val="28"/>
        </w:rPr>
      </w:pPr>
      <w:r>
        <w:rPr>
          <w:rFonts w:hint="eastAsia"/>
          <w:sz w:val="28"/>
        </w:rPr>
        <w:t>我声明，本论文及其研究工作是由本人在导师指导下独立完成的，在完成论文时所利用的一切资料都已在参考文献中列出。</w:t>
      </w:r>
    </w:p>
    <w:p w14:paraId="23A4BF72">
      <w:pPr>
        <w:spacing w:line="360" w:lineRule="auto"/>
        <w:ind w:firstLine="420"/>
        <w:rPr>
          <w:rFonts w:hint="eastAsia"/>
          <w:b/>
        </w:rPr>
      </w:pPr>
    </w:p>
    <w:p w14:paraId="597D16CA">
      <w:pPr>
        <w:spacing w:line="360" w:lineRule="auto"/>
        <w:ind w:firstLine="420"/>
        <w:rPr>
          <w:rFonts w:hint="eastAsia"/>
          <w:b/>
        </w:rPr>
      </w:pPr>
    </w:p>
    <w:p w14:paraId="0067EC09">
      <w:pPr>
        <w:spacing w:line="360" w:lineRule="auto"/>
        <w:ind w:firstLine="420"/>
        <w:rPr>
          <w:rFonts w:hint="eastAsia"/>
          <w:b/>
        </w:rPr>
      </w:pPr>
    </w:p>
    <w:p w14:paraId="268DD2BB">
      <w:pPr>
        <w:spacing w:line="360" w:lineRule="auto"/>
        <w:ind w:firstLine="420"/>
        <w:rPr>
          <w:rFonts w:hint="eastAsia"/>
          <w:b/>
        </w:rPr>
      </w:pPr>
    </w:p>
    <w:p w14:paraId="480357FA">
      <w:pPr>
        <w:spacing w:line="360" w:lineRule="auto"/>
        <w:ind w:firstLine="420"/>
        <w:rPr>
          <w:rFonts w:hint="eastAsia"/>
          <w:b/>
        </w:rPr>
      </w:pPr>
    </w:p>
    <w:p w14:paraId="192D391F">
      <w:pPr>
        <w:spacing w:line="360" w:lineRule="auto"/>
        <w:ind w:firstLine="420"/>
        <w:rPr>
          <w:rFonts w:hint="eastAsia"/>
          <w:b/>
        </w:rPr>
      </w:pPr>
    </w:p>
    <w:p w14:paraId="2AD4654D">
      <w:pPr>
        <w:spacing w:line="360" w:lineRule="auto"/>
        <w:rPr>
          <w:rFonts w:hint="eastAsia"/>
          <w:b/>
        </w:rPr>
      </w:pPr>
      <w:r>
        <w:rPr>
          <w:rFonts w:hint="eastAsia"/>
          <w:b/>
        </w:rPr>
        <w:t xml:space="preserve">    </w:t>
      </w:r>
    </w:p>
    <w:p w14:paraId="5835696C">
      <w:pPr>
        <w:pStyle w:val="5"/>
        <w:tabs>
          <w:tab w:val="left" w:pos="425"/>
          <w:tab w:val="left" w:pos="5940"/>
        </w:tabs>
        <w:spacing w:line="360" w:lineRule="auto"/>
        <w:ind w:firstLine="0"/>
        <w:rPr>
          <w:rFonts w:hint="eastAsia"/>
          <w:sz w:val="24"/>
        </w:rPr>
      </w:pPr>
      <w:r>
        <w:rPr>
          <w:rFonts w:hint="eastAsia"/>
        </w:rPr>
        <w:tab/>
      </w:r>
      <w:r>
        <w:rPr>
          <w:rFonts w:hint="eastAsia"/>
        </w:rPr>
        <w:tab/>
      </w:r>
      <w:r>
        <w:rPr>
          <w:rFonts w:hint="eastAsia"/>
          <w:sz w:val="24"/>
        </w:rPr>
        <w:t>作者：王小亮</w:t>
      </w:r>
      <w:r>
        <w:rPr>
          <w:rFonts w:hint="eastAsia"/>
          <w:sz w:val="24"/>
        </w:rPr>
        <w:tab/>
      </w:r>
    </w:p>
    <w:p w14:paraId="47484CAB">
      <w:pPr>
        <w:pStyle w:val="5"/>
        <w:tabs>
          <w:tab w:val="left" w:pos="425"/>
          <w:tab w:val="left" w:pos="5940"/>
        </w:tabs>
        <w:spacing w:line="360" w:lineRule="auto"/>
        <w:rPr>
          <w:rFonts w:hint="eastAsia"/>
          <w:sz w:val="24"/>
        </w:rPr>
      </w:pPr>
      <w:r>
        <w:rPr>
          <w:sz w:val="24"/>
        </w:rPr>
        <w:tab/>
      </w:r>
      <w:r>
        <w:rPr>
          <w:sz w:val="24"/>
        </w:rPr>
        <w:tab/>
      </w:r>
      <w:r>
        <w:rPr>
          <w:rFonts w:hint="eastAsia"/>
          <w:sz w:val="24"/>
        </w:rPr>
        <w:t>签字：</w:t>
      </w:r>
    </w:p>
    <w:p w14:paraId="44D5AB8A">
      <w:pPr>
        <w:pStyle w:val="5"/>
        <w:tabs>
          <w:tab w:val="left" w:pos="425"/>
          <w:tab w:val="left" w:pos="5940"/>
        </w:tabs>
        <w:spacing w:line="360" w:lineRule="auto"/>
        <w:rPr>
          <w:rFonts w:hint="eastAsia"/>
          <w:sz w:val="24"/>
        </w:rPr>
      </w:pPr>
      <w:r>
        <w:rPr>
          <w:sz w:val="24"/>
        </w:rPr>
        <w:tab/>
      </w:r>
      <w:r>
        <w:rPr>
          <w:sz w:val="24"/>
        </w:rPr>
        <w:tab/>
      </w:r>
      <w:r>
        <w:rPr>
          <w:rFonts w:hint="eastAsia"/>
          <w:sz w:val="24"/>
        </w:rPr>
        <w:t>时间：2015年 6 月</w:t>
      </w:r>
    </w:p>
    <w:p w14:paraId="30387B9A">
      <w:pPr>
        <w:ind w:firstLine="420"/>
        <w:rPr>
          <w:rFonts w:hint="eastAsia"/>
        </w:rPr>
      </w:pPr>
    </w:p>
    <w:p w14:paraId="1FC80982">
      <w:pPr>
        <w:ind w:firstLine="420"/>
        <w:rPr>
          <w:rFonts w:hint="eastAsia"/>
        </w:rPr>
      </w:pPr>
    </w:p>
    <w:p w14:paraId="0BAAA4CF">
      <w:pPr>
        <w:ind w:firstLine="420"/>
        <w:rPr>
          <w:rFonts w:hint="eastAsia"/>
        </w:rPr>
      </w:pPr>
    </w:p>
    <w:p w14:paraId="538671D6">
      <w:pPr>
        <w:ind w:firstLine="420"/>
        <w:rPr>
          <w:rFonts w:hint="eastAsia"/>
        </w:rPr>
      </w:pPr>
    </w:p>
    <w:p w14:paraId="54E18550">
      <w:pPr>
        <w:ind w:firstLine="420"/>
        <w:rPr>
          <w:rFonts w:hint="eastAsia"/>
        </w:rPr>
      </w:pPr>
    </w:p>
    <w:p w14:paraId="2D21148F">
      <w:pPr>
        <w:ind w:firstLine="420"/>
        <w:rPr>
          <w:rFonts w:hint="eastAsia"/>
        </w:rPr>
      </w:pPr>
    </w:p>
    <w:p w14:paraId="7A4A6C41">
      <w:pPr>
        <w:ind w:firstLine="420"/>
        <w:rPr>
          <w:rFonts w:hint="eastAsia"/>
        </w:rPr>
      </w:pPr>
    </w:p>
    <w:p w14:paraId="6FB6E886">
      <w:pPr>
        <w:pStyle w:val="5"/>
        <w:spacing w:before="312" w:beforeLines="100" w:after="156" w:afterLines="50" w:line="360" w:lineRule="auto"/>
        <w:ind w:firstLine="0"/>
        <w:jc w:val="center"/>
        <w:rPr>
          <w:rFonts w:hint="eastAsia"/>
        </w:rPr>
      </w:pPr>
    </w:p>
    <w:p w14:paraId="764AC2C3">
      <w:pPr>
        <w:pStyle w:val="5"/>
        <w:spacing w:before="312" w:beforeLines="100" w:after="156" w:afterLines="50" w:line="360" w:lineRule="auto"/>
        <w:ind w:firstLine="0"/>
        <w:jc w:val="center"/>
        <w:rPr>
          <w:rFonts w:hint="eastAsia"/>
        </w:rPr>
        <w:sectPr>
          <w:headerReference r:id="rId15" w:type="default"/>
          <w:footerReference r:id="rId16" w:type="default"/>
          <w:pgSz w:w="11906" w:h="16838"/>
          <w:pgMar w:top="1701" w:right="1417" w:bottom="1417" w:left="1417" w:header="510" w:footer="851" w:gutter="0"/>
          <w:pgNumType w:start="9"/>
          <w:cols w:space="720" w:num="1"/>
          <w:docGrid w:type="linesAndChars" w:linePitch="312" w:charSpace="0"/>
        </w:sectPr>
      </w:pPr>
    </w:p>
    <w:p w14:paraId="7DFD6A2A">
      <w:pPr>
        <w:pStyle w:val="5"/>
        <w:spacing w:before="240" w:after="240" w:line="360" w:lineRule="auto"/>
        <w:ind w:firstLine="0"/>
        <w:jc w:val="center"/>
      </w:pPr>
      <w:r>
        <w:rPr>
          <w:rFonts w:ascii="Times New Roman" w:hAnsi="Times New Roman" w:eastAsia="黑体" w:cs="Times New Roman"/>
          <w:sz w:val="30"/>
          <w:szCs w:val="30"/>
        </w:rPr>
        <w:t>变压器油中溶解气体分析智能体研究与实现</w:t>
      </w:r>
    </w:p>
    <w:p w14:paraId="358804D4">
      <w:pPr>
        <w:spacing w:line="360" w:lineRule="auto"/>
        <w:ind w:firstLine="0"/>
        <w:jc w:val="right"/>
      </w:pPr>
      <w:r>
        <w:rPr>
          <w:rFonts w:ascii="Times New Roman" w:hAnsi="Times New Roman" w:eastAsia="宋体" w:cs="Times New Roman"/>
          <w:sz w:val="24"/>
          <w:szCs w:val="24"/>
        </w:rPr>
        <w:t>学</w:t>
      </w:r>
      <w:r>
        <w:rPr>
          <w:rFonts w:hint="eastAsia" w:cs="Times New Roman"/>
          <w:sz w:val="24"/>
          <w:szCs w:val="24"/>
          <w:lang w:val="en-US" w:eastAsia="zh-CN"/>
        </w:rPr>
        <w:t xml:space="preserve">  </w:t>
      </w:r>
      <w:r>
        <w:rPr>
          <w:rFonts w:ascii="Times New Roman" w:hAnsi="Times New Roman" w:eastAsia="宋体" w:cs="Times New Roman"/>
          <w:sz w:val="24"/>
          <w:szCs w:val="24"/>
        </w:rPr>
        <w:t>　生：程丽蓉</w:t>
      </w:r>
    </w:p>
    <w:p w14:paraId="2E0148BC">
      <w:pPr>
        <w:spacing w:line="360" w:lineRule="auto"/>
        <w:ind w:firstLine="6960" w:firstLineChars="2900"/>
        <w:jc w:val="both"/>
        <w:rPr>
          <w:rFonts w:hint="eastAsia" w:eastAsia="宋体"/>
          <w:lang w:eastAsia="zh-CN"/>
        </w:rPr>
      </w:pPr>
      <w:r>
        <w:rPr>
          <w:rFonts w:ascii="Times New Roman" w:hAnsi="Times New Roman" w:eastAsia="宋体" w:cs="Times New Roman"/>
          <w:sz w:val="24"/>
          <w:szCs w:val="24"/>
        </w:rPr>
        <w:t>指导教师：阮</w:t>
      </w:r>
      <w:r>
        <w:rPr>
          <w:rFonts w:hint="eastAsia" w:cs="Times New Roman"/>
          <w:sz w:val="24"/>
          <w:szCs w:val="24"/>
          <w:lang w:val="en-US" w:eastAsia="zh-CN"/>
        </w:rPr>
        <w:t xml:space="preserve"> </w:t>
      </w:r>
      <w:r>
        <w:rPr>
          <w:rFonts w:hint="eastAsia" w:ascii="Times New Roman" w:hAnsi="Times New Roman" w:eastAsia="宋体" w:cs="Times New Roman"/>
          <w:sz w:val="24"/>
          <w:szCs w:val="24"/>
          <w:lang w:val="en-US" w:eastAsia="zh-CN"/>
        </w:rPr>
        <w:t>利</w:t>
      </w:r>
    </w:p>
    <w:p w14:paraId="618B7DD2">
      <w:pPr>
        <w:spacing w:before="240" w:after="240" w:line="360" w:lineRule="auto"/>
        <w:ind w:firstLine="0"/>
        <w:jc w:val="center"/>
      </w:pPr>
      <w:r>
        <w:rPr>
          <w:rFonts w:ascii="Times New Roman" w:hAnsi="Times New Roman" w:eastAsia="黑体" w:cs="Times New Roman"/>
          <w:sz w:val="32"/>
          <w:szCs w:val="32"/>
        </w:rPr>
        <w:t>摘　　要</w:t>
      </w:r>
    </w:p>
    <w:p w14:paraId="7D971532">
      <w:pPr>
        <w:pStyle w:val="3"/>
        <w:spacing w:before="0" w:after="0" w:line="360" w:lineRule="auto"/>
        <w:ind w:firstLine="420"/>
        <w:jc w:val="both"/>
      </w:pPr>
      <w:r>
        <w:rPr>
          <w:rFonts w:ascii="Times New Roman" w:hAnsi="Times New Roman" w:eastAsia="宋体" w:cs="Times New Roman"/>
          <w:sz w:val="24"/>
          <w:szCs w:val="24"/>
        </w:rPr>
        <w:t xml:space="preserve">油中溶解气体分析是判断油浸式变压器内部状态的重要手段。设备出现异常时，可以依靠油中溶解气体的检测结果判断变压器内部的实际情况。但检测分级、产气趋势分析、故障类型判定以及报告编写这些实用方法，分别散落在不同的行业标准文件里，没有整合在一起。针对220kV及以下油浸式变压器，本文结合现有行业标准要求，把这几项方法落实到故障判定的具体步骤中，再通过智能体把整套分析流程固定下来，最终搭建出一套可以复核校验的在线分析流程和原型系统。</w:t>
      </w:r>
    </w:p>
    <w:p w14:paraId="16589299">
      <w:pPr>
        <w:pStyle w:val="3"/>
        <w:spacing w:before="0" w:after="0" w:line="360" w:lineRule="auto"/>
        <w:ind w:firstLine="420"/>
        <w:jc w:val="both"/>
      </w:pPr>
      <w:r>
        <w:rPr>
          <w:rFonts w:ascii="Times New Roman" w:hAnsi="Times New Roman" w:eastAsia="宋体" w:cs="Times New Roman"/>
          <w:sz w:val="24"/>
          <w:szCs w:val="24"/>
        </w:rPr>
        <w:t xml:space="preserve">本文开展四项研究工作：一是依据DL/T 1498.2—2025表A.3开展检测分级，结合DL/T 722—2014相对产气速率计算总烃月环比，确定处置紧急度，对气体快速增长情况发出涨势预警。二是建立多规则协同故障判别机制，以注意值2、告警或相对产气速率超注意为触发条件，并行采用特征气体法、三比值法、大卫三角形法，完成性质核对、可信度标注，给出故障类型及试验建议。三是设计七步分析智能体工作流，依次完成气体输入、检测分级、产气趋势、处置紧急度、故障判型、监测决策、报告生成；判定依靠标准规则，大模型只润色报告文本，报告按DL/T 722—2014附录G组织，标准依据记入运行日志。四是开发原型系统，实现流程编排、监测决策、报告生成、PDF导出及分析助手，各页面共用同一套算法结果。</w:t>
      </w:r>
    </w:p>
    <w:p w14:paraId="0265A388">
      <w:pPr>
        <w:pStyle w:val="3"/>
        <w:spacing w:before="0" w:after="0" w:line="360" w:lineRule="auto"/>
        <w:ind w:firstLine="420"/>
        <w:jc w:val="both"/>
      </w:pPr>
      <w:r>
        <w:rPr>
          <w:rFonts w:ascii="Times New Roman" w:hAnsi="Times New Roman" w:eastAsia="宋体" w:cs="Times New Roman"/>
          <w:sz w:val="24"/>
          <w:szCs w:val="24"/>
        </w:rPr>
        <w:t xml:space="preserve">经标准案例验证，本文方法与DL/T 1685—2017附录D真实色谱样本的检测分级、处置紧急度评价结果完全吻合。基于DL/T 722—2014附录E的17组故障样本测试表明，本文方法对变压器故障大类性质的判别准确率可达88.2%。</w:t>
      </w:r>
    </w:p>
    <w:p w14:paraId="5C251AF9">
      <w:pPr>
        <w:pStyle w:val="48"/>
        <w:spacing w:before="240"/>
        <w:ind w:firstLine="0"/>
      </w:pPr>
      <w:r>
        <w:rPr>
          <w:b w:val="0"/>
        </w:rPr>
        <w:t>关键词：油中溶解气体分析；智能体；在线监测；故障诊断；电力变压器</w:t>
      </w:r>
    </w:p>
    <w:p w14:paraId="68894B88">
      <w:pPr>
        <w:sectPr>
          <w:headerReference r:id="rId17" w:type="default"/>
          <w:pgSz w:w="11906" w:h="16838"/>
          <w:pgMar w:top="1701" w:right="1417" w:bottom="1417" w:left="1417" w:header="510" w:footer="851" w:gutter="0"/>
          <w:pgNumType w:start="1"/>
          <w:cols w:space="720" w:num="1"/>
          <w:docGrid w:type="linesAndChars" w:linePitch="312" w:charSpace="0"/>
        </w:sectPr>
      </w:pPr>
    </w:p>
    <w:p w14:paraId="04A6459E">
      <w:pPr>
        <w:pStyle w:val="21"/>
        <w:spacing w:before="156" w:beforeLines="50" w:line="360" w:lineRule="auto"/>
        <w:ind w:firstLine="602"/>
        <w:jc w:val="center"/>
        <w:rPr>
          <w:rFonts w:hint="default" w:ascii="Times New Roman Bold" w:hAnsi="Times New Roman Bold" w:cs="Times New Roman Bold"/>
          <w:b/>
          <w:bCs/>
          <w:sz w:val="30"/>
        </w:rPr>
      </w:pPr>
      <w:r>
        <w:rPr>
          <w:rFonts w:hint="default" w:ascii="Times New Roman Bold" w:hAnsi="Times New Roman Bold" w:cs="Times New Roman Bold"/>
          <w:b/>
          <w:bCs/>
          <w:sz w:val="30"/>
        </w:rPr>
        <w:t>Research and Implementation of an Analysis Agent for Dissolved Gas Analysis in Transformer Oil</w:t>
      </w:r>
    </w:p>
    <w:p w14:paraId="429F4987">
      <w:pPr>
        <w:pStyle w:val="14"/>
        <w:spacing w:before="156" w:beforeLines="50"/>
        <w:ind w:firstLine="6120" w:firstLineChars="2550"/>
        <w:jc w:val="both"/>
        <w:rPr>
          <w:rFonts w:hint="eastAsia"/>
        </w:rPr>
      </w:pPr>
      <w:r>
        <w:rPr>
          <w:rFonts w:hint="eastAsia"/>
        </w:rPr>
        <w:t xml:space="preserve">Author : </w:t>
      </w:r>
      <w:r>
        <w:rPr>
          <w:rFonts w:hint="eastAsia"/>
          <w:lang w:val="en-US" w:eastAsia="zh-CN"/>
        </w:rPr>
        <w:t>Chen Lirong</w:t>
      </w:r>
    </w:p>
    <w:p w14:paraId="7309B750">
      <w:pPr>
        <w:pStyle w:val="53"/>
        <w:spacing w:after="312"/>
        <w:ind w:firstLineChars="1250"/>
        <w:rPr>
          <w:rFonts w:hint="eastAsia"/>
          <w:lang w:val="en-US" w:eastAsia="zh-CN"/>
        </w:rPr>
      </w:pPr>
      <w:r>
        <w:rPr>
          <w:rFonts w:hint="eastAsia"/>
        </w:rPr>
        <w:t xml:space="preserve">                  Tutor : </w:t>
      </w:r>
      <w:r>
        <w:rPr>
          <w:rFonts w:hint="eastAsia"/>
          <w:lang w:val="en-US" w:eastAsia="zh-CN"/>
        </w:rPr>
        <w:t>Ruan</w:t>
      </w:r>
      <w:r>
        <w:rPr>
          <w:rFonts w:hint="eastAsia"/>
          <w:sz w:val="30"/>
        </w:rPr>
        <w:t xml:space="preserve"> </w:t>
      </w:r>
      <w:r>
        <w:rPr>
          <w:rFonts w:hint="eastAsia"/>
          <w:lang w:val="en-US" w:eastAsia="zh-CN"/>
        </w:rPr>
        <w:t>Li</w:t>
      </w:r>
    </w:p>
    <w:p w14:paraId="55D5AFD2">
      <w:pPr>
        <w:spacing w:after="312"/>
        <w:rPr>
          <w:rFonts w:hint="eastAsia"/>
          <w:b/>
          <w:bCs/>
        </w:rPr>
      </w:pPr>
      <w:r>
        <w:rPr>
          <w:rFonts w:hint="eastAsia"/>
          <w:b/>
          <w:bCs/>
        </w:rPr>
        <w:t>Abstract</w:t>
      </w:r>
    </w:p>
    <w:p w14:paraId="1A09267E">
      <w:pPr>
        <w:pStyle w:val="3"/>
        <w:keepNext w:val="0"/>
        <w:keepLines w:val="0"/>
        <w:pageBreakBefore w:val="0"/>
        <w:widowControl w:val="0"/>
        <w:kinsoku/>
        <w:wordWrap/>
        <w:overflowPunct/>
        <w:topLinePunct w:val="0"/>
        <w:autoSpaceDE/>
        <w:autoSpaceDN/>
        <w:bidi w:val="0"/>
        <w:adjustRightInd/>
        <w:snapToGrid/>
        <w:spacing w:line="360" w:lineRule="auto"/>
        <w:ind w:firstLine="420"/>
        <w:jc w:val="both"/>
        <w:textAlignment w:val="auto"/>
      </w:pPr>
      <w:r>
        <w:rPr>
          <w:rFonts w:hint="eastAsia"/>
          <w:b/>
          <w:bCs/>
        </w:rPr>
        <w:t xml:space="preserve">The analysis of dissolved gas in oil is an important means to judge the internal state of oil-immersed transformers. Therefore, when the equipment is abnormal, it can rely on the detection results of dissolved gas in oil to judge the actual situation inside the transformer. However, these practical methods, such as detection classification, gas production trend analysis, fault type determination and report writing, are scattered in different industry standard files and are not integrated together. For 220 kV and below oil-immersed transformers, this paper combines the existing industry standard requirements, implements these methods into the specific steps of fault determination, and then fixes the entire analysis process through the agent, and finally builds a set of online analysis process and prototype system that can be reviewed and verified.</w:t>
      </w:r>
    </w:p>
    <w:p w14:paraId="3BC2B861">
      <w:pPr>
        <w:pStyle w:val="3"/>
        <w:keepNext w:val="0"/>
        <w:keepLines w:val="0"/>
        <w:pageBreakBefore w:val="0"/>
        <w:widowControl w:val="0"/>
        <w:kinsoku/>
        <w:wordWrap/>
        <w:overflowPunct/>
        <w:topLinePunct w:val="0"/>
        <w:autoSpaceDE/>
        <w:autoSpaceDN/>
        <w:bidi w:val="0"/>
        <w:adjustRightInd/>
        <w:snapToGrid/>
        <w:spacing w:line="360" w:lineRule="auto"/>
        <w:ind w:firstLine="420"/>
        <w:jc w:val="both"/>
        <w:textAlignment w:val="auto"/>
      </w:pPr>
      <w:r>
        <w:rPr>
          <w:rFonts w:hint="eastAsia"/>
          <w:b/>
          <w:bCs/>
        </w:rPr>
        <w:t xml:space="preserve">This paper carried out four research work: First, according to DL/T 1498.2—2025 Table A.3 to carry out the detection classification, combined with DL/T 722—2014 relative gas production rate to calculate the total hydrocarbon month ring ratio, determine the disposal urgency, and issue a rising trend warning for the rapid growth of gas. The second is to establish a multi-rule collaborative fault discrimination mechanism, with the attention value 2, alarm or relative gas production rate over-attention as the trigger condition, and the characteristic gas method, three-ratio method, and Duval triangle method are used in parallel to complete the nature check and credibility labeling, and give fault types and test suggestions. The third is to design a seven-step analysis agent workflow to complete gas input, detection classification, gas production trend, disposal urgency, fault identification, monitoring decision-making, and report generation in turn. The judgment depends on the standard rules, and the large model only polishes the report text. The report is organized according to Appendix G of DL/T 722—2014, and the standard basis is recorded in the operation log. The fourth is to develop a prototype system to realize process scheduling, monitoring and decision-making, report generation, PDF export and analysis assistant, and each page shares the same set of algorithm results.</w:t>
      </w:r>
    </w:p>
    <w:p w14:paraId="1C94BBD1">
      <w:pPr>
        <w:pStyle w:val="3"/>
        <w:keepNext w:val="0"/>
        <w:keepLines w:val="0"/>
        <w:pageBreakBefore w:val="0"/>
        <w:widowControl w:val="0"/>
        <w:kinsoku/>
        <w:wordWrap/>
        <w:overflowPunct/>
        <w:topLinePunct w:val="0"/>
        <w:autoSpaceDE/>
        <w:autoSpaceDN/>
        <w:bidi w:val="0"/>
        <w:adjustRightInd/>
        <w:snapToGrid/>
        <w:spacing w:line="360" w:lineRule="auto"/>
        <w:ind w:firstLine="420"/>
        <w:jc w:val="both"/>
        <w:textAlignment w:val="auto"/>
      </w:pPr>
      <w:r>
        <w:rPr>
          <w:rFonts w:hint="eastAsia"/>
          <w:b/>
          <w:bCs/>
        </w:rPr>
        <w:t xml:space="preserve">It was verified by standard cases that the discriminant results of this method were completely consistent with the detection classification of real chromatographic samples in Appendix D of DL/T 1685—2017 and the evaluation results of disposal urgency. The test results of 17 groups of fault samples based on DL/T 722—2014 Appendix E show that the accuracy of the proposed method for distinguishing the nature of transformer faults can reach 88.2%.</w:t>
      </w:r>
    </w:p>
    <w:p w14:paraId="5CF09DC8">
      <w:pPr>
        <w:pStyle w:val="18"/>
        <w:spacing w:before="312" w:beforeLines="100" w:line="360" w:lineRule="auto"/>
        <w:ind w:left="1439" w:hanging="1228" w:hangingChars="512"/>
        <w:jc w:val="both"/>
        <w:sectPr>
          <w:headerReference r:id="rId18" w:type="default"/>
          <w:pgSz w:w="11906" w:h="16838"/>
          <w:pgMar w:top="1701" w:right="1417" w:bottom="1417" w:left="1417" w:header="510" w:footer="851" w:gutter="0"/>
          <w:cols w:space="720" w:num="1"/>
          <w:docGrid w:type="linesAndChars" w:linePitch="312" w:charSpace="0"/>
        </w:sectPr>
      </w:pPr>
      <w:r>
        <w:rPr>
          <w:b w:val="0"/>
        </w:rPr>
        <w:t xml:space="preserve">Keywords: analysis of dissolved gas in oil; intelligent agent; online monitoring; fault diagnosis; power transformer</w:t>
      </w:r>
    </w:p>
    <w:p w14:paraId="595F6E86">
      <w:pPr>
        <w:pStyle w:val="2"/>
        <w:bidi w:val="0"/>
        <w:rPr>
          <w:rFonts w:ascii="Times New Roman" w:hAnsi="Times New Roman" w:eastAsia="黑体"/>
          <w:b/>
          <w:sz w:val="32"/>
          <w:szCs w:val="32"/>
        </w:rPr>
      </w:pPr>
      <w:r>
        <w:rPr>
          <w:rFonts w:hint="eastAsia" w:ascii="Times New Roman" w:hAnsi="Times New Roman" w:eastAsia="黑体" w:cs="Times New Roman"/>
          <w:b/>
          <w:sz w:val="32"/>
          <w:szCs w:val="32"/>
          <w:lang w:val="en-US" w:eastAsia="zh-CN"/>
        </w:rPr>
        <w:t>目       录</w:t>
      </w:r>
      <w:r>
        <w:rPr>
          <w:rFonts w:ascii="Times New Roman" w:hAnsi="Times New Roman" w:eastAsia="黑体" w:cs="Times New Roman"/>
          <w:b/>
          <w:sz w:val="32"/>
          <w:szCs w:val="32"/>
        </w:rPr>
        <w:fldChar w:fldCharType="begin"/>
      </w:r>
      <w:r>
        <w:rPr>
          <w:rFonts w:ascii="Times New Roman" w:hAnsi="Times New Roman" w:eastAsia="黑体" w:cs="Times New Roman"/>
          <w:b/>
          <w:sz w:val="32"/>
          <w:szCs w:val="32"/>
        </w:rPr>
        <w:instrText xml:space="preserve">TOC \o "1-3" \h \u </w:instrText>
      </w:r>
      <w:r>
        <w:rPr>
          <w:rFonts w:ascii="Times New Roman" w:hAnsi="Times New Roman" w:eastAsia="黑体" w:cs="Times New Roman"/>
          <w:b/>
          <w:sz w:val="32"/>
          <w:szCs w:val="32"/>
        </w:rPr>
        <w:fldChar w:fldCharType="separate"/>
      </w:r>
    </w:p>
    <w:p w14:paraId="248FB539">
      <w:pPr>
        <w:pStyle w:val="28"/>
        <w:tabs>
          <w:tab w:val="right" w:leader="dot" w:pos="9072"/>
        </w:tabs>
        <w:spacing w:line="360" w:lineRule="auto"/>
      </w:pP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HYPERLINK \l _Toc1479115781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1  绪论</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_Toc1479115781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4</w:t>
      </w:r>
      <w:r>
        <w:rPr>
          <w:rFonts w:ascii="Times New Roman" w:hAnsi="Times New Roman" w:eastAsia="黑体" w:cs="Times New Roman"/>
          <w:sz w:val="24"/>
          <w:szCs w:val="24"/>
        </w:rPr>
        <w:fldChar w:fldCharType="end"/>
      </w:r>
      <w:r>
        <w:rPr>
          <w:rFonts w:ascii="Times New Roman" w:hAnsi="Times New Roman" w:eastAsia="黑体" w:cs="Times New Roman"/>
          <w:sz w:val="24"/>
          <w:szCs w:val="24"/>
        </w:rPr>
        <w:fldChar w:fldCharType="end"/>
      </w:r>
    </w:p>
    <w:p w14:paraId="08A74612">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_Toc228233595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1.1 研究背景</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_Toc228233595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8C65559">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_Toc516237623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1.1.1 电力变压器状态检修与在线监测需求</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_Toc516237623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434C1E9">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_Toc571795881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1.1.2 油中溶解气体分析及其标准依据</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_Toc571795881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34DEE2B">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_Toc184051642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1.1.3 标准散落与流程碎片化问题</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_Toc184051642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772F6CF">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_Toc979495414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1.2 国内外研究现状</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_Toc979495414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657B015">
      <w:pPr>
        <w:pStyle w:val="20"/>
        <w:tabs>
          <w:tab w:val="right" w:leader="dot" w:pos="9072"/>
        </w:tabs>
        <w:spacing w:line="360" w:lineRule="auto"/>
      </w:pPr>
      <w:r>
        <w:rPr>
          <w:rFonts w:ascii="Times New Roman" w:hAnsi="Times New Roman" w:eastAsia="宋体" w:cs="Times New Roman"/>
          <w:sz w:val="24"/>
          <w:szCs w:val="24"/>
        </w:rPr>
        <w:t>1.2.1 基于传统的油中溶解气体诊断方法</w:t>
      </w:r>
      <w:r>
        <w:rPr>
          <w:rFonts w:ascii="Times New Roman" w:hAnsi="Times New Roman" w:eastAsia="宋体" w:cs="Times New Roman"/>
          <w:sz w:val="24"/>
          <w:szCs w:val="24"/>
        </w:rPr>
        <w:tab/>
      </w:r>
      <w:r>
        <w:rPr>
          <w:rFonts w:ascii="Times New Roman" w:hAnsi="Times New Roman" w:eastAsia="宋体" w:cs="Times New Roman"/>
          <w:sz w:val="24"/>
          <w:szCs w:val="24"/>
        </w:rPr>
        <w:t>8</w:t>
      </w:r>
    </w:p>
    <w:p w14:paraId="62639913">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_Toc545321066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1.2.2 基于机器学习的油中溶解气体分析方法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_Toc545321066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BAE1205">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_Toc1898434513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1.2.3 智能体与大模型在电力设备诊断中的应用</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_Toc1898434513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021DE72">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_Toc1824316512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1.3 研究目的与意义</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_Toc1824316512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55D266F">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_Toc1663588965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1.3.1 研究目的</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_Toc1663588965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19D40CB">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_Toc1850134462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1.3.2 研究意义</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_Toc1850134462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396FC22">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_Toc1794177921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1.4 研究内容与论文结构</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_Toc1794177921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CE8B2C6">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_Toc1930430720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1.4.1 主要研究内容</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_Toc1930430720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82DE9FF">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_Toc566172164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1.4.2 论文结构安排</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_Toc566172164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19AD35B">
      <w:pPr>
        <w:pStyle w:val="28"/>
        <w:tabs>
          <w:tab w:val="right" w:leader="dot" w:pos="9072"/>
        </w:tabs>
        <w:spacing w:before="156" w:line="360" w:lineRule="auto"/>
      </w:pPr>
      <w:r>
        <w:rPr>
          <w:rFonts w:ascii="Times New Roman" w:hAnsi="Times New Roman" w:eastAsia="黑体" w:cs="Times New Roman"/>
          <w:b/>
          <w:sz w:val="24"/>
          <w:szCs w:val="24"/>
        </w:rPr>
        <w:t>2  基于行业标准判据的变压器油中溶解气体检测分级与预警智能分类技术</w:t>
      </w:r>
      <w:r>
        <w:rPr>
          <w:rFonts w:ascii="Times New Roman" w:hAnsi="Times New Roman" w:eastAsia="黑体" w:cs="Times New Roman"/>
          <w:b/>
          <w:sz w:val="24"/>
          <w:szCs w:val="24"/>
        </w:rPr>
        <w:tab/>
      </w:r>
      <w:r>
        <w:rPr>
          <w:rFonts w:ascii="Times New Roman" w:hAnsi="Times New Roman" w:eastAsia="黑体" w:cs="Times New Roman"/>
          <w:b/>
          <w:sz w:val="24"/>
          <w:szCs w:val="24"/>
        </w:rPr>
        <w:t>14</w:t>
      </w:r>
    </w:p>
    <w:p w14:paraId="7A92A1A8">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_Toc345293838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2.1 引言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_Toc345293838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AA060B5">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_Toc852721072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2.2 相关研究与问题分析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_Toc852721072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9A54FF3">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_Toc1524680673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2.3 演示数据与验证口径</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_Toc1524680673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9DA0C9E">
      <w:pPr>
        <w:pStyle w:val="34"/>
        <w:tabs>
          <w:tab w:val="right" w:leader="dot" w:pos="9072"/>
        </w:tabs>
        <w:spacing w:line="360" w:lineRule="auto"/>
      </w:pPr>
      <w:r>
        <w:rPr>
          <w:rFonts w:ascii="Times New Roman" w:hAnsi="Times New Roman" w:eastAsia="宋体" w:cs="Times New Roman"/>
          <w:b/>
          <w:sz w:val="24"/>
          <w:szCs w:val="24"/>
        </w:rPr>
        <w:t>2.4 基于在线监测行业标准的检测分级方法</w:t>
      </w:r>
      <w:r>
        <w:rPr>
          <w:rFonts w:ascii="Times New Roman" w:hAnsi="Times New Roman" w:eastAsia="宋体" w:cs="Times New Roman"/>
          <w:b/>
          <w:sz w:val="24"/>
          <w:szCs w:val="24"/>
        </w:rPr>
        <w:tab/>
      </w:r>
      <w:r>
        <w:rPr>
          <w:rFonts w:ascii="Times New Roman" w:hAnsi="Times New Roman" w:eastAsia="宋体" w:cs="Times New Roman"/>
          <w:b/>
          <w:sz w:val="24"/>
          <w:szCs w:val="24"/>
        </w:rPr>
        <w:t>15</w:t>
      </w:r>
    </w:p>
    <w:p w14:paraId="2F3381C2">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_Toc753882996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2.4.1 绝对浓度判据</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_Toc753882996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BEA9D1D">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_Toc357996472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2.4.2 绝对增量判据</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_Toc357996472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19BA0C6">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_Toc1745009657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2.4.3 相对增长速率判据</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_Toc1745009657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183B3F3">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_Toc193138120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2.4.4 落档策略与综合判定</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_Toc193138120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18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5E34711">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_Toc1224592223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2.5 基于产气速率的处置紧急度判定方法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_Toc1224592223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1714832">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_Toc238219113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2.6 基于相对产气速率的涨势预警方法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_Toc238219113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7D1E743">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_Toc839114183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2.7 分级告警信息组织与输出</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_Toc839114183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8A3F696">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_Toc466963832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2.8 方法验证与案例分析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_Toc466963832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B5B0BAB">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_Toc1355878286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2.8.1 方案设计与判定标准</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_Toc1355878286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77A3BA9">
      <w:pPr>
        <w:pStyle w:val="20"/>
        <w:tabs>
          <w:tab w:val="right" w:leader="dot" w:pos="9072"/>
        </w:tabs>
        <w:spacing w:line="360" w:lineRule="auto"/>
      </w:pPr>
      <w:r>
        <w:rPr>
          <w:rFonts w:ascii="Times New Roman" w:hAnsi="Times New Roman" w:eastAsia="宋体" w:cs="Times New Roman"/>
          <w:sz w:val="24"/>
          <w:szCs w:val="24"/>
        </w:rPr>
        <w:t>2.8.2 测试数据集设计与构建</w:t>
      </w:r>
      <w:r>
        <w:rPr>
          <w:rFonts w:ascii="Times New Roman" w:hAnsi="Times New Roman" w:eastAsia="宋体" w:cs="Times New Roman"/>
          <w:sz w:val="24"/>
          <w:szCs w:val="24"/>
        </w:rPr>
        <w:tab/>
      </w:r>
      <w:r>
        <w:rPr>
          <w:rFonts w:ascii="Times New Roman" w:hAnsi="Times New Roman" w:eastAsia="宋体" w:cs="Times New Roman"/>
          <w:sz w:val="24"/>
          <w:szCs w:val="24"/>
        </w:rPr>
        <w:t>22</w:t>
      </w:r>
    </w:p>
    <w:p w14:paraId="2F728886">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_Toc1571501404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2.8.3 运行环境</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_Toc1571501404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90871E4">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_Toc322722575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2.8.4 四档分级结果分析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_Toc322722575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4AADBB2">
      <w:pPr>
        <w:pStyle w:val="20"/>
        <w:tabs>
          <w:tab w:val="right" w:leader="dot" w:pos="9072"/>
        </w:tabs>
        <w:spacing w:line="360" w:lineRule="auto"/>
      </w:pPr>
      <w:r>
        <w:rPr>
          <w:rFonts w:ascii="Times New Roman" w:hAnsi="Times New Roman" w:eastAsia="宋体" w:cs="Times New Roman"/>
          <w:sz w:val="24"/>
          <w:szCs w:val="24"/>
        </w:rPr>
        <w:t>2.8.5 处置紧急度与涨势预警案例分析</w:t>
      </w:r>
      <w:r>
        <w:rPr>
          <w:rFonts w:ascii="Times New Roman" w:hAnsi="Times New Roman" w:eastAsia="宋体" w:cs="Times New Roman"/>
          <w:sz w:val="24"/>
          <w:szCs w:val="24"/>
        </w:rPr>
        <w:tab/>
      </w:r>
      <w:r>
        <w:rPr>
          <w:rFonts w:ascii="Times New Roman" w:hAnsi="Times New Roman" w:eastAsia="宋体" w:cs="Times New Roman"/>
          <w:sz w:val="24"/>
          <w:szCs w:val="24"/>
        </w:rPr>
        <w:t>23</w:t>
      </w:r>
    </w:p>
    <w:p w14:paraId="77821AD6">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_Toc1501879364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2.9 本章小结</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_Toc1501879364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EB00A5B">
      <w:pPr>
        <w:pStyle w:val="28"/>
        <w:tabs>
          <w:tab w:val="right" w:leader="dot" w:pos="9072"/>
        </w:tabs>
        <w:spacing w:before="156" w:line="360" w:lineRule="auto"/>
      </w:pP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HYPERLINK \l _Toc563683910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3  基于多规则协同的变压器油中溶解气体故障类型智能判断技术</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_Toc563683910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26</w:t>
      </w:r>
      <w:r>
        <w:rPr>
          <w:rFonts w:ascii="Times New Roman" w:hAnsi="Times New Roman" w:eastAsia="黑体" w:cs="Times New Roman"/>
          <w:sz w:val="24"/>
          <w:szCs w:val="24"/>
        </w:rPr>
        <w:fldChar w:fldCharType="end"/>
      </w:r>
      <w:r>
        <w:rPr>
          <w:rFonts w:ascii="Times New Roman" w:hAnsi="Times New Roman" w:eastAsia="黑体" w:cs="Times New Roman"/>
          <w:sz w:val="24"/>
          <w:szCs w:val="24"/>
        </w:rPr>
        <w:fldChar w:fldCharType="end"/>
      </w:r>
    </w:p>
    <w:p w14:paraId="2D1CB686">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_Toc1285108453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3.1 引言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_Toc1285108453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40A2534">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_Toc1574731692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3.2 相关研究与问题分析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_Toc1574731692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23CD9DA">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_Toc927081816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3.3 故障类型判断触发条件与适用边界</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_Toc927081816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BCE4AE0">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_Toc1470222527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3.4 基于特征气体法的故障类型判断方法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_Toc1470222527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44BFCBE">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_Toc1083168907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3.5 基于三比值法的故障类型判断方法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_Toc1083168907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5EE438E">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_Toc600944330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3.6 基于大卫三角形法的故障类型判断方法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_Toc600944330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694339A">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_Toc455762469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3.7 多规则协同判断与可信度标注方法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_Toc455762469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785CDE0">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_Toc2073131281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3.8 进一步试验建议输出方法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_Toc2073131281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F60C0EE">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_Toc195267192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3.9 方法验证与案例分析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_Toc195267192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9397531">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_Toc500683328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3.9.1 方案设计与判定标准</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_Toc500683328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ECE6132">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_Toc1143764750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3.9.2 测试数据集设计与构建</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_Toc1143764750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3517A34">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_Toc1128028953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3.9.3 运行环境</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_Toc1128028953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FA77F52">
      <w:pPr>
        <w:pStyle w:val="20"/>
        <w:tabs>
          <w:tab w:val="right" w:leader="dot" w:pos="9072"/>
        </w:tabs>
        <w:spacing w:line="360" w:lineRule="auto"/>
      </w:pPr>
      <w:r>
        <w:rPr>
          <w:rFonts w:ascii="Times New Roman" w:hAnsi="Times New Roman" w:eastAsia="宋体" w:cs="Times New Roman"/>
          <w:sz w:val="24"/>
          <w:szCs w:val="24"/>
        </w:rPr>
        <w:t>3.9.4 三方法一致性统计分析</w:t>
      </w:r>
      <w:r>
        <w:rPr>
          <w:rFonts w:ascii="Times New Roman" w:hAnsi="Times New Roman" w:eastAsia="宋体" w:cs="Times New Roman"/>
          <w:sz w:val="24"/>
          <w:szCs w:val="24"/>
        </w:rPr>
        <w:tab/>
      </w:r>
      <w:r>
        <w:rPr>
          <w:rFonts w:ascii="Times New Roman" w:hAnsi="Times New Roman" w:eastAsia="宋体" w:cs="Times New Roman"/>
          <w:sz w:val="24"/>
          <w:szCs w:val="24"/>
        </w:rPr>
        <w:t>35</w:t>
      </w:r>
    </w:p>
    <w:p w14:paraId="6D8BD1C9">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_Toc942899146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3.9.5 典型冲突样本案例分析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_Toc942899146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36434B4">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_Toc1024115609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3.10 本章小结</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_Toc1024115609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8BA6F5B">
      <w:pPr>
        <w:pStyle w:val="28"/>
        <w:tabs>
          <w:tab w:val="right" w:leader="dot" w:pos="9072"/>
        </w:tabs>
        <w:spacing w:before="156" w:line="360" w:lineRule="auto"/>
      </w:pP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HYPERLINK \l _Toc229609758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4  面向变压器油中溶解气体分析智能体设计与实现</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_Toc229609758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37</w:t>
      </w:r>
      <w:r>
        <w:rPr>
          <w:rFonts w:ascii="Times New Roman" w:hAnsi="Times New Roman" w:eastAsia="黑体" w:cs="Times New Roman"/>
          <w:sz w:val="24"/>
          <w:szCs w:val="24"/>
        </w:rPr>
        <w:fldChar w:fldCharType="end"/>
      </w:r>
      <w:r>
        <w:rPr>
          <w:rFonts w:ascii="Times New Roman" w:hAnsi="Times New Roman" w:eastAsia="黑体" w:cs="Times New Roman"/>
          <w:sz w:val="24"/>
          <w:szCs w:val="24"/>
        </w:rPr>
        <w:fldChar w:fldCharType="end"/>
      </w:r>
    </w:p>
    <w:p w14:paraId="6D05907B">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_Toc23089047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4.1 引言</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_Toc23089047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3F289B3">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_Toc1510556469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4.2 相关研究与问题分析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_Toc1510556469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8B69B64">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_Toc370899649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4.3 智能体整体架构设计</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_Toc370899649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CB32D32">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_Toc1712857149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4.4 智能体工作流设计</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_Toc1712857149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39</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C0CE98D">
      <w:pPr>
        <w:pStyle w:val="34"/>
        <w:tabs>
          <w:tab w:val="right" w:leader="dot" w:pos="9072"/>
        </w:tabs>
        <w:spacing w:line="360" w:lineRule="auto"/>
      </w:pPr>
      <w:r>
        <w:rPr>
          <w:rFonts w:ascii="Times New Roman" w:hAnsi="Times New Roman" w:eastAsia="宋体" w:cs="Times New Roman"/>
          <w:b/>
          <w:sz w:val="24"/>
          <w:szCs w:val="24"/>
        </w:rPr>
        <w:t>4.5 基于行业标准判据的监测决策机制设计</w:t>
      </w:r>
      <w:r>
        <w:rPr>
          <w:rFonts w:ascii="Times New Roman" w:hAnsi="Times New Roman" w:eastAsia="宋体" w:cs="Times New Roman"/>
          <w:b/>
          <w:sz w:val="24"/>
          <w:szCs w:val="24"/>
        </w:rPr>
        <w:tab/>
      </w:r>
      <w:r>
        <w:rPr>
          <w:rFonts w:ascii="Times New Roman" w:hAnsi="Times New Roman" w:eastAsia="宋体" w:cs="Times New Roman"/>
          <w:b/>
          <w:sz w:val="24"/>
          <w:szCs w:val="24"/>
        </w:rPr>
        <w:t>40</w:t>
      </w:r>
    </w:p>
    <w:p w14:paraId="54FAD4D2">
      <w:pPr>
        <w:pStyle w:val="34"/>
        <w:tabs>
          <w:tab w:val="right" w:leader="dot" w:pos="9072"/>
        </w:tabs>
        <w:spacing w:line="360" w:lineRule="auto"/>
      </w:pPr>
      <w:r>
        <w:rPr>
          <w:rFonts w:ascii="Times New Roman" w:hAnsi="Times New Roman" w:eastAsia="宋体" w:cs="Times New Roman"/>
          <w:b/>
          <w:sz w:val="24"/>
          <w:szCs w:val="24"/>
        </w:rPr>
        <w:t>4.6 面向行业标准报告版式的分析报告生成方法</w:t>
      </w:r>
      <w:r>
        <w:rPr>
          <w:rFonts w:ascii="Times New Roman" w:hAnsi="Times New Roman" w:eastAsia="宋体" w:cs="Times New Roman"/>
          <w:b/>
          <w:sz w:val="24"/>
          <w:szCs w:val="24"/>
        </w:rPr>
        <w:tab/>
      </w:r>
      <w:r>
        <w:rPr>
          <w:rFonts w:ascii="Times New Roman" w:hAnsi="Times New Roman" w:eastAsia="宋体" w:cs="Times New Roman"/>
          <w:b/>
          <w:sz w:val="24"/>
          <w:szCs w:val="24"/>
        </w:rPr>
        <w:t>41</w:t>
      </w:r>
    </w:p>
    <w:p w14:paraId="24F60E4C">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_Toc2027677758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4.7 判据条目与角标绑定方法</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_Toc2027677758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34C8226">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_Toc762084463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4.8 方法验证与案例分析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_Toc762084463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09F5865">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_Toc761098933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4.8.1 方案设计与判定标准</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_Toc761098933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EA1DB96">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_Toc1377165399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4.8.2 测试数据集设计与构建</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_Toc1377165399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F76327F">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_Toc440113627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4.8.3 运行环境</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_Toc440113627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8CD0E30">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_Toc1056048721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4.8.4 工作流执行与报告完整性分析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_Toc1056048721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B237038">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_Toc58511392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4.8.5 通用大语言模型直接作答的对照分析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_Toc58511392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70C86DC">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_Toc2000938665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4.9 本章小结</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_Toc2000938665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BD2547E">
      <w:pPr>
        <w:pStyle w:val="28"/>
        <w:tabs>
          <w:tab w:val="right" w:leader="dot" w:pos="9072"/>
        </w:tabs>
        <w:spacing w:before="156" w:line="360" w:lineRule="auto"/>
      </w:pP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HYPERLINK \l _Toc182230635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5  变压器油中溶解气体分析预警系统设计与实现</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_Toc182230635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44</w:t>
      </w:r>
      <w:r>
        <w:rPr>
          <w:rFonts w:ascii="Times New Roman" w:hAnsi="Times New Roman" w:eastAsia="黑体" w:cs="Times New Roman"/>
          <w:sz w:val="24"/>
          <w:szCs w:val="24"/>
        </w:rPr>
        <w:fldChar w:fldCharType="end"/>
      </w:r>
      <w:r>
        <w:rPr>
          <w:rFonts w:ascii="Times New Roman" w:hAnsi="Times New Roman" w:eastAsia="黑体" w:cs="Times New Roman"/>
          <w:sz w:val="24"/>
          <w:szCs w:val="24"/>
        </w:rPr>
        <w:fldChar w:fldCharType="end"/>
      </w:r>
    </w:p>
    <w:p w14:paraId="768051E9">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_Toc438601823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5.1 系统总体架构设计</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_Toc438601823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A9EF929">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_Toc1416962657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5.2 核心功能模块设计</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_Toc1416962657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4CCF1C9">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_Toc1445214616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5.2.1 检测分级与告警模块</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_Toc1445214616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A525221">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_Toc1682003542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5.2.2 故障类型判断模块</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_Toc1682003542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FD83E0C">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_Toc2106284933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5.2.3 智能体服务模块</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_Toc2106284933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9AFE078">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_Toc1210431783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5.3 数据库与数据流设计</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_Toc1210431783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229C6AC">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_Toc614388850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5.3.1 核心数据表与字段设计</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_Toc614388850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F7A78D8">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_Toc932027174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5.3.2 端到端数据流转设计</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_Toc932027174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89E4685">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_Toc834992200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5.4 原型系统实现与界面展示</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_Toc834992200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E1FC2F9">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_Toc2055755902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5.4.1 数据集页面</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_Toc2055755902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46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3C971E0">
      <w:pPr>
        <w:pStyle w:val="20"/>
        <w:tabs>
          <w:tab w:val="right" w:leader="dot" w:pos="9072"/>
        </w:tabs>
        <w:spacing w:line="360" w:lineRule="auto"/>
      </w:pPr>
      <w:r>
        <w:rPr>
          <w:rFonts w:ascii="Times New Roman" w:hAnsi="Times New Roman" w:eastAsia="宋体" w:cs="Times New Roman"/>
          <w:sz w:val="24"/>
          <w:szCs w:val="24"/>
        </w:rPr>
        <w:t>5.4.2 检测分级页面</w:t>
      </w:r>
      <w:r>
        <w:rPr>
          <w:rFonts w:ascii="Times New Roman" w:hAnsi="Times New Roman" w:eastAsia="宋体" w:cs="Times New Roman"/>
          <w:sz w:val="24"/>
          <w:szCs w:val="24"/>
        </w:rPr>
        <w:tab/>
      </w:r>
      <w:r>
        <w:rPr>
          <w:rFonts w:ascii="Times New Roman" w:hAnsi="Times New Roman" w:eastAsia="宋体" w:cs="Times New Roman"/>
          <w:sz w:val="24"/>
          <w:szCs w:val="24"/>
        </w:rPr>
        <w:t>47</w:t>
      </w:r>
    </w:p>
    <w:p w14:paraId="3A40079F">
      <w:pPr>
        <w:pStyle w:val="20"/>
        <w:tabs>
          <w:tab w:val="right" w:leader="dot" w:pos="9072"/>
        </w:tabs>
        <w:spacing w:line="360" w:lineRule="auto"/>
      </w:pPr>
      <w:r>
        <w:rPr>
          <w:rFonts w:ascii="Times New Roman" w:hAnsi="Times New Roman" w:eastAsia="宋体" w:cs="Times New Roman"/>
          <w:sz w:val="24"/>
          <w:szCs w:val="24"/>
        </w:rPr>
        <w:t>5.4.3 告警列表页面</w:t>
      </w:r>
      <w:r>
        <w:rPr>
          <w:rFonts w:ascii="Times New Roman" w:hAnsi="Times New Roman" w:eastAsia="宋体" w:cs="Times New Roman"/>
          <w:sz w:val="24"/>
          <w:szCs w:val="24"/>
        </w:rPr>
        <w:tab/>
      </w:r>
      <w:r>
        <w:rPr>
          <w:rFonts w:ascii="Times New Roman" w:hAnsi="Times New Roman" w:eastAsia="宋体" w:cs="Times New Roman"/>
          <w:sz w:val="24"/>
          <w:szCs w:val="24"/>
        </w:rPr>
        <w:t>47</w:t>
      </w:r>
    </w:p>
    <w:p w14:paraId="43DBD797">
      <w:pPr>
        <w:pStyle w:val="20"/>
        <w:tabs>
          <w:tab w:val="right" w:leader="dot" w:pos="9072"/>
        </w:tabs>
        <w:spacing w:line="360" w:lineRule="auto"/>
      </w:pPr>
      <w:r>
        <w:rPr>
          <w:rFonts w:ascii="Times New Roman" w:hAnsi="Times New Roman" w:eastAsia="宋体" w:cs="Times New Roman"/>
          <w:sz w:val="24"/>
          <w:szCs w:val="24"/>
        </w:rPr>
        <w:t>5.4.4 产气趋势页面</w:t>
      </w:r>
      <w:r>
        <w:rPr>
          <w:rFonts w:ascii="Times New Roman" w:hAnsi="Times New Roman" w:eastAsia="宋体" w:cs="Times New Roman"/>
          <w:sz w:val="24"/>
          <w:szCs w:val="24"/>
        </w:rPr>
        <w:tab/>
      </w:r>
      <w:r>
        <w:rPr>
          <w:rFonts w:ascii="Times New Roman" w:hAnsi="Times New Roman" w:eastAsia="宋体" w:cs="Times New Roman"/>
          <w:sz w:val="24"/>
          <w:szCs w:val="24"/>
        </w:rPr>
        <w:t>49</w:t>
      </w:r>
    </w:p>
    <w:p w14:paraId="5EB27354">
      <w:pPr>
        <w:pStyle w:val="20"/>
        <w:tabs>
          <w:tab w:val="right" w:leader="dot" w:pos="9072"/>
        </w:tabs>
        <w:spacing w:line="360" w:lineRule="auto"/>
      </w:pPr>
      <w:r>
        <w:rPr>
          <w:rFonts w:ascii="Times New Roman" w:hAnsi="Times New Roman" w:eastAsia="宋体" w:cs="Times New Roman"/>
          <w:sz w:val="24"/>
          <w:szCs w:val="24"/>
        </w:rPr>
        <w:t>5.4.5 决策列表页面</w:t>
      </w:r>
      <w:r>
        <w:rPr>
          <w:rFonts w:ascii="Times New Roman" w:hAnsi="Times New Roman" w:eastAsia="宋体" w:cs="Times New Roman"/>
          <w:sz w:val="24"/>
          <w:szCs w:val="24"/>
        </w:rPr>
        <w:tab/>
      </w:r>
      <w:r>
        <w:rPr>
          <w:rFonts w:ascii="Times New Roman" w:hAnsi="Times New Roman" w:eastAsia="宋体" w:cs="Times New Roman"/>
          <w:sz w:val="24"/>
          <w:szCs w:val="24"/>
        </w:rPr>
        <w:t>50</w:t>
      </w:r>
    </w:p>
    <w:p w14:paraId="5E08560A">
      <w:pPr>
        <w:pStyle w:val="20"/>
        <w:tabs>
          <w:tab w:val="right" w:leader="dot" w:pos="9072"/>
        </w:tabs>
        <w:spacing w:line="360" w:lineRule="auto"/>
      </w:pPr>
      <w:r>
        <w:rPr>
          <w:rFonts w:ascii="Times New Roman" w:hAnsi="Times New Roman" w:eastAsia="宋体" w:cs="Times New Roman"/>
          <w:sz w:val="24"/>
          <w:szCs w:val="24"/>
        </w:rPr>
        <w:t>5.4.6 故障判型页面</w:t>
      </w:r>
      <w:r>
        <w:rPr>
          <w:rFonts w:ascii="Times New Roman" w:hAnsi="Times New Roman" w:eastAsia="宋体" w:cs="Times New Roman"/>
          <w:sz w:val="24"/>
          <w:szCs w:val="24"/>
        </w:rPr>
        <w:tab/>
      </w:r>
      <w:r>
        <w:rPr>
          <w:rFonts w:ascii="Times New Roman" w:hAnsi="Times New Roman" w:eastAsia="宋体" w:cs="Times New Roman"/>
          <w:sz w:val="24"/>
          <w:szCs w:val="24"/>
        </w:rPr>
        <w:t>51</w:t>
      </w:r>
    </w:p>
    <w:p w14:paraId="6AFA03AA">
      <w:pPr>
        <w:pStyle w:val="20"/>
        <w:tabs>
          <w:tab w:val="right" w:leader="dot" w:pos="9072"/>
        </w:tabs>
        <w:spacing w:line="360" w:lineRule="auto"/>
      </w:pPr>
      <w:r>
        <w:rPr>
          <w:rFonts w:ascii="Times New Roman" w:hAnsi="Times New Roman" w:eastAsia="宋体" w:cs="Times New Roman"/>
          <w:sz w:val="24"/>
          <w:szCs w:val="24"/>
        </w:rPr>
        <w:t>5.4.7 智能体分析页面</w:t>
      </w:r>
      <w:r>
        <w:rPr>
          <w:rFonts w:ascii="Times New Roman" w:hAnsi="Times New Roman" w:eastAsia="宋体" w:cs="Times New Roman"/>
          <w:sz w:val="24"/>
          <w:szCs w:val="24"/>
        </w:rPr>
        <w:tab/>
      </w:r>
      <w:r>
        <w:rPr>
          <w:rFonts w:ascii="Times New Roman" w:hAnsi="Times New Roman" w:eastAsia="宋体" w:cs="Times New Roman"/>
          <w:sz w:val="24"/>
          <w:szCs w:val="24"/>
        </w:rPr>
        <w:t>52</w:t>
      </w:r>
    </w:p>
    <w:p w14:paraId="398786E1">
      <w:pPr>
        <w:pStyle w:val="20"/>
        <w:tabs>
          <w:tab w:val="right" w:leader="dot" w:pos="9072"/>
        </w:tabs>
        <w:spacing w:line="360" w:lineRule="auto"/>
      </w:pPr>
      <w:r>
        <w:rPr>
          <w:rFonts w:ascii="Times New Roman" w:hAnsi="Times New Roman" w:eastAsia="宋体" w:cs="Times New Roman"/>
          <w:sz w:val="24"/>
          <w:szCs w:val="24"/>
        </w:rPr>
        <w:t>5.4.8 分析报告与导出</w:t>
      </w:r>
      <w:r>
        <w:rPr>
          <w:rFonts w:ascii="Times New Roman" w:hAnsi="Times New Roman" w:eastAsia="宋体" w:cs="Times New Roman"/>
          <w:sz w:val="24"/>
          <w:szCs w:val="24"/>
        </w:rPr>
        <w:tab/>
      </w:r>
      <w:r>
        <w:rPr>
          <w:rFonts w:ascii="Times New Roman" w:hAnsi="Times New Roman" w:eastAsia="宋体" w:cs="Times New Roman"/>
          <w:sz w:val="24"/>
          <w:szCs w:val="24"/>
        </w:rPr>
        <w:t>54</w:t>
      </w:r>
    </w:p>
    <w:p w14:paraId="4F9EBE02">
      <w:pPr>
        <w:pStyle w:val="20"/>
        <w:tabs>
          <w:tab w:val="right" w:leader="dot" w:pos="9072"/>
        </w:tabs>
        <w:spacing w:line="360" w:lineRule="auto"/>
      </w:pPr>
      <w:r>
        <w:rPr>
          <w:rFonts w:ascii="Times New Roman" w:hAnsi="Times New Roman" w:eastAsia="宋体" w:cs="Times New Roman"/>
          <w:sz w:val="24"/>
          <w:szCs w:val="24"/>
        </w:rPr>
        <w:t>5.4.9 判据知识库页面</w:t>
      </w:r>
      <w:r>
        <w:rPr>
          <w:rFonts w:ascii="Times New Roman" w:hAnsi="Times New Roman" w:eastAsia="宋体" w:cs="Times New Roman"/>
          <w:sz w:val="24"/>
          <w:szCs w:val="24"/>
        </w:rPr>
        <w:tab/>
      </w:r>
      <w:r>
        <w:rPr>
          <w:rFonts w:ascii="Times New Roman" w:hAnsi="Times New Roman" w:eastAsia="宋体" w:cs="Times New Roman"/>
          <w:sz w:val="24"/>
          <w:szCs w:val="24"/>
        </w:rPr>
        <w:t>56</w:t>
      </w:r>
    </w:p>
    <w:p w14:paraId="1EB58B58">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_Toc776542200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5.5 系统验证与演示分析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_Toc776542200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3466FF1">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_Toc1086632581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5.5.1 端到端流程验证</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_Toc1086632581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08E9FE1E">
      <w:pPr>
        <w:pStyle w:val="20"/>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_Toc832854779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5.5.2 典型场景演示与结果分析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_Toc832854779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CC695C5">
      <w:pPr>
        <w:pStyle w:val="34"/>
        <w:tabs>
          <w:tab w:val="right" w:leader="dot" w:pos="9072"/>
        </w:tabs>
        <w:spacing w:line="360" w:lineRule="auto"/>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HYPERLINK \l _Toc491859507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5.6 本章小结</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_Toc491859507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58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26E3C87">
      <w:pPr>
        <w:pStyle w:val="28"/>
        <w:tabs>
          <w:tab w:val="right" w:leader="dot" w:pos="9072"/>
        </w:tabs>
        <w:spacing w:before="156" w:line="360" w:lineRule="auto"/>
      </w:pP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HYPERLINK \l _TocConclusion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结论与展望</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_TocConclusion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59</w:t>
      </w:r>
      <w:r>
        <w:rPr>
          <w:rFonts w:ascii="Times New Roman" w:hAnsi="Times New Roman" w:eastAsia="黑体" w:cs="Times New Roman"/>
          <w:sz w:val="24"/>
          <w:szCs w:val="24"/>
        </w:rPr>
        <w:fldChar w:fldCharType="end"/>
      </w:r>
      <w:r>
        <w:rPr>
          <w:rFonts w:ascii="Times New Roman" w:hAnsi="Times New Roman" w:eastAsia="黑体" w:cs="Times New Roman"/>
          <w:sz w:val="24"/>
          <w:szCs w:val="24"/>
        </w:rPr>
        <w:fldChar w:fldCharType="end"/>
      </w:r>
    </w:p>
    <w:p w14:paraId="0C7D8B24">
      <w:pPr>
        <w:pStyle w:val="28"/>
        <w:tabs>
          <w:tab w:val="right" w:leader="dot" w:pos="9072"/>
        </w:tabs>
        <w:spacing w:before="156" w:line="360" w:lineRule="auto"/>
      </w:pP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HYPERLINK \l _TocAck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致谢</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_TocAck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61</w:t>
      </w:r>
      <w:r>
        <w:rPr>
          <w:rFonts w:ascii="Times New Roman" w:hAnsi="Times New Roman" w:eastAsia="黑体" w:cs="Times New Roman"/>
          <w:sz w:val="24"/>
          <w:szCs w:val="24"/>
        </w:rPr>
        <w:fldChar w:fldCharType="end"/>
      </w:r>
      <w:r>
        <w:rPr>
          <w:rFonts w:ascii="Times New Roman" w:hAnsi="Times New Roman" w:eastAsia="黑体" w:cs="Times New Roman"/>
          <w:sz w:val="24"/>
          <w:szCs w:val="24"/>
        </w:rPr>
        <w:fldChar w:fldCharType="end"/>
      </w:r>
    </w:p>
    <w:p w14:paraId="7D634A05">
      <w:pPr>
        <w:pStyle w:val="28"/>
        <w:tabs>
          <w:tab w:val="right" w:leader="dot" w:pos="9072"/>
        </w:tabs>
        <w:spacing w:before="156" w:line="360" w:lineRule="auto"/>
      </w:pP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HYPERLINK \l _TocRefs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参考文献</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_TocRefs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62</w:t>
      </w:r>
      <w:r>
        <w:rPr>
          <w:rFonts w:ascii="Times New Roman" w:hAnsi="Times New Roman" w:eastAsia="黑体" w:cs="Times New Roman"/>
          <w:sz w:val="24"/>
          <w:szCs w:val="24"/>
        </w:rPr>
        <w:fldChar w:fldCharType="end"/>
      </w:r>
      <w:r>
        <w:rPr>
          <w:rFonts w:ascii="Times New Roman" w:hAnsi="Times New Roman" w:eastAsia="黑体" w:cs="Times New Roman"/>
          <w:sz w:val="24"/>
          <w:szCs w:val="24"/>
        </w:rPr>
        <w:fldChar w:fldCharType="end"/>
      </w:r>
    </w:p>
    <w:p w14:paraId="40F59343">
      <w:pPr>
        <w:pStyle w:val="28"/>
        <w:tabs>
          <w:tab w:val="right" w:leader="dot" w:pos="9072"/>
        </w:tabs>
        <w:spacing w:before="156" w:line="360" w:lineRule="auto"/>
      </w:pP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HYPERLINK \l _TocAppendixA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附录</w:t>
      </w:r>
      <w:r>
        <w:rPr>
          <w:rFonts w:ascii="Times New Roman" w:hAnsi="Times New Roman" w:eastAsia="黑体" w:cs="Times New Roman"/>
          <w:sz w:val="24"/>
          <w:szCs w:val="24"/>
        </w:rPr>
        <w:tab/>
      </w:r>
      <w:r>
        <w:rPr>
          <w:rFonts w:ascii="Times New Roman" w:hAnsi="Times New Roman" w:eastAsia="黑体" w:cs="Times New Roman"/>
          <w:sz w:val="24"/>
          <w:szCs w:val="24"/>
        </w:rPr>
        <w:fldChar w:fldCharType="begin"/>
      </w:r>
      <w:r>
        <w:rPr>
          <w:rFonts w:ascii="Times New Roman" w:hAnsi="Times New Roman" w:eastAsia="黑体" w:cs="Times New Roman"/>
          <w:sz w:val="24"/>
          <w:szCs w:val="24"/>
        </w:rPr>
        <w:instrText xml:space="preserve"> PAGEREF _TocAppendixA \h </w:instrText>
      </w:r>
      <w:r>
        <w:rPr>
          <w:rFonts w:ascii="Times New Roman" w:hAnsi="Times New Roman" w:eastAsia="黑体" w:cs="Times New Roman"/>
          <w:sz w:val="24"/>
          <w:szCs w:val="24"/>
        </w:rPr>
        <w:fldChar w:fldCharType="separate"/>
      </w:r>
      <w:r>
        <w:rPr>
          <w:rFonts w:ascii="Times New Roman" w:hAnsi="Times New Roman" w:eastAsia="黑体" w:cs="Times New Roman"/>
          <w:sz w:val="24"/>
          <w:szCs w:val="24"/>
        </w:rPr>
        <w:t>68</w:t>
      </w:r>
      <w:r>
        <w:rPr>
          <w:rFonts w:ascii="Times New Roman" w:hAnsi="Times New Roman" w:eastAsia="黑体" w:cs="Times New Roman"/>
          <w:sz w:val="24"/>
          <w:szCs w:val="24"/>
        </w:rPr>
        <w:fldChar w:fldCharType="end"/>
      </w:r>
      <w:r>
        <w:rPr>
          <w:rFonts w:ascii="Times New Roman" w:hAnsi="Times New Roman" w:eastAsia="黑体" w:cs="Times New Roman"/>
          <w:sz w:val="24"/>
          <w:szCs w:val="24"/>
        </w:rPr>
        <w:fldChar w:fldCharType="end"/>
      </w:r>
    </w:p>
    <w:p w14:paraId="02BA63A9">
      <w:r>
        <w:rPr>
          <w:rFonts w:ascii="Times New Roman" w:hAnsi="Times New Roman" w:eastAsia="宋体" w:cs="Times New Roman"/>
          <w:b w:val="0"/>
          <w:sz w:val="24"/>
          <w:szCs w:val="24"/>
        </w:rPr>
        <w:fldChar w:fldCharType="end"/>
      </w:r>
    </w:p>
    <w:p w14:paraId="65ABBB58">
      <w:pPr>
        <w:pStyle w:val="2"/>
        <w:pageBreakBefore/>
        <w:spacing w:before="480" w:after="360" w:line="360" w:lineRule="auto"/>
        <w:ind w:firstLine="0"/>
        <w:jc w:val="center"/>
      </w:pPr>
      <w:bookmarkStart w:id="0" w:name="_Toc218321276"/>
      <w:bookmarkStart w:id="1" w:name="_Toc1479115781"/>
      <w:r>
        <w:rPr>
          <w:rFonts w:ascii="Times New Roman" w:hAnsi="Times New Roman" w:eastAsia="黑体" w:cs="Times New Roman"/>
          <w:sz w:val="32"/>
          <w:szCs w:val="32"/>
        </w:rPr>
        <w:t>1  绪论</w:t>
      </w:r>
      <w:bookmarkEnd w:id="0"/>
      <w:bookmarkEnd w:id="1"/>
    </w:p>
    <w:p w14:paraId="2FA5421A">
      <w:pPr>
        <w:pStyle w:val="4"/>
        <w:spacing w:before="156" w:beforeLines="50" w:after="156" w:afterLines="50" w:line="360" w:lineRule="auto"/>
        <w:ind w:left="0"/>
        <w:jc w:val="both"/>
        <w:rPr>
          <w:rFonts w:hint="eastAsia" w:eastAsia="黑体"/>
          <w:b w:val="0"/>
          <w:bCs/>
          <w:sz w:val="24"/>
          <w:szCs w:val="18"/>
        </w:rPr>
      </w:pPr>
      <w:bookmarkStart w:id="2" w:name="_Toc228233595"/>
      <w:bookmarkStart w:id="3" w:name="_Toc1423616656"/>
      <w:r>
        <w:rPr>
          <w:rFonts w:hint="eastAsia" w:eastAsia="黑体"/>
          <w:b w:val="0"/>
          <w:bCs/>
          <w:sz w:val="24"/>
          <w:szCs w:val="18"/>
        </w:rPr>
        <w:t>1.1 研究背景</w:t>
      </w:r>
      <w:bookmarkEnd w:id="2"/>
      <w:bookmarkEnd w:id="3"/>
    </w:p>
    <w:p w14:paraId="2FC09FD8">
      <w:pPr>
        <w:pStyle w:val="6"/>
        <w:spacing w:before="120" w:after="120" w:line="360" w:lineRule="auto"/>
        <w:ind w:firstLine="0"/>
        <w:jc w:val="left"/>
        <w:rPr>
          <w:rFonts w:hint="eastAsia" w:ascii="Times New Roman" w:hAnsi="Times New Roman" w:eastAsia="黑体" w:cs="Times New Roman"/>
          <w:b w:val="0"/>
          <w:bCs/>
          <w:kern w:val="2"/>
          <w:sz w:val="24"/>
          <w:szCs w:val="18"/>
          <w:lang w:val="en-US" w:eastAsia="zh-CN" w:bidi="ar-SA"/>
        </w:rPr>
      </w:pPr>
      <w:bookmarkStart w:id="4" w:name="_Toc1609826165"/>
      <w:bookmarkStart w:id="5" w:name="_Toc516237623"/>
      <w:r>
        <w:rPr>
          <w:rFonts w:hint="eastAsia" w:ascii="Times New Roman" w:hAnsi="Times New Roman" w:eastAsia="黑体" w:cs="Times New Roman"/>
          <w:kern w:val="2"/>
          <w:sz w:val="24"/>
          <w:szCs w:val="18"/>
          <w:lang w:val="en-US" w:eastAsia="zh-CN" w:bidi="ar-SA"/>
        </w:rPr>
        <w:t xml:space="preserve">1.1.1 </w:t>
      </w:r>
      <w:r>
        <w:rPr>
          <w:rFonts w:hint="eastAsia" w:ascii="Times New Roman" w:hAnsi="Times New Roman" w:eastAsia="黑体" w:cs="Times New Roman"/>
          <w:b w:val="0"/>
          <w:bCs/>
          <w:kern w:val="2"/>
          <w:sz w:val="24"/>
          <w:szCs w:val="18"/>
          <w:lang w:val="en-US" w:eastAsia="zh-CN" w:bidi="ar-SA"/>
        </w:rPr>
        <w:t>电力变压器状态检修与在线监测需求</w:t>
      </w:r>
      <w:bookmarkEnd w:id="4"/>
      <w:bookmarkEnd w:id="5"/>
    </w:p>
    <w:p w14:paraId="5E0AD2F7">
      <w:pPr>
        <w:pStyle w:val="3"/>
        <w:spacing w:before="0" w:after="0" w:line="360" w:lineRule="auto"/>
        <w:ind w:firstLine="420"/>
        <w:jc w:val="both"/>
      </w:pPr>
      <w:r>
        <w:rPr>
          <w:rFonts w:ascii="Times New Roman" w:hAnsi="Times New Roman" w:eastAsia="宋体" w:cs="Times New Roman"/>
          <w:sz w:val="24"/>
          <w:szCs w:val="24"/>
        </w:rPr>
        <w:t xml:space="preserve">电力变压器是输变电网络中的关键设备，其安全稳定运行关系到电网可靠供电。变压器内部局部过热、放电类缺陷在早期往往不明显，仅靠人工现场巡视难以及时识别；缺陷若得不到及时管控，会持续损伤设备绝缘，严重时还可能引发变压器非计划停运事故。相关研究表明，状态监测与故障诊断是保障电网可靠运行的重要手段[21]。在《“十四五”现代能源体系规划》[1]与《加快构建新型电力系统行动方案（2024—2027年）》[2]推动下，设备运维逐步从传统定期检修、故障后抢修向状态检修、预防性运维转型，油中溶解气体连续监测是获取变压器内部状态的常用途径[14][16]。国内变压器存量规模庞大[48]，220kV及以上在运变电容量已超60亿千伏安，220kV及以下油浸式变压器数量更为可观，因此实现该类设备连续在线监测、规范状态分析的标准依据，是开展变压器状态检修首先要处理的问题。</w:t>
      </w:r>
    </w:p>
    <w:p w14:paraId="29DA7B29">
      <w:pPr>
        <w:pStyle w:val="3"/>
        <w:spacing w:before="0" w:after="0" w:line="360" w:lineRule="auto"/>
        <w:ind w:firstLine="420"/>
        <w:jc w:val="both"/>
      </w:pPr>
      <w:r>
        <w:rPr>
          <w:rFonts w:ascii="Times New Roman" w:hAnsi="Times New Roman" w:eastAsia="宋体" w:cs="Times New Roman"/>
          <w:sz w:val="24"/>
          <w:szCs w:val="24"/>
        </w:rPr>
        <w:t xml:space="preserve">与此同时，人工智能技术正在电力设备运维检修领域得到应用</w:t>
      </w:r>
      <w:r>
        <w:rPr>
          <w:rFonts w:ascii="Times New Roman" w:hAnsi="Times New Roman" w:eastAsia="宋体" w:cs="Times New Roman"/>
          <w:sz w:val="24"/>
          <w:szCs w:val="24"/>
          <w:vertAlign w:val="superscript"/>
        </w:rPr>
        <w:t xml:space="preserve">[12]</w:t>
      </w:r>
      <w:r>
        <w:rPr>
          <w:rFonts w:ascii="Times New Roman" w:hAnsi="Times New Roman" w:eastAsia="宋体" w:cs="Times New Roman"/>
          <w:sz w:val="24"/>
          <w:szCs w:val="24"/>
        </w:rPr>
        <w:t xml:space="preserve">，《关于推进“人工智能+”能源高质量发展的实施意见》将智能运维列为重点发展方向</w:t>
      </w:r>
      <w:r>
        <w:rPr>
          <w:rFonts w:ascii="Times New Roman" w:hAnsi="Times New Roman" w:eastAsia="宋体" w:cs="Times New Roman"/>
          <w:sz w:val="24"/>
          <w:szCs w:val="24"/>
          <w:vertAlign w:val="superscript"/>
        </w:rPr>
        <w:t xml:space="preserve">[3]</w:t>
      </w:r>
      <w:r>
        <w:rPr>
          <w:rFonts w:ascii="Times New Roman" w:hAnsi="Times New Roman" w:eastAsia="宋体" w:cs="Times New Roman"/>
          <w:sz w:val="24"/>
          <w:szCs w:val="24"/>
        </w:rPr>
        <w:t xml:space="preserve">，国家电网</w:t>
      </w:r>
      <w:r>
        <w:rPr>
          <w:rFonts w:ascii="Times New Roman" w:hAnsi="Times New Roman" w:eastAsia="宋体" w:cs="Times New Roman"/>
          <w:sz w:val="24"/>
          <w:szCs w:val="24"/>
          <w:vertAlign w:val="superscript"/>
        </w:rPr>
        <w:t xml:space="preserve">[4]</w:t>
      </w:r>
      <w:r>
        <w:rPr>
          <w:rFonts w:ascii="Times New Roman" w:hAnsi="Times New Roman" w:eastAsia="宋体" w:cs="Times New Roman"/>
          <w:sz w:val="24"/>
          <w:szCs w:val="24"/>
        </w:rPr>
        <w:t xml:space="preserve">与南方电网</w:t>
      </w:r>
      <w:r>
        <w:rPr>
          <w:rFonts w:ascii="Times New Roman" w:hAnsi="Times New Roman" w:eastAsia="宋体" w:cs="Times New Roman"/>
          <w:sz w:val="24"/>
          <w:szCs w:val="24"/>
          <w:vertAlign w:val="superscript"/>
        </w:rPr>
        <w:t xml:space="preserve">[5]</w:t>
      </w:r>
      <w:r>
        <w:rPr>
          <w:rFonts w:ascii="Times New Roman" w:hAnsi="Times New Roman" w:eastAsia="宋体" w:cs="Times New Roman"/>
          <w:sz w:val="24"/>
          <w:szCs w:val="24"/>
        </w:rPr>
        <w:t xml:space="preserve">也发布了相关白皮书和工作方案。但电力设备诊断直接关系供电安全，分析结论需要能够对照行业标准条文，不能脱离规范单纯依靠模型推断，基于这一现实要求，本文确定以行业标准规则作为判定准则，采用智能体编排分析流程的技术路线。</w:t>
      </w:r>
    </w:p>
    <w:p w14:paraId="142DDC25">
      <w:pPr>
        <w:pStyle w:val="6"/>
        <w:spacing w:before="120" w:after="120" w:line="360" w:lineRule="auto"/>
        <w:ind w:firstLine="0"/>
        <w:jc w:val="left"/>
      </w:pPr>
      <w:bookmarkStart w:id="6" w:name="_Toc571795881"/>
      <w:bookmarkStart w:id="7" w:name="_Toc201886602"/>
      <w:r>
        <w:rPr>
          <w:rFonts w:ascii="Times New Roman" w:hAnsi="Times New Roman" w:eastAsia="黑体" w:cs="Times New Roman"/>
          <w:sz w:val="24"/>
          <w:szCs w:val="24"/>
        </w:rPr>
        <w:t xml:space="preserve">1.1.2 </w:t>
      </w:r>
      <w:r>
        <w:rPr>
          <w:rFonts w:hint="eastAsia" w:ascii="Times New Roman" w:hAnsi="Times New Roman" w:eastAsia="黑体" w:cs="Times New Roman"/>
          <w:b w:val="0"/>
          <w:bCs/>
          <w:kern w:val="2"/>
          <w:sz w:val="24"/>
          <w:szCs w:val="18"/>
          <w:lang w:val="en-US" w:eastAsia="zh-CN" w:bidi="ar-SA"/>
        </w:rPr>
        <w:t>油中溶解气体分析及其标准依据</w:t>
      </w:r>
      <w:bookmarkEnd w:id="6"/>
      <w:bookmarkEnd w:id="7"/>
    </w:p>
    <w:p w14:paraId="42BAC299">
      <w:pPr>
        <w:pStyle w:val="3"/>
        <w:spacing w:before="0" w:after="0" w:line="360" w:lineRule="auto"/>
        <w:ind w:firstLine="420"/>
        <w:jc w:val="both"/>
      </w:pPr>
      <w:r>
        <w:rPr>
          <w:rFonts w:ascii="Times New Roman" w:hAnsi="Times New Roman" w:eastAsia="宋体" w:cs="Times New Roman"/>
          <w:sz w:val="24"/>
          <w:szCs w:val="24"/>
        </w:rPr>
        <w:t>油中溶解气体分析（Dissolved Gas Analysis，DGA）通过检测变压器油中氢气（H</w:t>
      </w:r>
      <w:r>
        <w:rPr>
          <w:rFonts w:hint="eastAsia" w:cs="Times New Roman"/>
          <w:sz w:val="24"/>
          <w:szCs w:val="24"/>
          <w:vertAlign w:val="subscript"/>
          <w:lang w:val="en-US" w:eastAsia="zh-CN"/>
        </w:rPr>
        <w:t>2</w:t>
      </w:r>
      <w:r>
        <w:rPr>
          <w:rFonts w:ascii="Times New Roman" w:hAnsi="Times New Roman" w:eastAsia="宋体" w:cs="Times New Roman"/>
          <w:sz w:val="24"/>
          <w:szCs w:val="24"/>
        </w:rPr>
        <w:t>）、甲烷（CH</w:t>
      </w:r>
      <w:r>
        <w:rPr>
          <w:rFonts w:hint="eastAsia" w:cs="Times New Roman"/>
          <w:sz w:val="24"/>
          <w:szCs w:val="24"/>
          <w:vertAlign w:val="subscript"/>
          <w:lang w:val="en-US" w:eastAsia="zh-CN"/>
        </w:rPr>
        <w:t>4</w:t>
      </w:r>
      <w:r>
        <w:rPr>
          <w:rFonts w:ascii="Times New Roman" w:hAnsi="Times New Roman" w:eastAsia="宋体" w:cs="Times New Roman"/>
          <w:sz w:val="24"/>
          <w:szCs w:val="24"/>
        </w:rPr>
        <w:t>）、乙烷（C</w:t>
      </w:r>
      <w:r>
        <w:rPr>
          <w:rFonts w:hint="eastAsia" w:cs="Times New Roman"/>
          <w:sz w:val="24"/>
          <w:szCs w:val="24"/>
          <w:vertAlign w:val="subscript"/>
          <w:lang w:val="en-US" w:eastAsia="zh-CN"/>
        </w:rPr>
        <w:t>2</w:t>
      </w:r>
      <w:r>
        <w:rPr>
          <w:rFonts w:ascii="Times New Roman" w:hAnsi="Times New Roman" w:eastAsia="宋体" w:cs="Times New Roman"/>
          <w:sz w:val="24"/>
          <w:szCs w:val="24"/>
        </w:rPr>
        <w:t>H</w:t>
      </w:r>
      <w:r>
        <w:rPr>
          <w:rFonts w:hint="eastAsia" w:cs="Times New Roman"/>
          <w:sz w:val="24"/>
          <w:szCs w:val="24"/>
          <w:vertAlign w:val="subscript"/>
          <w:lang w:val="en-US" w:eastAsia="zh-CN"/>
        </w:rPr>
        <w:t>6</w:t>
      </w:r>
      <w:r>
        <w:rPr>
          <w:rFonts w:ascii="Times New Roman" w:hAnsi="Times New Roman" w:eastAsia="宋体" w:cs="Times New Roman"/>
          <w:sz w:val="24"/>
          <w:szCs w:val="24"/>
        </w:rPr>
        <w:t>）、乙烯（C</w:t>
      </w:r>
      <w:r>
        <w:rPr>
          <w:rFonts w:hint="eastAsia" w:cs="Times New Roman"/>
          <w:sz w:val="24"/>
          <w:szCs w:val="24"/>
          <w:vertAlign w:val="subscript"/>
          <w:lang w:val="en-US" w:eastAsia="zh-CN"/>
        </w:rPr>
        <w:t>2</w:t>
      </w:r>
      <w:r>
        <w:rPr>
          <w:rFonts w:ascii="Times New Roman" w:hAnsi="Times New Roman" w:eastAsia="宋体" w:cs="Times New Roman"/>
          <w:sz w:val="24"/>
          <w:szCs w:val="24"/>
        </w:rPr>
        <w:t>H</w:t>
      </w:r>
      <w:r>
        <w:rPr>
          <w:rFonts w:hint="eastAsia" w:cs="Times New Roman"/>
          <w:sz w:val="24"/>
          <w:szCs w:val="24"/>
          <w:vertAlign w:val="subscript"/>
          <w:lang w:val="en-US" w:eastAsia="zh-CN"/>
        </w:rPr>
        <w:t>4</w:t>
      </w:r>
      <w:r>
        <w:rPr>
          <w:rFonts w:ascii="Times New Roman" w:hAnsi="Times New Roman" w:eastAsia="宋体" w:cs="Times New Roman"/>
          <w:sz w:val="24"/>
          <w:szCs w:val="24"/>
        </w:rPr>
        <w:t>）、乙炔（C</w:t>
      </w:r>
      <w:r>
        <w:rPr>
          <w:rFonts w:hint="eastAsia" w:cs="Times New Roman"/>
          <w:sz w:val="24"/>
          <w:szCs w:val="24"/>
          <w:vertAlign w:val="subscript"/>
          <w:lang w:val="en-US" w:eastAsia="zh-CN"/>
        </w:rPr>
        <w:t>2</w:t>
      </w:r>
      <w:r>
        <w:rPr>
          <w:rFonts w:ascii="Times New Roman" w:hAnsi="Times New Roman" w:eastAsia="宋体" w:cs="Times New Roman"/>
          <w:sz w:val="24"/>
          <w:szCs w:val="24"/>
        </w:rPr>
        <w:t>H</w:t>
      </w:r>
      <w:r>
        <w:rPr>
          <w:rFonts w:hint="eastAsia" w:cs="Times New Roman"/>
          <w:sz w:val="24"/>
          <w:szCs w:val="24"/>
          <w:vertAlign w:val="subscript"/>
          <w:lang w:val="en-US" w:eastAsia="zh-CN"/>
        </w:rPr>
        <w:t>2</w:t>
      </w:r>
      <w:r>
        <w:rPr>
          <w:rFonts w:ascii="Times New Roman" w:hAnsi="Times New Roman" w:eastAsia="宋体" w:cs="Times New Roman"/>
          <w:sz w:val="24"/>
          <w:szCs w:val="24"/>
        </w:rPr>
        <w:t>）、一氧化碳（CO）与二氧化碳（CO</w:t>
      </w:r>
      <w:r>
        <w:rPr>
          <w:rFonts w:hint="eastAsia" w:cs="Times New Roman"/>
          <w:sz w:val="24"/>
          <w:szCs w:val="24"/>
          <w:vertAlign w:val="subscript"/>
          <w:lang w:val="en-US" w:eastAsia="zh-CN"/>
        </w:rPr>
        <w:t>2</w:t>
      </w:r>
      <w:r>
        <w:rPr>
          <w:rFonts w:ascii="Times New Roman" w:hAnsi="Times New Roman" w:eastAsia="宋体" w:cs="Times New Roman"/>
          <w:sz w:val="24"/>
          <w:szCs w:val="24"/>
        </w:rPr>
        <w:t>）等特征气体的含量及其变化规律，推断变压器内部是否存在过热、放电等潜伏性故障。DGA对早期潜伏性故障探测灵敏度高，是识别变压器内部异常的常用有效手段之一，并形成了以特征气体法和产气速率法为代表的诊断体系</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lang w:val="en-US"/>
        </w:rPr>
        <w:instrText xml:space="preserve"> REF _Ref348373302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[6]</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vertAlign w:val="superscript"/>
          <w:lang w:val="en-US"/>
        </w:rPr>
        <w:fldChar w:fldCharType="begin"/>
      </w:r>
      <w:r>
        <w:instrText xml:space="preserve"> REF _RefCite013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[13]</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。相关方法已经过长期实践检验：特征气体法按产气组分判断故障性质，三比值法通过编码查表给出故障类型，大卫三角形法则用平面分区作补充判断</w:t>
      </w:r>
      <w:r>
        <w:rPr>
          <w:rFonts w:hint="default" w:ascii="Times New Roman" w:hAnsi="Times New Roman" w:eastAsia="宋体" w:cs="Times New Roman"/>
          <w:sz w:val="24"/>
          <w:szCs w:val="24"/>
          <w:vertAlign w:val="superscript"/>
          <w:lang w:val="en-US"/>
        </w:rPr>
        <w:fldChar w:fldCharType="begin"/>
      </w:r>
      <w:r>
        <w:instrText xml:space="preserve"> REF _RefCite026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[26]</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vertAlign w:val="superscript"/>
          <w:lang w:val="en-US"/>
        </w:rPr>
        <w:fldChar w:fldCharType="begin"/>
      </w:r>
      <w:r>
        <w:instrText xml:space="preserve"> REF _RefCite035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[35]</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。随着在线监测技术发展，DGA已从定期实验室化验扩展到在线连续监测；相关装置准确性与监测方法也持续受到研究关注</w:t>
      </w:r>
      <w:r>
        <w:rPr>
          <w:rFonts w:hint="default" w:ascii="Times New Roman" w:hAnsi="Times New Roman" w:eastAsia="宋体" w:cs="Times New Roman"/>
          <w:sz w:val="24"/>
          <w:szCs w:val="24"/>
          <w:vertAlign w:val="superscript"/>
          <w:lang w:val="en-US"/>
        </w:rPr>
        <w:fldChar w:fldCharType="begin"/>
      </w:r>
      <w:r>
        <w:instrText xml:space="preserve"> REF _RefCite027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[27]</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vertAlign w:val="superscript"/>
          <w:lang w:val="en-US"/>
        </w:rPr>
        <w:fldChar w:fldCharType="begin"/>
      </w:r>
      <w:r>
        <w:instrText xml:space="preserve"> REF _RefCite030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[30]</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vertAlign w:val="superscript"/>
          <w:lang w:val="en-US"/>
        </w:rPr>
        <w:fldChar w:fldCharType="begin"/>
      </w:r>
      <w:r>
        <w:instrText xml:space="preserve"> REF _RefCite031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[31]</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w:t>
      </w:r>
    </w:p>
    <w:p w14:paraId="6B58E922">
      <w:pPr>
        <w:pStyle w:val="3"/>
        <w:spacing w:before="0" w:after="0" w:line="360" w:lineRule="auto"/>
        <w:ind w:firstLine="420"/>
        <w:jc w:val="both"/>
      </w:pPr>
      <w:r>
        <w:rPr>
          <w:rFonts w:ascii="Times New Roman" w:hAnsi="Times New Roman" w:eastAsia="宋体" w:cs="Times New Roman"/>
          <w:sz w:val="24"/>
          <w:szCs w:val="24"/>
        </w:rPr>
        <w:t>一次完整的在线DGA分析可大致理解为对变压器做一次“体检”：先测得各项气体指标，再判定指标落在哪一档，再看指标是否持续上升，最后综合判断故障类型、给出进一步试验建议并形成分析报告。这些要求并不是写在同一份标准里，而是分散在多部行业标准中；各标准分别对应上述不同环节。</w:t>
      </w:r>
    </w:p>
    <w:p w14:paraId="38BADA94">
      <w:pPr>
        <w:pStyle w:val="3"/>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《变压器油中溶解气体分析和判断导则》（DL/T 722—2014）</w:t>
      </w:r>
      <w:r>
        <w:rPr>
          <w:rFonts w:hint="default" w:ascii="Times New Roman" w:hAnsi="Times New Roman" w:eastAsia="宋体" w:cs="Times New Roman"/>
          <w:sz w:val="24"/>
          <w:szCs w:val="24"/>
          <w:vertAlign w:val="superscript"/>
          <w:lang w:val="en-US"/>
        </w:rPr>
        <w:fldChar w:fldCharType="begin"/>
      </w:r>
      <w:r>
        <w:instrText xml:space="preserve"> REF _Ref348373302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[6]</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规定了注意值、产气速率和故障类型判断方法，也给出了进一步试验建议与分析报告的内容框架。该标准主要对应产气趋势、故障类型判断、进一步试验建议和分析报告等环节。</w:t>
      </w:r>
    </w:p>
    <w:p w14:paraId="5DBB2FA9">
      <w:pPr>
        <w:pStyle w:val="3"/>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 xml:space="preserve">一次完整的在线DGA分析可以理解为对变压器做一次“体检”：先测得各项气体指标，再判断指标处于哪一档，然后观察是否持续上升，最后综合判断故障类型、给出进一步试验建议并形成分析报告。这些要求并不是写在同一份标准里，而是分散在多部行业标准中；各标准分别对应上述不同环节。</w:t>
      </w:r>
    </w:p>
    <w:p w14:paraId="6A7A0659">
      <w:pPr>
        <w:pStyle w:val="3"/>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《油浸式变压器（电抗器）状态评价导则》（DL/T 1685—2017）</w:t>
      </w:r>
      <w:r>
        <w:rPr>
          <w:rFonts w:hint="default" w:ascii="Times New Roman" w:hAnsi="Times New Roman" w:eastAsia="宋体" w:cs="Times New Roman"/>
          <w:sz w:val="24"/>
          <w:szCs w:val="24"/>
          <w:vertAlign w:val="superscript"/>
          <w:lang w:val="en-US"/>
        </w:rPr>
        <w:fldChar w:fldCharType="begin"/>
      </w:r>
      <w:r>
        <w:instrText xml:space="preserve"> REF _RefCite008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[8]</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给出了可对照的补充试验项目清单。</w:t>
      </w:r>
    </w:p>
    <w:p w14:paraId="454AF6C3">
      <w:pPr>
        <w:pStyle w:val="3"/>
        <w:spacing w:before="0" w:after="0" w:line="360" w:lineRule="auto"/>
        <w:ind w:firstLine="420"/>
        <w:jc w:val="both"/>
      </w:pPr>
      <w:r>
        <w:rPr>
          <w:rFonts w:ascii="Times New Roman" w:hAnsi="Times New Roman" w:eastAsia="宋体" w:cs="Times New Roman"/>
          <w:sz w:val="24"/>
          <w:szCs w:val="24"/>
        </w:rPr>
        <w:t>三部标准与一次完整分析环节的对应关系如表1.1所示。</w:t>
      </w:r>
    </w:p>
    <w:p w14:paraId="56F9B9DA">
      <w:pPr>
        <w:pStyle w:val="15"/>
        <w:spacing w:before="120" w:after="120" w:line="360" w:lineRule="auto"/>
        <w:ind w:firstLine="0"/>
        <w:jc w:val="center"/>
      </w:pPr>
      <w:r>
        <w:rPr>
          <w:rFonts w:ascii="Times New Roman" w:hAnsi="Times New Roman" w:eastAsia="黑体" w:cs="Times New Roman"/>
          <w:b/>
          <w:bCs/>
          <w:sz w:val="21"/>
          <w:szCs w:val="21"/>
        </w:rPr>
        <w:t>表1.1 三部行业标准与在线DGA分析环节对应关系</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24"/>
        <w:gridCol w:w="3024"/>
        <w:gridCol w:w="3024"/>
      </w:tblGrid>
      <w:tr w14:paraId="7F91653F">
        <w:tc>
          <w:tcPr>
            <w:tcW w:w="3024" w:type="dxa"/>
            <w:tcBorders>
              <w:bottom w:val="single" w:color="000000" w:sz="6" w:space="0"/>
            </w:tcBorders>
          </w:tcPr>
          <w:p w14:paraId="0903725B">
            <w:pPr>
              <w:spacing w:before="40" w:after="40" w:line="276" w:lineRule="auto"/>
              <w:jc w:val="center"/>
            </w:pPr>
            <w:r>
              <w:rPr>
                <w:rFonts w:ascii="Times New Roman" w:hAnsi="Times New Roman" w:eastAsia="宋体" w:cs="Times New Roman"/>
                <w:sz w:val="21"/>
                <w:szCs w:val="21"/>
              </w:rPr>
              <w:t>标准</w:t>
            </w:r>
          </w:p>
        </w:tc>
        <w:tc>
          <w:tcPr>
            <w:tcW w:w="3024" w:type="dxa"/>
            <w:tcBorders>
              <w:bottom w:val="single" w:color="000000" w:sz="6" w:space="0"/>
            </w:tcBorders>
          </w:tcPr>
          <w:p w14:paraId="3995E561">
            <w:pPr>
              <w:spacing w:before="40" w:after="40" w:line="276" w:lineRule="auto"/>
              <w:jc w:val="center"/>
            </w:pPr>
            <w:r>
              <w:rPr>
                <w:rFonts w:ascii="Times New Roman" w:hAnsi="Times New Roman" w:eastAsia="宋体" w:cs="Times New Roman"/>
                <w:sz w:val="21"/>
                <w:szCs w:val="21"/>
              </w:rPr>
              <w:t>主要承载环节</w:t>
            </w:r>
          </w:p>
        </w:tc>
        <w:tc>
          <w:tcPr>
            <w:tcW w:w="3024" w:type="dxa"/>
            <w:tcBorders>
              <w:bottom w:val="single" w:color="000000" w:sz="6" w:space="0"/>
            </w:tcBorders>
          </w:tcPr>
          <w:p w14:paraId="13AF69DB">
            <w:pPr>
              <w:spacing w:before="40" w:after="40" w:line="276" w:lineRule="auto"/>
              <w:jc w:val="center"/>
            </w:pPr>
            <w:r>
              <w:rPr>
                <w:rFonts w:ascii="Times New Roman" w:hAnsi="Times New Roman" w:eastAsia="宋体" w:cs="Times New Roman"/>
                <w:sz w:val="21"/>
                <w:szCs w:val="21"/>
              </w:rPr>
              <w:t>关键输出</w:t>
            </w:r>
          </w:p>
        </w:tc>
      </w:tr>
      <w:tr w14:paraId="00124D50">
        <w:tc>
          <w:tcPr>
            <w:tcW w:w="3024" w:type="dxa"/>
          </w:tcPr>
          <w:p w14:paraId="5943E5E5">
            <w:pPr>
              <w:spacing w:before="40" w:after="40" w:line="276" w:lineRule="auto"/>
              <w:jc w:val="center"/>
            </w:pPr>
            <w:r>
              <w:rPr>
                <w:rFonts w:ascii="Times New Roman" w:hAnsi="Times New Roman" w:eastAsia="宋体" w:cs="Times New Roman"/>
                <w:sz w:val="21"/>
                <w:szCs w:val="21"/>
              </w:rPr>
              <w:t>DL/T 1498.2—2025</w:t>
            </w:r>
          </w:p>
        </w:tc>
        <w:tc>
          <w:tcPr>
            <w:tcW w:w="3024" w:type="dxa"/>
          </w:tcPr>
          <w:p w14:paraId="32CE8729">
            <w:pPr>
              <w:spacing w:before="40" w:after="40" w:line="276" w:lineRule="auto"/>
              <w:jc w:val="center"/>
            </w:pPr>
            <w:r>
              <w:rPr>
                <w:rFonts w:ascii="Times New Roman" w:hAnsi="Times New Roman" w:eastAsia="宋体" w:cs="Times New Roman"/>
                <w:sz w:val="21"/>
                <w:szCs w:val="21"/>
              </w:rPr>
              <w:t>检测分级</w:t>
            </w:r>
          </w:p>
        </w:tc>
        <w:tc>
          <w:tcPr>
            <w:tcW w:w="3024" w:type="dxa"/>
          </w:tcPr>
          <w:p w14:paraId="669CD530">
            <w:pPr>
              <w:spacing w:before="40" w:after="40" w:line="276" w:lineRule="auto"/>
              <w:jc w:val="center"/>
            </w:pPr>
            <w:r>
              <w:rPr>
                <w:rFonts w:ascii="Times New Roman" w:hAnsi="Times New Roman" w:eastAsia="宋体" w:cs="Times New Roman"/>
                <w:sz w:val="21"/>
                <w:szCs w:val="21"/>
              </w:rPr>
              <w:t>正常 / 注意值1 / 注意值2 / 告警值</w:t>
            </w:r>
          </w:p>
        </w:tc>
      </w:tr>
      <w:tr w14:paraId="558EF9E8">
        <w:tc>
          <w:tcPr>
            <w:tcW w:w="3024" w:type="dxa"/>
          </w:tcPr>
          <w:p w14:paraId="1D9A34DF">
            <w:pPr>
              <w:spacing w:before="40" w:after="40" w:line="276" w:lineRule="auto"/>
              <w:jc w:val="center"/>
            </w:pPr>
            <w:r>
              <w:rPr>
                <w:rFonts w:ascii="Times New Roman" w:hAnsi="Times New Roman" w:eastAsia="宋体" w:cs="Times New Roman"/>
                <w:sz w:val="21"/>
                <w:szCs w:val="21"/>
              </w:rPr>
              <w:t>DL/T 722—2014</w:t>
            </w:r>
          </w:p>
        </w:tc>
        <w:tc>
          <w:tcPr>
            <w:tcW w:w="3024" w:type="dxa"/>
          </w:tcPr>
          <w:p w14:paraId="662D0B01">
            <w:pPr>
              <w:spacing w:before="40" w:after="40" w:line="276" w:lineRule="auto"/>
              <w:jc w:val="center"/>
            </w:pPr>
            <w:r>
              <w:rPr>
                <w:rFonts w:ascii="Times New Roman" w:hAnsi="Times New Roman" w:eastAsia="宋体" w:cs="Times New Roman"/>
                <w:sz w:val="21"/>
                <w:szCs w:val="21"/>
              </w:rPr>
              <w:t>产气趋势、故障判型、试验建议、分析报告</w:t>
            </w:r>
          </w:p>
        </w:tc>
        <w:tc>
          <w:tcPr>
            <w:tcW w:w="3024" w:type="dxa"/>
          </w:tcPr>
          <w:p w14:paraId="3D41B48C">
            <w:pPr>
              <w:spacing w:before="40" w:after="40" w:line="276" w:lineRule="auto"/>
              <w:jc w:val="center"/>
            </w:pPr>
            <w:r>
              <w:rPr>
                <w:rFonts w:ascii="Times New Roman" w:hAnsi="Times New Roman" w:eastAsia="宋体" w:cs="Times New Roman"/>
                <w:sz w:val="24"/>
              </w:rPr>
              <w:t>总烃月环比、故障类型、试验清单、分析报告</w:t>
            </w:r>
          </w:p>
        </w:tc>
      </w:tr>
      <w:tr w14:paraId="7DCC74C8">
        <w:tc>
          <w:tcPr>
            <w:tcW w:w="3024" w:type="dxa"/>
          </w:tcPr>
          <w:p w14:paraId="5865FEDC">
            <w:pPr>
              <w:spacing w:before="40" w:after="40" w:line="276" w:lineRule="auto"/>
              <w:jc w:val="center"/>
            </w:pPr>
            <w:r>
              <w:rPr>
                <w:rFonts w:ascii="Times New Roman" w:hAnsi="Times New Roman" w:eastAsia="宋体" w:cs="Times New Roman"/>
                <w:sz w:val="21"/>
                <w:szCs w:val="21"/>
              </w:rPr>
              <w:t>DL/T 1685—2017</w:t>
            </w:r>
          </w:p>
        </w:tc>
        <w:tc>
          <w:tcPr>
            <w:tcW w:w="3024" w:type="dxa"/>
          </w:tcPr>
          <w:p w14:paraId="58C7519C">
            <w:pPr>
              <w:spacing w:before="40" w:after="40" w:line="276" w:lineRule="auto"/>
              <w:jc w:val="center"/>
            </w:pPr>
            <w:r>
              <w:rPr>
                <w:rFonts w:ascii="Times New Roman" w:hAnsi="Times New Roman" w:eastAsia="宋体" w:cs="Times New Roman"/>
                <w:sz w:val="21"/>
                <w:szCs w:val="21"/>
              </w:rPr>
              <w:t>状态评价案例与试验项目补充</w:t>
            </w:r>
          </w:p>
        </w:tc>
        <w:tc>
          <w:tcPr>
            <w:tcW w:w="3024" w:type="dxa"/>
          </w:tcPr>
          <w:p w14:paraId="3F0915BC">
            <w:pPr>
              <w:spacing w:before="40" w:after="40" w:line="276" w:lineRule="auto"/>
              <w:jc w:val="center"/>
            </w:pPr>
            <w:r>
              <w:rPr>
                <w:rFonts w:ascii="Times New Roman" w:hAnsi="Times New Roman" w:eastAsia="宋体" w:cs="Times New Roman"/>
                <w:sz w:val="21"/>
                <w:szCs w:val="21"/>
              </w:rPr>
              <w:t>附录D 真值对照、附录B 试验细项</w:t>
            </w:r>
          </w:p>
        </w:tc>
      </w:tr>
    </w:tbl>
    <w:p w14:paraId="6A124E62">
      <w:r>
        <w:t xml:space="preserve">《变电设备在线监测装置技术规范 第2部分：变压器油中溶解气体在线监测装置》（DL/T 1498.2—2025）[7]要求在线监测后台具备分析、诊断与展示功能，并在附录表A.3中给出220kV及以下设备的检测分级门槛。该标准主要回答“当前指标落在哪一档”；其后台诊断功能要求与DL/T 722—2014中的故障类型判断方法各有侧重，并不互相替代。本文将DL/T 722—2014给出的含量注意值与表A.3的注意值2对齐；注意值1为在线监测增设的早期关注档，DL/T 722—2014未单列该档。</w:t>
      </w:r>
    </w:p>
    <w:p w14:paraId="4F7C2C01">
      <w:pPr>
        <w:pStyle w:val="3"/>
        <w:spacing w:before="0" w:after="0" w:line="360" w:lineRule="auto"/>
        <w:ind w:firstLine="420"/>
        <w:jc w:val="both"/>
      </w:pPr>
      <w:r>
        <w:rPr>
          <w:rFonts w:ascii="Times New Roman" w:hAnsi="Times New Roman" w:eastAsia="宋体" w:cs="Times New Roman"/>
          <w:b w:val="0"/>
          <w:sz w:val="24"/>
          <w:szCs w:val="24"/>
        </w:rPr>
        <w:t xml:space="preserve">可以看出，一次完整分析所需的“检测分级—产气趋势—故障判型—试验建议—分析报告”这条链路，在现有标准中都有对应内容；真正困难的是如何把散落在不同标准中的条文串起来。下一节据此讨论流程碎片化问题。</w:t>
      </w:r>
    </w:p>
    <w:p w14:paraId="22E66B93">
      <w:pPr>
        <w:pStyle w:val="6"/>
        <w:spacing w:before="120" w:after="120" w:line="360" w:lineRule="auto"/>
        <w:ind w:firstLine="0"/>
        <w:jc w:val="left"/>
      </w:pPr>
      <w:bookmarkStart w:id="8" w:name="_Toc83957554"/>
      <w:bookmarkStart w:id="9" w:name="_Toc184051642"/>
      <w:r>
        <w:rPr>
          <w:rFonts w:ascii="Times New Roman" w:hAnsi="Times New Roman" w:eastAsia="黑体" w:cs="Times New Roman"/>
          <w:sz w:val="24"/>
          <w:szCs w:val="24"/>
        </w:rPr>
        <w:t>1.1.3 标准散落与流程碎片化问题</w:t>
      </w:r>
      <w:bookmarkEnd w:id="8"/>
      <w:bookmarkEnd w:id="9"/>
    </w:p>
    <w:p w14:paraId="67C2D1F0">
      <w:pPr>
        <w:pStyle w:val="3"/>
        <w:spacing w:before="0" w:after="0" w:line="360" w:lineRule="auto"/>
        <w:ind w:firstLine="420"/>
        <w:jc w:val="both"/>
      </w:pPr>
      <w:r>
        <w:rPr>
          <w:rFonts w:ascii="Times New Roman" w:hAnsi="Times New Roman" w:eastAsia="宋体" w:cs="Times New Roman"/>
          <w:sz w:val="24"/>
          <w:szCs w:val="24"/>
        </w:rPr>
        <w:t>标准分散不仅增加查阅成本，更易造成分析步骤先后混乱、同类速率计算口径不一致、判断来源难核对，具体表现如下。</w:t>
      </w:r>
    </w:p>
    <w:p w14:paraId="0B642915">
      <w:pPr>
        <w:pStyle w:val="3"/>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一是两套相对速率口径易混。DL/T 1498.2—2025表A.3的相对增长速率按“%/周”计算，用于检测分级；DL/T 722—2014第9.3.2条的相对产气速率按“%/月”计算，用于处置紧急度判定与涨势预警。二者都称相对速率、单位又相近，但一个按周、一个按月，用途也不同；总烃月环比的实现口径见第2.2节。若把周速率与月速率混用，既可能把检测分级算错，也可能误判产气趋势是否需关注。</w:t>
      </w:r>
    </w:p>
    <w:p w14:paraId="193A7B07">
      <w:pPr>
        <w:pStyle w:val="3"/>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二是若缺少产气速率提示，早期异常易被漏报。早期故障常见情形是气体含量尚未显著升高，而产气速率已明显加快。按DL/T 722—2014，此时应加强监视、缩短检测周期，即给出“涨势预警”。系统若只比对含量阈值、不计算相对产气速率，便只能反映单次检测结果，难以发现持续上升。涨势预警不以检测分级代替：即使当日检测分级仍为正常或注意值1，只要总烃月环比超过DL/T 722—2014相对产气速率注意值，也应单独给出涨势预警。</w:t>
      </w:r>
    </w:p>
    <w:p w14:paraId="3490146A">
      <w:pPr>
        <w:pStyle w:val="3"/>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三是触发判型条件不合理，或多方法配合不足时，难以给出准确的故障类型和进一步试验建议。按DL/T 722—2014，宜在出现异常征兆或产气增长趋势后再作故障类型判断；只用一种方法时，结果常不稳定，需要多种方法相互印证后再确定结论。如果触发判型时只看当日检测分级、不考虑涨势预警，速率已超注意而含量尚未达到注意值2的情形进不了故障类型判断，试验建议也就无法针对性给出；如果故障类型判断的结论未与标准中的试验项目对应起来，即使判出故障类型，试验建议也容易空泛不准。</w:t>
      </w:r>
    </w:p>
    <w:p w14:paraId="01D843B1">
      <w:pPr>
        <w:pStyle w:val="3"/>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 xml:space="preserve">上述问题的关键，不在缺少标准或监测数据，而在标准分散后分析流程被拆开了。本文不另写一套脱离行业标准的新判据，而是把已有的检测分级、产气趋势与涨势预警、故障类型判断、试验建议和分析报告要求串成一条口径统一、步骤固定、结果可核对的自动分析流程。</w:t>
      </w:r>
    </w:p>
    <w:p w14:paraId="01D843B1">
      <w:pPr>
        <w:pStyle w:val="3"/>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 xml:space="preserve">智能体适合承担这一串联：规则负责判定，工作流负责固定步骤，大模型只负责报告文字润色[12][15][47]。后文的方法设计与系统实现，都按这一分工展开。</w:t>
      </w:r>
    </w:p>
    <w:p w14:paraId="0971D60A">
      <w:pPr>
        <w:pStyle w:val="4"/>
        <w:spacing w:before="156" w:beforeLines="50" w:after="156" w:afterLines="50" w:line="360" w:lineRule="auto"/>
        <w:ind w:left="0"/>
        <w:jc w:val="both"/>
        <w:rPr>
          <w:rFonts w:hint="eastAsia" w:eastAsia="黑体"/>
          <w:b w:val="0"/>
          <w:bCs/>
          <w:sz w:val="24"/>
          <w:szCs w:val="18"/>
        </w:rPr>
      </w:pPr>
      <w:bookmarkStart w:id="10" w:name="_Toc177853999"/>
      <w:bookmarkStart w:id="11" w:name="_Toc979495414"/>
      <w:r>
        <w:rPr>
          <w:rFonts w:hint="eastAsia" w:eastAsia="黑体"/>
          <w:b w:val="0"/>
          <w:bCs/>
          <w:sz w:val="24"/>
          <w:szCs w:val="18"/>
        </w:rPr>
        <w:t>1.2 国内外研究现状</w:t>
      </w:r>
      <w:bookmarkEnd w:id="10"/>
      <w:bookmarkEnd w:id="11"/>
    </w:p>
    <w:p w14:paraId="3636E273">
      <w:pPr>
        <w:pStyle w:val="6"/>
        <w:spacing w:before="120" w:after="120" w:line="360" w:lineRule="auto"/>
        <w:ind w:firstLine="0"/>
        <w:jc w:val="left"/>
      </w:pPr>
      <w:bookmarkStart w:id="12" w:name="_Toc1917268843"/>
      <w:bookmarkStart w:id="13" w:name="_Toc2042408216"/>
      <w:r>
        <w:rPr>
          <w:rFonts w:ascii="Times New Roman" w:hAnsi="Times New Roman" w:eastAsia="黑体" w:cs="Times New Roman"/>
          <w:sz w:val="24"/>
          <w:szCs w:val="24"/>
        </w:rPr>
        <w:t>1.2.1 基于传统的油中溶解气体诊断方法</w:t>
      </w:r>
      <w:bookmarkEnd w:id="12"/>
      <w:bookmarkEnd w:id="13"/>
    </w:p>
    <w:p w14:paraId="09A953AA">
      <w:pPr>
        <w:pStyle w:val="3"/>
        <w:spacing w:before="0" w:after="0" w:line="360" w:lineRule="auto"/>
        <w:ind w:firstLine="420"/>
        <w:jc w:val="both"/>
      </w:pPr>
      <w:r>
        <w:rPr>
          <w:rFonts w:ascii="Times New Roman" w:hAnsi="Times New Roman" w:eastAsia="宋体" w:cs="Times New Roman"/>
          <w:b w:val="0"/>
          <w:sz w:val="24"/>
          <w:szCs w:val="24"/>
        </w:rPr>
        <w:t>就油中溶解气体诊断而言，传统规则方法仍是主要依据。国内以DL/T 722—2014、DL/T 1498.2—2025等给出注意值、产气速率、故障类型判断与检测分级要求[6][7]；国际方面，IEEE C57.104[9]和IEC 60599[10]与之互为参照。Duval的经典综述[22]奠定了相关判断基础。就单项方法看，三比值法按编码查表，直观易用[26]；大卫三角形法以几何分区作为补充[35]。Bessa等指出，规则方法成熟、结果可解释，但单一方法在边界样本上仍可能误判，实践中通常需多种方法相互印证[13]；Thobejane等亦表明综合运用多种方法有助于提高判断可靠性[19]。国内文献持续报告油色谱异常处置与故障判断经验，说明规则法仍具实用价值[23][24][36][40][42]。</w:t>
      </w:r>
    </w:p>
    <w:p w14:paraId="3300F364">
      <w:pPr>
        <w:pStyle w:val="3"/>
        <w:spacing w:before="0" w:after="0" w:line="360" w:lineRule="auto"/>
        <w:ind w:firstLine="420"/>
        <w:jc w:val="both"/>
      </w:pPr>
      <w:r>
        <w:rPr>
          <w:rFonts w:ascii="Times New Roman" w:hAnsi="Times New Roman" w:eastAsia="宋体" w:cs="Times New Roman"/>
          <w:b w:val="0"/>
          <w:sz w:val="24"/>
          <w:szCs w:val="24"/>
        </w:rPr>
        <w:t>传统规则方法本身能够为油中溶解气体分析提供可核对的判定规则，但现有研究多停留在单一方法使用、案例分析或监测装置本身，较少讨论如何把分散在多部行业标准中的判据组织为面向分析后台的固定流程。这与第1.1.3节所述流程碎片化问题直接相关，也是本文的研究切入点。</w:t>
      </w:r>
    </w:p>
    <w:p w14:paraId="09941DA3">
      <w:pPr>
        <w:pStyle w:val="6"/>
        <w:spacing w:before="120" w:after="120" w:line="360" w:lineRule="auto"/>
        <w:ind w:firstLine="0"/>
        <w:jc w:val="left"/>
      </w:pPr>
      <w:bookmarkStart w:id="14" w:name="_Toc545321066"/>
      <w:bookmarkStart w:id="15" w:name="_Toc1376272664"/>
      <w:r>
        <w:rPr>
          <w:rFonts w:ascii="Times New Roman" w:hAnsi="Times New Roman" w:eastAsia="黑体" w:cs="Times New Roman"/>
          <w:sz w:val="24"/>
          <w:szCs w:val="24"/>
        </w:rPr>
        <w:t>1.2.2 基于机器学习的油中溶解气体分析方法</w:t>
      </w:r>
      <w:bookmarkEnd w:id="14"/>
      <w:bookmarkEnd w:id="15"/>
    </w:p>
    <w:p w14:paraId="6E91A5CE">
      <w:pPr>
        <w:pStyle w:val="3"/>
        <w:spacing w:before="0" w:after="0" w:line="360" w:lineRule="auto"/>
        <w:ind w:firstLine="420"/>
        <w:jc w:val="both"/>
      </w:pPr>
      <w:r>
        <w:rPr>
          <w:rFonts w:ascii="Times New Roman" w:hAnsi="Times New Roman" w:eastAsia="宋体" w:cs="Times New Roman"/>
          <w:sz w:val="24"/>
          <w:szCs w:val="24"/>
        </w:rPr>
        <w:t>随着在线监测数据增多，另一条研究主线是基于机器学习的方法，即从油中溶解气体数据中自动判断故障类型。综述方面，Motepe等梳理了该类方法在变压器故障分类中的研究进展</w:t>
      </w:r>
      <w:r>
        <w:rPr>
          <w:rFonts w:hint="default" w:ascii="Times New Roman" w:hAnsi="Times New Roman" w:eastAsia="宋体" w:cs="Times New Roman"/>
          <w:sz w:val="24"/>
          <w:szCs w:val="24"/>
          <w:vertAlign w:val="superscript"/>
          <w:lang w:val="en-US"/>
        </w:rPr>
        <w:fldChar w:fldCharType="begin"/>
      </w:r>
      <w:r>
        <w:instrText xml:space="preserve"> REF _RefCite017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[17]</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；Abdelwahab等构建了融合多种DGA判据的智能诊断系统并加以验证</w:t>
      </w:r>
      <w:r>
        <w:rPr>
          <w:rFonts w:hint="default" w:ascii="Times New Roman" w:hAnsi="Times New Roman" w:eastAsia="宋体" w:cs="Times New Roman"/>
          <w:sz w:val="24"/>
          <w:szCs w:val="24"/>
          <w:vertAlign w:val="superscript"/>
          <w:lang w:val="en-US"/>
        </w:rPr>
        <w:fldChar w:fldCharType="begin"/>
      </w:r>
      <w:r>
        <w:instrText xml:space="preserve"> REF _RefCite049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[49]</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。在具体方法上，已有工作从网络模型、数据构造与多源融合等方向展开。Tao等提出基于AdaBoost增强迁移卷积神经网络的故障诊断方法</w:t>
      </w:r>
      <w:r>
        <w:rPr>
          <w:rFonts w:hint="default" w:ascii="Times New Roman" w:hAnsi="Times New Roman" w:eastAsia="宋体" w:cs="Times New Roman"/>
          <w:sz w:val="24"/>
          <w:szCs w:val="24"/>
          <w:vertAlign w:val="superscript"/>
          <w:lang w:val="en-US"/>
        </w:rPr>
        <w:fldChar w:fldCharType="begin"/>
      </w:r>
      <w:r>
        <w:instrText xml:space="preserve"> REF _RefCite051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[51]</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；Kumar等利用数据合成与降维技术简化分类流程</w:t>
      </w:r>
      <w:r>
        <w:rPr>
          <w:rFonts w:hint="default" w:ascii="Times New Roman" w:hAnsi="Times New Roman" w:eastAsia="宋体" w:cs="Times New Roman"/>
          <w:sz w:val="24"/>
          <w:szCs w:val="24"/>
          <w:vertAlign w:val="superscript"/>
          <w:lang w:val="en-US"/>
        </w:rPr>
        <w:fldChar w:fldCharType="begin"/>
      </w:r>
      <w:r>
        <w:instrText xml:space="preserve"> REF _RefCite054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[54]</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；Xing与He从多模态时序数据角度研究变压器故障诊断</w:t>
      </w:r>
      <w:r>
        <w:rPr>
          <w:rFonts w:hint="default" w:ascii="Times New Roman" w:hAnsi="Times New Roman" w:eastAsia="宋体" w:cs="Times New Roman"/>
          <w:sz w:val="24"/>
          <w:szCs w:val="24"/>
          <w:vertAlign w:val="superscript"/>
          <w:lang w:val="en-US"/>
        </w:rPr>
        <w:fldChar w:fldCharType="begin"/>
      </w:r>
      <w:r>
        <w:instrText xml:space="preserve"> REF _RefCite052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[52]</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。国内方面，解宵研究了油色谱特征参量及其应用</w:t>
      </w:r>
      <w:r>
        <w:rPr>
          <w:rFonts w:hint="default" w:ascii="Times New Roman" w:hAnsi="Times New Roman" w:eastAsia="宋体" w:cs="Times New Roman"/>
          <w:sz w:val="24"/>
          <w:szCs w:val="24"/>
          <w:vertAlign w:val="superscript"/>
          <w:lang w:val="en-US"/>
        </w:rPr>
        <w:fldChar w:fldCharType="begin"/>
      </w:r>
      <w:r>
        <w:instrText xml:space="preserve"> REF _RefCite028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[28]</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；姜有泉等将深度置信网络与DGA结合用于内部故障诊断</w:t>
      </w:r>
      <w:r>
        <w:rPr>
          <w:rFonts w:hint="default" w:ascii="Times New Roman" w:hAnsi="Times New Roman" w:eastAsia="宋体" w:cs="Times New Roman"/>
          <w:sz w:val="24"/>
          <w:szCs w:val="24"/>
          <w:vertAlign w:val="superscript"/>
          <w:lang w:val="en-US"/>
        </w:rPr>
        <w:fldChar w:fldCharType="begin"/>
      </w:r>
      <w:r>
        <w:instrText xml:space="preserve"> REF _RefCite039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[39]</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；邓华璞等考察了机器学习模型在故障状态识别中的应用</w:t>
      </w:r>
      <w:r>
        <w:rPr>
          <w:rFonts w:hint="default" w:ascii="Times New Roman" w:hAnsi="Times New Roman" w:eastAsia="宋体" w:cs="Times New Roman"/>
          <w:sz w:val="24"/>
          <w:szCs w:val="24"/>
          <w:vertAlign w:val="superscript"/>
          <w:lang w:val="en-US"/>
        </w:rPr>
        <w:fldChar w:fldCharType="begin"/>
      </w:r>
      <w:r>
        <w:instrText xml:space="preserve"> REF _RefCite041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[41]</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；杨子建等介绍了多源数据融合驱动的油色谱智能诊断系统工程应用</w:t>
      </w:r>
      <w:r>
        <w:rPr>
          <w:rFonts w:hint="default" w:ascii="Times New Roman" w:hAnsi="Times New Roman" w:eastAsia="宋体" w:cs="Times New Roman"/>
          <w:sz w:val="24"/>
          <w:szCs w:val="24"/>
          <w:vertAlign w:val="superscript"/>
          <w:lang w:val="en-US"/>
        </w:rPr>
        <w:fldChar w:fldCharType="begin"/>
      </w:r>
      <w:r>
        <w:instrText xml:space="preserve"> REF _RefCite025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[25]</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；许自强、马世峰等亦从健康管理与智能诊断角度作了相关研究</w:t>
      </w:r>
      <w:r>
        <w:rPr>
          <w:rFonts w:hint="default" w:ascii="Times New Roman" w:hAnsi="Times New Roman" w:eastAsia="宋体" w:cs="Times New Roman"/>
          <w:sz w:val="24"/>
          <w:szCs w:val="24"/>
          <w:vertAlign w:val="superscript"/>
          <w:lang w:val="en-US"/>
        </w:rPr>
        <w:fldChar w:fldCharType="begin"/>
      </w:r>
      <w:r>
        <w:instrText xml:space="preserve"> REF _RefCite029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[29]</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vertAlign w:val="superscript"/>
          <w:lang w:val="en-US"/>
        </w:rPr>
        <w:fldChar w:fldCharType="begin"/>
      </w:r>
      <w:r>
        <w:instrText xml:space="preserve"> REF _RefCite043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[43]</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w:t>
      </w:r>
    </w:p>
    <w:p w14:paraId="47F3E272">
      <w:pPr>
        <w:pStyle w:val="3"/>
        <w:spacing w:before="0" w:after="0" w:line="360" w:lineRule="auto"/>
        <w:ind w:firstLine="420"/>
        <w:jc w:val="both"/>
      </w:pPr>
      <w:r>
        <w:rPr>
          <w:rFonts w:ascii="Times New Roman" w:hAnsi="Times New Roman" w:eastAsia="宋体" w:cs="Times New Roman"/>
          <w:sz w:val="24"/>
          <w:szCs w:val="24"/>
        </w:rPr>
        <w:t xml:space="preserve">上述机器学习研究与本文的侧重点不同：前者多以提高故障类型识别准确率或给出健康评分为目标；本文要求检测分级、故障类型判断与进一步试验建议都能对照行业标准，因此判定仍只采用行业标准规则，机器学习等方法留待后续研究扩展。</w:t>
      </w:r>
    </w:p>
    <w:p w14:paraId="76A9FDC8">
      <w:pPr>
        <w:pStyle w:val="6"/>
        <w:spacing w:before="120" w:after="120" w:line="360" w:lineRule="auto"/>
        <w:ind w:firstLine="0"/>
        <w:jc w:val="left"/>
      </w:pPr>
      <w:bookmarkStart w:id="16" w:name="_Toc1898434513"/>
      <w:bookmarkStart w:id="17" w:name="_Toc468302011"/>
      <w:r>
        <w:rPr>
          <w:rFonts w:ascii="Times New Roman" w:hAnsi="Times New Roman" w:eastAsia="黑体" w:cs="Times New Roman"/>
          <w:sz w:val="24"/>
          <w:szCs w:val="24"/>
        </w:rPr>
        <w:t>1.2.3 智能体与大模型在电力设备诊断中的应用</w:t>
      </w:r>
      <w:bookmarkEnd w:id="16"/>
      <w:bookmarkEnd w:id="17"/>
    </w:p>
    <w:p w14:paraId="478BF4EB">
      <w:pPr>
        <w:pStyle w:val="3"/>
        <w:spacing w:before="0" w:after="0" w:line="360" w:lineRule="auto"/>
        <w:ind w:firstLine="420"/>
        <w:jc w:val="both"/>
      </w:pPr>
      <w:r>
        <w:rPr>
          <w:rFonts w:ascii="Times New Roman" w:hAnsi="Times New Roman" w:eastAsia="宋体" w:cs="Times New Roman"/>
          <w:b w:val="0"/>
          <w:sz w:val="24"/>
          <w:szCs w:val="24"/>
        </w:rPr>
        <w:t>人工智能在电力设备运维检修中的应用，已由单一算法识别扩展到流程协同与知识辅助。蒲天骄等指出智能体适合将多个分析步骤串联起来[12]；李元等从大模型视角分析了智能运维的技术挑战与发展路径[15]；林金山等构建了面向电力变压器故障诊断的多智能体大模型[55]，为本文将智能体用于油中溶解气体分析提供了参照。相关讨论还涉及变压器运维中的人工智能应用[32]、大模型应用路径[18]、多智能体组织方式[47]、巡检适用性[53]以及健康状态感知展望[20]。在工业异常检测领域，Miao等提出的AgentIAD架构验证了工具增强单智能体的可行性[56]，其将检测工具封装为可调用能力的思路，与本文将行业标准判据封装为规则模块相近。上述工作表明：智能体适合串联分析步骤，大模型适合理解与生成文字。</w:t>
      </w:r>
    </w:p>
    <w:p w14:paraId="6359E183">
      <w:pPr>
        <w:pStyle w:val="3"/>
        <w:spacing w:before="0" w:after="0" w:line="360" w:lineRule="auto"/>
        <w:ind w:firstLine="420"/>
        <w:jc w:val="both"/>
      </w:pPr>
      <w:r>
        <w:rPr>
          <w:rFonts w:ascii="Times New Roman" w:hAnsi="Times New Roman" w:eastAsia="宋体" w:cs="Times New Roman"/>
          <w:b w:val="0"/>
          <w:sz w:val="24"/>
          <w:szCs w:val="24"/>
        </w:rPr>
        <w:t>具体到油中溶解气体分析场景，若直接由通用大模型根据气体浓度自由给出结论，可能带来三类问题：改写分级结果或阈值，使结论偏离行业标准；直接给出停电、检修等指令，超出分析后台的职责范围；生成的报告不符合DL/T 722—2014格式，难以归档对照。本文采用分层处理：由规则模块执行行业标准判定，由固定步骤的智能体工作流固定分析顺序，大模型仅用于报告文字润色，模型不可用时回退为模板生成。这与DL/T 722—2014中识别故障、判断类型、提出进一步试验建议的层次相一致[6]，也契合DL/T 1498.2—2025对在线监测后台分析、诊断、展示功能的定位[7]。据此，本文将智能体用于固定分析顺序与流程编排，大模型仅润色报告文字，判定仍由行业标准规则给出。</w:t>
      </w:r>
    </w:p>
    <w:p w14:paraId="469E184C">
      <w:pPr>
        <w:pStyle w:val="4"/>
        <w:spacing w:before="156" w:beforeLines="50" w:after="156" w:afterLines="50" w:line="360" w:lineRule="auto"/>
        <w:ind w:left="0"/>
        <w:jc w:val="both"/>
        <w:rPr>
          <w:rFonts w:hint="eastAsia" w:eastAsia="黑体"/>
          <w:b w:val="0"/>
          <w:bCs/>
          <w:sz w:val="24"/>
          <w:szCs w:val="18"/>
        </w:rPr>
      </w:pPr>
      <w:bookmarkStart w:id="18" w:name="_Toc1824316512"/>
      <w:bookmarkStart w:id="19" w:name="_Toc224332622"/>
      <w:r>
        <w:rPr>
          <w:rFonts w:hint="eastAsia" w:eastAsia="黑体"/>
          <w:b w:val="0"/>
          <w:bCs/>
          <w:sz w:val="24"/>
          <w:szCs w:val="18"/>
        </w:rPr>
        <w:t>1.3 研究目的与意义</w:t>
      </w:r>
      <w:bookmarkEnd w:id="18"/>
      <w:bookmarkEnd w:id="19"/>
    </w:p>
    <w:p w14:paraId="60DAEF5A">
      <w:pPr>
        <w:pStyle w:val="6"/>
        <w:spacing w:before="120" w:after="120" w:line="360" w:lineRule="auto"/>
        <w:ind w:firstLine="0"/>
        <w:jc w:val="left"/>
      </w:pPr>
      <w:bookmarkStart w:id="20" w:name="_Toc1524577469"/>
      <w:bookmarkStart w:id="21" w:name="_Toc1663588965"/>
      <w:r>
        <w:rPr>
          <w:rFonts w:ascii="Times New Roman" w:hAnsi="Times New Roman" w:eastAsia="黑体" w:cs="Times New Roman"/>
          <w:sz w:val="24"/>
          <w:szCs w:val="24"/>
        </w:rPr>
        <w:t>1.3.1 研究目的</w:t>
      </w:r>
      <w:bookmarkEnd w:id="20"/>
      <w:bookmarkEnd w:id="21"/>
    </w:p>
    <w:p w14:paraId="2F6C38B9">
      <w:pPr>
        <w:pStyle w:val="3"/>
        <w:spacing w:before="0" w:after="0" w:line="360" w:lineRule="auto"/>
        <w:ind w:firstLine="420"/>
        <w:jc w:val="both"/>
      </w:pPr>
      <w:r>
        <w:rPr>
          <w:rFonts w:ascii="Times New Roman" w:hAnsi="Times New Roman" w:eastAsia="宋体" w:cs="Times New Roman"/>
          <w:sz w:val="24"/>
          <w:szCs w:val="24"/>
        </w:rPr>
        <w:t xml:space="preserve">油中溶解气体分析涉及检测分级、产气趋势、故障判型和报告编写等多个环节，相关要求分散在不同的行业标准中，完整分析往往需要交叉查阅多份规范。目前仍缺少一套能够把这些环节按统一口径组织起来的标准化分析流程。针对该问题，本文面向220kV及以下油浸式变压器，开发油中溶解气体分析智能体，把各标准规定的分析环节串接成一套可自动执行、便于复核的分析流程，保证分析结论能够对应到行业标准条文。本文的研究目标主要分为三点：</w:t>
      </w:r>
    </w:p>
    <w:p w14:paraId="149F986E">
      <w:pPr>
        <w:pStyle w:val="3"/>
        <w:keepNext w:val="0"/>
        <w:keepLines w:val="0"/>
        <w:pageBreakBefore w:val="0"/>
        <w:widowControl w:val="0"/>
        <w:numPr>
          <w:ilvl w:val="0"/>
          <w:numId w:val="3"/>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b w:val="0"/>
          <w:sz w:val="24"/>
          <w:szCs w:val="24"/>
        </w:rPr>
        <w:t xml:space="preserve">一是构建检测分级、产气趋势预警协同的状态分析手段。分别依据对应行业标准完成检测分级与产气趋势分析，两套评价体系相互独立运行。</w:t>
      </w:r>
    </w:p>
    <w:p w14:paraId="569E613A">
      <w:pPr>
        <w:pStyle w:val="3"/>
        <w:keepNext w:val="0"/>
        <w:keepLines w:val="0"/>
        <w:pageBreakBefore w:val="0"/>
        <w:widowControl w:val="0"/>
        <w:numPr>
          <w:ilvl w:val="0"/>
          <w:numId w:val="3"/>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 xml:space="preserve">二是建立多规则协同的故障判型及进一步试验建议方法。在设备状态超标、告警或产气速率异常时，通过多规则协同开展故障判型，并给出结果可信度以及进一步的试验建议。</w:t>
      </w:r>
    </w:p>
    <w:p w14:paraId="350DD86B">
      <w:pPr>
        <w:pStyle w:val="3"/>
        <w:keepNext w:val="0"/>
        <w:keepLines w:val="0"/>
        <w:pageBreakBefore w:val="0"/>
        <w:widowControl w:val="0"/>
        <w:numPr>
          <w:ilvl w:val="0"/>
          <w:numId w:val="3"/>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b w:val="0"/>
          <w:sz w:val="24"/>
          <w:szCs w:val="24"/>
        </w:rPr>
        <w:t xml:space="preserve">三是搭建标准化的智能体工作流。使用智能体固定完整分析步骤，依靠标准规则完成全过程判定，大模型负责优化报告文本，形成便于核对的分析智能体系统。</w:t>
      </w:r>
    </w:p>
    <w:p w14:paraId="1820609D">
      <w:pPr>
        <w:pStyle w:val="6"/>
        <w:spacing w:before="120" w:after="120" w:line="360" w:lineRule="auto"/>
        <w:ind w:firstLine="0"/>
        <w:jc w:val="left"/>
      </w:pPr>
      <w:bookmarkStart w:id="22" w:name="_Toc1850134462"/>
      <w:bookmarkEnd w:id="22"/>
      <w:bookmarkStart w:id="23" w:name="_Toc1946129126"/>
      <w:bookmarkEnd w:id="23"/>
      <w:r>
        <w:rPr>
          <w:rFonts w:ascii="Times New Roman" w:hAnsi="Times New Roman" w:eastAsia="宋体" w:cs="Times New Roman"/>
          <w:b/>
          <w:sz w:val="24"/>
          <w:szCs w:val="24"/>
        </w:rPr>
        <w:t>1.3.2 研究意义</w:t>
      </w:r>
    </w:p>
    <w:p w14:paraId="51AB18D6">
      <w:pPr>
        <w:pStyle w:val="3"/>
        <w:spacing w:before="0" w:after="0" w:line="360" w:lineRule="auto"/>
        <w:ind w:firstLine="420"/>
        <w:jc w:val="both"/>
      </w:pPr>
      <w:r>
        <w:rPr>
          <w:rFonts w:ascii="Times New Roman" w:hAnsi="Times New Roman" w:eastAsia="宋体" w:cs="Times New Roman"/>
          <w:b w:val="0"/>
          <w:sz w:val="24"/>
          <w:szCs w:val="24"/>
        </w:rPr>
        <w:t xml:space="preserve">在应用层面，本文将分散在多部标准中的分析环节串联为一条统一的后台流程，对应第1.1.3节所述问题，减少人工查阅与手工汇总，使在线监测数据形成可展示、可导出且可核对的分析报告[7][23][24]。</w:t>
      </w:r>
    </w:p>
    <w:p w14:paraId="104A7F56">
      <w:pPr>
        <w:pStyle w:val="3"/>
        <w:spacing w:before="0" w:after="0" w:line="360" w:lineRule="auto"/>
        <w:ind w:firstLine="420"/>
        <w:jc w:val="both"/>
      </w:pPr>
      <w:r>
        <w:rPr>
          <w:rFonts w:ascii="Times New Roman" w:hAnsi="Times New Roman" w:eastAsia="宋体" w:cs="Times New Roman"/>
          <w:sz w:val="24"/>
          <w:szCs w:val="24"/>
        </w:rPr>
        <w:t>在方法层面，本文给出一种智能体用法：以工作流固定分析顺序，以规则完成判定，以大模型润色报告文字，形成判定、编排与表述的分工。这样既保留规则方法便于核对的优点，也发挥了智能体串联流程的作用</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lang w:val="en-US"/>
        </w:rPr>
        <w:instrText xml:space="preserve"> REF _Ref348373302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[6]</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vertAlign w:val="superscript"/>
          <w:lang w:val="en-US"/>
        </w:rPr>
        <w:fldChar w:fldCharType="begin"/>
      </w:r>
      <w:r>
        <w:instrText xml:space="preserve"> REF _RefCite012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[12]</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vertAlign w:val="superscript"/>
          <w:lang w:val="en-US"/>
        </w:rPr>
        <w:fldChar w:fldCharType="begin"/>
      </w:r>
      <w:r>
        <w:instrText xml:space="preserve"> REF _RefCite013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[13]</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，可为同类分析场景提供参照。</w:t>
      </w:r>
    </w:p>
    <w:p w14:paraId="37978880">
      <w:pPr>
        <w:pStyle w:val="3"/>
        <w:spacing w:before="0" w:after="0" w:line="360" w:lineRule="auto"/>
        <w:ind w:firstLine="420"/>
        <w:jc w:val="both"/>
      </w:pPr>
      <w:r>
        <w:rPr>
          <w:rFonts w:ascii="Times New Roman" w:hAnsi="Times New Roman" w:eastAsia="宋体" w:cs="Times New Roman"/>
          <w:sz w:val="24"/>
          <w:szCs w:val="24"/>
        </w:rPr>
        <w:t xml:space="preserve">在方法层面，本文给出一种智能体用法：以工作流固定分析顺序，以规则完成判定，以大模型润色报告文字，形成判定、编排与表述的分工。这样既保留规则方法便于核对的优点，也发挥了智能体串联流程的作用[6][12][13]，可为同类分析场景提供参照。</w:t>
      </w:r>
    </w:p>
    <w:p w14:paraId="03CF4E9E">
      <w:pPr>
        <w:pStyle w:val="4"/>
        <w:spacing w:before="156" w:beforeLines="50" w:after="156" w:afterLines="50" w:line="360" w:lineRule="auto"/>
        <w:ind w:left="0"/>
        <w:jc w:val="both"/>
        <w:rPr>
          <w:rFonts w:hint="eastAsia" w:eastAsia="黑体"/>
          <w:b w:val="0"/>
          <w:bCs/>
          <w:sz w:val="24"/>
          <w:szCs w:val="18"/>
        </w:rPr>
      </w:pPr>
      <w:r>
        <w:rPr>
          <w:rFonts w:hint="eastAsia" w:eastAsia="黑体"/>
          <w:b w:val="0"/>
          <w:bCs/>
          <w:sz w:val="24"/>
          <w:szCs w:val="18"/>
        </w:rPr>
        <w:t xml:space="preserve">在系统示范层面，本文将判据计算、流程编排、界面展示与报告导出一并落实，可为同类课题提供可对照的实现办法与验证方式。</w:t>
      </w:r>
    </w:p>
    <w:p w14:paraId="7580B794">
      <w:pPr>
        <w:pStyle w:val="6"/>
        <w:spacing w:before="120" w:after="120" w:line="360" w:lineRule="auto"/>
        <w:ind w:firstLine="0"/>
        <w:jc w:val="left"/>
      </w:pPr>
      <w:bookmarkStart w:id="26" w:name="_Toc1930430720"/>
      <w:bookmarkStart w:id="27" w:name="_Toc1449622934"/>
      <w:r>
        <w:rPr>
          <w:rFonts w:ascii="Times New Roman" w:hAnsi="Times New Roman" w:eastAsia="黑体" w:cs="Times New Roman"/>
          <w:sz w:val="24"/>
          <w:szCs w:val="24"/>
        </w:rPr>
        <w:t>1.4.1 主要研究内容</w:t>
      </w:r>
      <w:bookmarkEnd w:id="26"/>
      <w:bookmarkEnd w:id="27"/>
    </w:p>
    <w:p w14:paraId="41C21832">
      <w:pPr>
        <w:pStyle w:val="3"/>
        <w:spacing w:before="0" w:after="0" w:line="360" w:lineRule="auto"/>
        <w:ind w:firstLine="420"/>
        <w:jc w:val="both"/>
      </w:pPr>
      <w:r>
        <w:rPr>
          <w:rFonts w:ascii="Times New Roman" w:hAnsi="Times New Roman" w:eastAsia="宋体" w:cs="Times New Roman"/>
          <w:b w:val="0"/>
          <w:sz w:val="24"/>
          <w:szCs w:val="24"/>
        </w:rPr>
        <w:t xml:space="preserve">为实现上述研究目的，本文主要开展以下研究内容：</w:t>
      </w:r>
    </w:p>
    <w:p w14:paraId="08BFD140">
      <w:pPr>
        <w:pStyle w:val="3"/>
        <w:spacing w:before="0" w:after="0" w:line="360" w:lineRule="auto"/>
        <w:ind w:firstLine="420"/>
        <w:jc w:val="both"/>
      </w:pPr>
      <w:r>
        <w:rPr>
          <w:rFonts w:ascii="Times New Roman" w:hAnsi="Times New Roman" w:eastAsia="宋体" w:cs="Times New Roman"/>
          <w:b w:val="0"/>
          <w:sz w:val="24"/>
          <w:szCs w:val="24"/>
        </w:rPr>
        <w:t xml:space="preserve">第2章解决两类相对速率混淆、边界不清问题：结合现行行业标准建立独立的状态评价体系，按DL/T 1498.2—2025表A.3完成设备检测分级评价，按DL/T 722—2014总烃月环比计算结果，输出处置紧急度与涨势预警，两套评价体系独立运算、分开输出，减少规则混淆带来的状态评价偏差。</w:t>
      </w:r>
    </w:p>
    <w:p w14:paraId="0A36B210">
      <w:pPr>
        <w:pStyle w:val="3"/>
        <w:spacing w:before="0" w:after="0" w:line="360" w:lineRule="auto"/>
        <w:ind w:firstLine="420"/>
        <w:jc w:val="both"/>
      </w:pPr>
      <w:r>
        <w:rPr>
          <w:rFonts w:ascii="Times New Roman" w:hAnsi="Times New Roman" w:eastAsia="宋体" w:cs="Times New Roman"/>
          <w:b w:val="0"/>
          <w:sz w:val="24"/>
          <w:szCs w:val="24"/>
        </w:rPr>
        <w:t xml:space="preserve">第3章解决故障判型门槛不明确、单一诊断方法准确率不足问题：本文设置多重故障研判触发条件，当检测分级达到注意值2或告警、或相对产气速率超过注意值时，启动故障判型流程，并行采用特征气体法、三比值法与大卫三角形法，经交叉研判，综合比对后给出故障结论，并结合行业标准给出进一步试验建议。</w:t>
      </w:r>
    </w:p>
    <w:p w14:paraId="153B050D">
      <w:pPr>
        <w:pStyle w:val="3"/>
        <w:spacing w:before="0" w:after="0" w:line="360" w:lineRule="auto"/>
        <w:ind w:firstLine="420"/>
        <w:jc w:val="both"/>
      </w:pPr>
      <w:r>
        <w:rPr>
          <w:rFonts w:ascii="Times New Roman" w:hAnsi="Times New Roman" w:eastAsia="宋体" w:cs="Times New Roman"/>
          <w:b w:val="0"/>
          <w:sz w:val="24"/>
          <w:szCs w:val="24"/>
        </w:rPr>
        <w:t xml:space="preserve">第4章针对传统分析顺序不固定、分析结果难以标准化汇成报告的问题：设计固定七步智能工作流，实现色谱数据分析全流程的标准化串联与自动化报告生成；全文核心故障判定逻辑严格依据行业标准执行，大模型只负责润色文字，不改写规则判定结果。系统输出止于检测分级、故障类型判断、监测决策与试验建议。</w:t>
      </w:r>
    </w:p>
    <w:p w14:paraId="41D48EFE">
      <w:pPr>
        <w:pStyle w:val="3"/>
        <w:spacing w:before="0" w:after="0" w:line="360" w:lineRule="auto"/>
        <w:ind w:firstLine="420"/>
        <w:jc w:val="both"/>
      </w:pPr>
      <w:r>
        <w:rPr>
          <w:rFonts w:ascii="Times New Roman" w:hAnsi="Times New Roman" w:eastAsia="宋体" w:cs="Times New Roman"/>
          <w:b w:val="0"/>
          <w:sz w:val="24"/>
          <w:szCs w:val="24"/>
        </w:rPr>
        <w:t xml:space="preserve">第5章根据前文提出的分析方法与智能工作流，完成油中溶解气体分析智能体系统的开发与实现。各章节内容前后衔接：第2章给出设备基础状态分级与趋势预警，第3章实现多方法协同故障判型并给出进一步试验建议，第4章完成标准化工作流编排与报告输出，第5章完成系统实现与功能验证。本文系统总体架构如图1.1所示；各功能模块与标准判据的对应关系详见附录A。</w:t>
      </w:r>
    </w:p>
    <w:p w14:paraId="45E59A73">
      <w:pPr>
        <w:spacing w:before="120" w:after="60"/>
        <w:ind w:firstLine="0"/>
        <w:jc w:val="center"/>
        <w:rPr>
          <w:rFonts w:hint="eastAsia" w:eastAsia="宋体"/>
          <w:lang w:eastAsia="zh-CN"/>
        </w:rPr>
      </w:pPr>
      <w:r>
        <w:rPr>
          <w:rFonts w:hint="eastAsia" w:eastAsia="宋体"/>
          <w:lang w:eastAsia="zh-CN"/>
        </w:rPr>
        <w:drawing>
          <wp:inline distT="0" distB="0" distL="114300" distR="114300">
            <wp:extent cx="5644515" cy="3973195"/>
            <wp:effectExtent l="0" t="0" r="19685" b="14605"/>
            <wp:docPr id="15" name="图片 15" descr="178568833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85688334148"/>
                    <pic:cNvPicPr>
                      <a:picLocks noChangeAspect="1"/>
                    </pic:cNvPicPr>
                  </pic:nvPicPr>
                  <pic:blipFill>
                    <a:blip r:embed="rId26"/>
                    <a:stretch>
                      <a:fillRect/>
                    </a:stretch>
                  </pic:blipFill>
                  <pic:spPr>
                    <a:xfrm>
                      <a:off x="0" y="0"/>
                      <a:ext cx="5644515" cy="3973375"/>
                    </a:xfrm>
                    <a:prstGeom prst="rect">
                      <a:avLst/>
                    </a:prstGeom>
                  </pic:spPr>
                </pic:pic>
              </a:graphicData>
            </a:graphic>
          </wp:inline>
        </w:drawing>
      </w:r>
    </w:p>
    <w:p w14:paraId="1597DC0F">
      <w:pPr>
        <w:pStyle w:val="15"/>
        <w:spacing w:before="120" w:after="120" w:line="360" w:lineRule="auto"/>
        <w:ind w:firstLine="0"/>
        <w:jc w:val="center"/>
      </w:pPr>
      <w:r>
        <w:rPr>
          <w:rFonts w:ascii="Times New Roman" w:hAnsi="Times New Roman" w:eastAsia="宋体" w:cs="Times New Roman"/>
          <w:sz w:val="21"/>
          <w:szCs w:val="21"/>
        </w:rPr>
        <w:t>图1.1 变压器油中溶解气体分析智能体系统总体架构</w:t>
      </w:r>
    </w:p>
    <w:p w14:paraId="0BCCC8C3">
      <w:pPr>
        <w:pStyle w:val="3"/>
        <w:spacing w:before="0" w:after="0" w:line="360" w:lineRule="auto"/>
        <w:ind w:firstLine="420"/>
        <w:jc w:val="both"/>
      </w:pPr>
      <w:r>
        <w:rPr>
          <w:rFonts w:ascii="Times New Roman" w:hAnsi="Times New Roman" w:eastAsia="宋体" w:cs="Times New Roman"/>
          <w:sz w:val="24"/>
          <w:szCs w:val="24"/>
        </w:rPr>
        <w:t>五层结构见图1.1，详细说明见第5.1节。第5章在实现说明中仍沿用本图，不再另附架构图。</w:t>
      </w:r>
    </w:p>
    <w:p w14:paraId="75887FE2">
      <w:pPr>
        <w:pStyle w:val="6"/>
        <w:spacing w:before="120" w:after="120" w:line="360" w:lineRule="auto"/>
        <w:ind w:firstLine="0"/>
        <w:jc w:val="left"/>
      </w:pPr>
      <w:bookmarkStart w:id="28" w:name="_Toc566172164"/>
      <w:bookmarkStart w:id="29" w:name="_Toc610676523"/>
      <w:r>
        <w:rPr>
          <w:rFonts w:ascii="Times New Roman" w:hAnsi="Times New Roman" w:eastAsia="黑体" w:cs="Times New Roman"/>
          <w:sz w:val="24"/>
          <w:szCs w:val="24"/>
        </w:rPr>
        <w:t>1.4.2 论文结构安排</w:t>
      </w:r>
      <w:bookmarkEnd w:id="28"/>
      <w:bookmarkEnd w:id="29"/>
    </w:p>
    <w:p w14:paraId="5036EBE7">
      <w:pPr>
        <w:pStyle w:val="3"/>
        <w:spacing w:before="0" w:after="0" w:line="360" w:lineRule="auto"/>
        <w:ind w:firstLine="420"/>
        <w:jc w:val="both"/>
      </w:pPr>
      <w:r>
        <w:rPr>
          <w:rFonts w:ascii="Times New Roman" w:hAnsi="Times New Roman" w:eastAsia="宋体" w:cs="Times New Roman"/>
          <w:sz w:val="24"/>
          <w:szCs w:val="24"/>
        </w:rPr>
        <w:t>全文共五章，各章内容安排如下。</w:t>
      </w:r>
    </w:p>
    <w:p w14:paraId="4AA7E1BA">
      <w:pPr>
        <w:pStyle w:val="3"/>
        <w:spacing w:before="0" w:after="0" w:line="360" w:lineRule="auto"/>
        <w:ind w:firstLine="420"/>
        <w:jc w:val="both"/>
      </w:pPr>
      <w:r>
        <w:rPr>
          <w:rFonts w:ascii="Times New Roman" w:hAnsi="Times New Roman" w:eastAsia="宋体" w:cs="Times New Roman"/>
          <w:sz w:val="24"/>
          <w:szCs w:val="24"/>
        </w:rPr>
        <w:t>第1章为绪论。说明研究背景、流程碎片化问题、研究现状、目的意义与全文结构。</w:t>
      </w:r>
    </w:p>
    <w:p w14:paraId="61E09C4F">
      <w:pPr>
        <w:pStyle w:val="3"/>
        <w:spacing w:before="0" w:after="0" w:line="360" w:lineRule="auto"/>
        <w:ind w:firstLine="420"/>
        <w:jc w:val="both"/>
      </w:pPr>
      <w:r>
        <w:rPr>
          <w:rFonts w:ascii="Times New Roman" w:hAnsi="Times New Roman" w:eastAsia="宋体" w:cs="Times New Roman"/>
          <w:b w:val="0"/>
          <w:sz w:val="24"/>
          <w:szCs w:val="24"/>
        </w:rPr>
        <w:t>第2章为基于行业标准判据的变压器油中溶解气体检测分级与预警智能分类技术。给出四档检测分级、处置紧急度与涨势预警，并完成验证。</w:t>
      </w:r>
    </w:p>
    <w:p w14:paraId="6A50FF4A">
      <w:pPr>
        <w:pStyle w:val="3"/>
        <w:spacing w:before="0" w:after="0" w:line="360" w:lineRule="auto"/>
        <w:ind w:firstLine="420"/>
        <w:jc w:val="both"/>
      </w:pPr>
      <w:r>
        <w:rPr>
          <w:rFonts w:ascii="Times New Roman" w:hAnsi="Times New Roman" w:eastAsia="宋体" w:cs="Times New Roman"/>
          <w:sz w:val="24"/>
          <w:szCs w:val="24"/>
        </w:rPr>
        <w:t>第3章为基于多规则协同的变压器油中溶解气体故障类型智能判断技术。给出双门槛触发、多规则协同判型与试验建议，并完成验证。</w:t>
      </w:r>
    </w:p>
    <w:p w14:paraId="59A1B9C2">
      <w:pPr>
        <w:pStyle w:val="3"/>
        <w:spacing w:before="0" w:after="0" w:line="360" w:lineRule="auto"/>
        <w:ind w:firstLine="420"/>
        <w:jc w:val="both"/>
      </w:pPr>
      <w:r>
        <w:rPr>
          <w:rFonts w:ascii="Times New Roman" w:hAnsi="Times New Roman" w:eastAsia="宋体" w:cs="Times New Roman"/>
          <w:b w:val="0"/>
          <w:sz w:val="24"/>
          <w:szCs w:val="24"/>
        </w:rPr>
        <w:t>第4章为面向变压器油中溶解气体分析智能体设计与实现。给出七步工作流、监测决策与分析报告生成方法，并完成验证。</w:t>
      </w:r>
    </w:p>
    <w:p w14:paraId="2C31138C">
      <w:pPr>
        <w:pStyle w:val="3"/>
        <w:spacing w:before="0" w:after="0" w:line="360" w:lineRule="auto"/>
        <w:ind w:firstLine="420"/>
        <w:jc w:val="both"/>
      </w:pPr>
      <w:r>
        <w:rPr>
          <w:rFonts w:ascii="Times New Roman" w:hAnsi="Times New Roman" w:eastAsia="宋体" w:cs="Times New Roman"/>
          <w:sz w:val="24"/>
          <w:szCs w:val="24"/>
        </w:rPr>
        <w:t>第5章为变压器油中溶解气体分析预警系统设计与实现。落实为原型系统，完成端到端演示。</w:t>
      </w:r>
    </w:p>
    <w:p w14:paraId="77FC856D">
      <w:pPr>
        <w:pStyle w:val="3"/>
        <w:spacing w:before="0" w:after="0" w:line="360" w:lineRule="auto"/>
        <w:ind w:firstLine="420"/>
        <w:jc w:val="both"/>
      </w:pPr>
      <w:r>
        <w:rPr>
          <w:rFonts w:ascii="Times New Roman" w:hAnsi="Times New Roman" w:eastAsia="宋体" w:cs="Times New Roman"/>
          <w:b w:val="0"/>
          <w:sz w:val="24"/>
          <w:szCs w:val="24"/>
        </w:rPr>
        <w:t>最后为结论与展望，总结全文主要工作，并展望后续研究方向。</w:t>
      </w:r>
    </w:p>
    <w:p w14:paraId="02B9EF8E">
      <w:r>
        <w:rPr>
          <w:rFonts w:ascii="Times New Roman" w:hAnsi="Times New Roman" w:eastAsia="宋体" w:cs="Times New Roman"/>
          <w:b w:val="0"/>
          <w:sz w:val="24"/>
          <w:szCs w:val="24"/>
        </w:rPr>
        <w:br w:type="page"/>
      </w:r>
    </w:p>
    <w:p w14:paraId="1A290A3D">
      <w:pPr>
        <w:pStyle w:val="2"/>
        <w:spacing w:before="480" w:after="360" w:line="360" w:lineRule="auto"/>
        <w:ind w:firstLine="0"/>
        <w:jc w:val="center"/>
      </w:pPr>
      <w:bookmarkStart w:id="30" w:name="_Toc815973048"/>
      <w:bookmarkStart w:id="31" w:name="_Toc155520491"/>
      <w:r>
        <w:rPr>
          <w:rFonts w:ascii="Times New Roman" w:hAnsi="Times New Roman" w:eastAsia="黑体" w:cs="Times New Roman"/>
          <w:b/>
          <w:sz w:val="32"/>
          <w:szCs w:val="32"/>
        </w:rPr>
        <w:t>2  基于行业标准判据的变压器油中溶解气体检测分级与预警智能分类技术</w:t>
      </w:r>
      <w:bookmarkEnd w:id="30"/>
      <w:bookmarkEnd w:id="31"/>
    </w:p>
    <w:p w14:paraId="43E1E980">
      <w:pPr>
        <w:pStyle w:val="4"/>
        <w:spacing w:before="156" w:beforeLines="50" w:after="156" w:afterLines="50" w:line="360" w:lineRule="auto"/>
        <w:ind w:left="0"/>
        <w:jc w:val="both"/>
        <w:rPr>
          <w:rFonts w:hint="eastAsia" w:eastAsia="黑体"/>
          <w:b w:val="0"/>
          <w:bCs/>
          <w:sz w:val="24"/>
          <w:szCs w:val="18"/>
        </w:rPr>
      </w:pPr>
      <w:bookmarkStart w:id="32" w:name="_Toc228447994"/>
      <w:bookmarkStart w:id="33" w:name="_Toc345293838"/>
      <w:r>
        <w:rPr>
          <w:rFonts w:hint="eastAsia" w:eastAsia="黑体"/>
          <w:b w:val="0"/>
          <w:bCs/>
          <w:sz w:val="24"/>
          <w:szCs w:val="18"/>
        </w:rPr>
        <w:t>2.1 引言</w:t>
      </w:r>
      <w:bookmarkEnd w:id="32"/>
      <w:bookmarkEnd w:id="33"/>
    </w:p>
    <w:p w14:paraId="04C5753B">
      <w:pPr>
        <w:pStyle w:val="3"/>
        <w:spacing w:before="0" w:after="0" w:line="360" w:lineRule="auto"/>
        <w:ind w:firstLine="420"/>
        <w:jc w:val="both"/>
      </w:pPr>
      <w:r>
        <w:rPr>
          <w:rFonts w:ascii="Times New Roman" w:hAnsi="Times New Roman" w:eastAsia="宋体" w:cs="Times New Roman"/>
          <w:sz w:val="24"/>
          <w:szCs w:val="24"/>
        </w:rPr>
        <w:t>油中溶解气体在线监测，使变压器内部潜伏性异常能够被连续观测。要把监测数据变成可靠的状态判断，后台需要做好两件事：一是按行业标准完成检测分级；二是在气体含量尚未明显升高、但产气速率已经加快时，给出涨势预警。检测分级按DL/T 1498.2—2025[7]表A.3：面向220kV及以下油浸式变压器，用绝对浓度、绝对增量和相对增长速率三组判据，给出正常、注意值1、注意值2、告警值四档结果。涨势预警和处置紧急度则依据DL/T 722—2014[6]的相对产气速率注意值；速率超注意时，该标准还要求缩短检测周期、加强监视。上述表A.3的相对增长速率与DL/T 722—2014的相对产气速率都叫相对速率，但计算周期与用途不同，须分开使用；后者本文称总烃月环比，细则见第2.2节。若混用两套速率，检测分级、涨势预警和处置紧急度都可能判错；若只比对含量、不算相对产气速率，又容易漏报早期涨势，也难以正确给出处置紧急度。</w:t>
      </w:r>
    </w:p>
    <w:p w14:paraId="368E15C4">
      <w:pPr>
        <w:pStyle w:val="3"/>
        <w:spacing w:before="0" w:after="0" w:line="360" w:lineRule="auto"/>
        <w:ind w:firstLine="420"/>
        <w:jc w:val="both"/>
      </w:pPr>
      <w:r>
        <w:rPr>
          <w:rFonts w:ascii="Times New Roman" w:hAnsi="Times New Roman" w:eastAsia="宋体" w:cs="Times New Roman"/>
          <w:sz w:val="24"/>
          <w:szCs w:val="24"/>
        </w:rPr>
        <w:t>本章研究检测分级与告警信息的组织方法，依据仍是在线监测与油中溶解气体分析相关行业标准。把现行标准里已经写明的检测分级、处置紧急度和涨势预警，按统一口径自动算出，并留下可逐条核对的行业标准依据，供后续故障类型判断与智能体编排使用。验证分两条线：在行业标准附录真实色谱上，核对分级与紧急度是否与原文评价一致；在单台×360天合成时序上，检验方法在连续监测条件下的运行效果。</w:t>
      </w:r>
    </w:p>
    <w:p w14:paraId="27DB4A43">
      <w:pPr>
        <w:pStyle w:val="4"/>
        <w:spacing w:before="156" w:beforeLines="50" w:after="156" w:afterLines="50" w:line="360" w:lineRule="auto"/>
        <w:ind w:left="0"/>
        <w:jc w:val="both"/>
        <w:rPr>
          <w:rFonts w:hint="eastAsia" w:eastAsia="黑体"/>
          <w:b w:val="0"/>
          <w:bCs/>
          <w:sz w:val="24"/>
          <w:szCs w:val="18"/>
        </w:rPr>
      </w:pPr>
      <w:bookmarkStart w:id="34" w:name="_Toc852721072"/>
      <w:bookmarkStart w:id="35" w:name="_Toc1972157969"/>
      <w:r>
        <w:rPr>
          <w:rFonts w:hint="eastAsia" w:eastAsia="黑体"/>
          <w:b w:val="0"/>
          <w:bCs/>
          <w:sz w:val="24"/>
          <w:szCs w:val="18"/>
        </w:rPr>
        <w:t>2.2 相关研究与问题分析</w:t>
      </w:r>
      <w:bookmarkEnd w:id="34"/>
      <w:bookmarkEnd w:id="35"/>
    </w:p>
    <w:p w14:paraId="0BDD9DC7">
      <w:pPr>
        <w:pStyle w:val="3"/>
        <w:spacing w:before="0" w:after="0" w:line="360" w:lineRule="auto"/>
        <w:ind w:firstLine="420"/>
        <w:jc w:val="both"/>
      </w:pPr>
      <w:r>
        <w:rPr>
          <w:rFonts w:ascii="Times New Roman" w:hAnsi="Times New Roman" w:eastAsia="宋体" w:cs="Times New Roman"/>
          <w:sz w:val="24"/>
          <w:szCs w:val="24"/>
        </w:rPr>
        <w:t>油中溶解气体检测与告警，长期以来多按规则方法开展：先比对含量注意值，再核算产气速率，并据此分级告警。DL/T 722—2014规定了注意值、相对产气速率及应用原则，要求把含量与速率结合起来判断。在线监测技术规范则从后台功能出发，细化了四档告警与数据采集要求。围绕油色谱异常怎么处置、在线监测怎么做、装置测得准不准，已有不少研究与应用讨论</w:t>
      </w:r>
      <w:r>
        <w:rPr>
          <w:rFonts w:hint="default" w:ascii="Times New Roman" w:hAnsi="Times New Roman" w:eastAsia="宋体" w:cs="Times New Roman"/>
          <w:sz w:val="24"/>
          <w:szCs w:val="24"/>
          <w:vertAlign w:val="superscript"/>
          <w:lang w:val="en-US"/>
        </w:rPr>
        <w:fldChar w:fldCharType="begin"/>
      </w:r>
      <w:r>
        <w:instrText xml:space="preserve"> REF _RefCite023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[23]</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vertAlign w:val="superscript"/>
          <w:lang w:val="en-US"/>
        </w:rPr>
        <w:fldChar w:fldCharType="begin"/>
      </w:r>
      <w:r>
        <w:instrText xml:space="preserve"> REF _RefCite027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[27]</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vertAlign w:val="superscript"/>
          <w:lang w:val="en-US"/>
        </w:rPr>
        <w:fldChar w:fldCharType="begin"/>
      </w:r>
      <w:r>
        <w:instrText xml:space="preserve"> REF _RefCite030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[30]</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vertAlign w:val="superscript"/>
          <w:lang w:val="en-US"/>
        </w:rPr>
        <w:fldChar w:fldCharType="begin"/>
      </w:r>
      <w:r>
        <w:instrText xml:space="preserve"> REF _RefCite031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[31]</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宋体" w:cs="Times New Roman"/>
          <w:sz w:val="24"/>
          <w:szCs w:val="24"/>
        </w:rPr>
        <w:t>。可见，这类规则方法要真正用起来，仍要求阈值清楚、结论可核对。</w:t>
      </w:r>
    </w:p>
    <w:p w14:paraId="19910532">
      <w:pPr>
        <w:pStyle w:val="3"/>
        <w:spacing w:before="0" w:after="0" w:line="360" w:lineRule="auto"/>
        <w:ind w:firstLine="420"/>
        <w:jc w:val="both"/>
      </w:pPr>
      <w:r>
        <w:rPr>
          <w:rFonts w:ascii="Times New Roman" w:hAnsi="Times New Roman" w:eastAsia="宋体" w:cs="Times New Roman"/>
          <w:sz w:val="24"/>
        </w:rPr>
        <w:t>结合现有系统实现和实际使用情况，仍存在以下三点不足。</w:t>
      </w:r>
    </w:p>
    <w:p w14:paraId="5AB6C333">
      <w:pPr>
        <w:pStyle w:val="3"/>
        <w:keepNext w:val="0"/>
        <w:keepLines w:val="0"/>
        <w:pageBreakBefore w:val="0"/>
        <w:widowControl w:val="0"/>
        <w:numPr>
          <w:ilvl w:val="0"/>
          <w:numId w:val="4"/>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hint="eastAsia" w:eastAsia="宋体"/>
          <w:b w:val="0"/>
          <w:spacing w:val="22"/>
          <w:kern w:val="10"/>
          <w:szCs w:val="18"/>
        </w:rPr>
        <w:t>速率口径易混。DL/T 1498.2—2025表A.3中的相对增长速率按%/周计算，用于检测分级；DL/T 722—2014[6]第9.3.2条的相对产气速率按%/月计算，用于处置紧急度和涨势预警。两套都叫相对速率，一个按周、一个按月，用途也不同。若不分开计算、分开使用，就可能把周速率拿去判趋势，或把月速率拿去参与上述表A.3落档，结论对不上标准口径。</w:t>
      </w:r>
    </w:p>
    <w:p w14:paraId="4C555997">
      <w:pPr>
        <w:pStyle w:val="3"/>
        <w:keepNext w:val="0"/>
        <w:keepLines w:val="0"/>
        <w:pageBreakBefore w:val="0"/>
        <w:widowControl w:val="0"/>
        <w:numPr>
          <w:ilvl w:val="0"/>
          <w:numId w:val="4"/>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hint="eastAsia" w:eastAsia="宋体"/>
          <w:b w:val="0"/>
          <w:spacing w:val="22"/>
          <w:kern w:val="10"/>
          <w:szCs w:val="18"/>
        </w:rPr>
        <w:t>检测分级升档条件不清。上述表A.3按乙炔、氢气、总烃的绝对浓度、绝对增量与相对增长速率分别判定，当日检测分级取各项中的最高档。若只输出最高档，不保留是哪一种气体、哪一组判据升档，就难以对照上述表A.3说明升档原因，后续报告字段也难与行业标准依据对应。</w:t>
      </w:r>
    </w:p>
    <w:p w14:paraId="7EF934E1">
      <w:pPr>
        <w:pStyle w:val="3"/>
        <w:keepNext w:val="0"/>
        <w:keepLines w:val="0"/>
        <w:pageBreakBefore w:val="0"/>
        <w:widowControl w:val="0"/>
        <w:numPr>
          <w:ilvl w:val="0"/>
          <w:numId w:val="4"/>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hint="eastAsia" w:eastAsia="宋体"/>
          <w:b w:val="0"/>
          <w:spacing w:val="22"/>
          <w:kern w:val="10"/>
          <w:szCs w:val="18"/>
        </w:rPr>
        <w:t>涨势预警缺失。按DL/T 722—2014，气体含量尚未超过注意值、但相对产气速率已超注意时，仍应加强监视、缩短检测周期。此时按上述表A.3做检测分级，结果仍可能只是正常或注意值1。若系统只给出检测分级，却不算或不单独标出总烃月环比是否超注意，这类情形就发现不了。因此涨势预警须在检测分级之外单独给出，不能用检测分级结果代替。</w:t>
      </w:r>
    </w:p>
    <w:p w14:paraId="2F094CCB">
      <w:pPr>
        <w:pStyle w:val="3"/>
        <w:keepNext w:val="0"/>
        <w:keepLines w:val="0"/>
        <w:pageBreakBefore w:val="0"/>
        <w:widowControl w:val="0"/>
        <w:numPr>
          <w:ilvl w:val="0"/>
          <w:numId w:val="4"/>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针对上述不足，本章提出以下改进：</w:t>
      </w:r>
    </w:p>
    <w:p w14:paraId="6F9B0A05">
      <w:pPr>
        <w:pStyle w:val="3"/>
        <w:keepNext w:val="0"/>
        <w:keepLines w:val="0"/>
        <w:pageBreakBefore w:val="0"/>
        <w:widowControl w:val="0"/>
        <w:numPr>
          <w:ilvl w:val="0"/>
          <w:numId w:val="4"/>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明确两套相对速率各自的用途。DL/T 1498.2—2025表A.3中的相对增长速率按%/周计算，仅用于检测分级；DL/T 722—2014[6]第9.3.2条中的相对产气速率按%/月计算，本文对总烃按约30天间隔实现，称总烃月环比，仅用于涨势预警和处置紧急度判定。二者分别计算，互不替代。</w:t>
      </w:r>
    </w:p>
    <w:p w14:paraId="1B84299F">
      <w:pPr>
        <w:pStyle w:val="3"/>
        <w:keepNext w:val="0"/>
        <w:keepLines w:val="0"/>
        <w:pageBreakBefore w:val="0"/>
        <w:widowControl w:val="0"/>
        <w:numPr>
          <w:ilvl w:val="0"/>
          <w:numId w:val="4"/>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在给出检测分级的同时保留升档条件。按上述表A.3分别判定乙炔、氢气、总烃的绝对浓度、绝对增量与相对增长速率，以各项中的最高档作为当日检测分级；同时记录每项判据对应的气体、组别与所在档，以便对照上述表A.3说明升档原因。</w:t>
      </w:r>
    </w:p>
    <w:p w14:paraId="4C55F309">
      <w:pPr>
        <w:pStyle w:val="3"/>
        <w:keepNext w:val="0"/>
        <w:keepLines w:val="0"/>
        <w:pageBreakBefore w:val="0"/>
        <w:widowControl w:val="0"/>
        <w:numPr>
          <w:ilvl w:val="0"/>
          <w:numId w:val="4"/>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增设涨势预警输出。若总烃月环比已超过DL/T 722—2014相对产气速率注意值，而当日检测分级仍为正常或注意值1，则在检测分级之外另行给出涨势预警；检测分级结果保持不变。</w:t>
      </w:r>
    </w:p>
    <w:p w14:paraId="64036423">
      <w:pPr>
        <w:pStyle w:val="4"/>
        <w:spacing w:before="156" w:beforeLines="50" w:after="156" w:afterLines="50" w:line="360" w:lineRule="auto"/>
        <w:ind w:left="0"/>
        <w:jc w:val="both"/>
        <w:rPr>
          <w:rFonts w:hint="eastAsia" w:eastAsia="黑体"/>
          <w:b w:val="0"/>
          <w:bCs/>
          <w:sz w:val="24"/>
          <w:szCs w:val="18"/>
        </w:rPr>
      </w:pPr>
      <w:bookmarkStart w:id="36" w:name="_Toc1796377185"/>
      <w:bookmarkStart w:id="37" w:name="_Toc1524680673"/>
      <w:r>
        <w:rPr>
          <w:rFonts w:hint="eastAsia" w:eastAsia="黑体"/>
          <w:b w:val="0"/>
          <w:bCs/>
          <w:sz w:val="24"/>
          <w:szCs w:val="18"/>
        </w:rPr>
        <w:t>2.3 演示数据与验证口径</w:t>
      </w:r>
      <w:bookmarkEnd w:id="36"/>
      <w:bookmarkEnd w:id="37"/>
    </w:p>
    <w:p w14:paraId="5E376E8F">
      <w:pPr>
        <w:pStyle w:val="3"/>
        <w:spacing w:before="0" w:after="0" w:line="360" w:lineRule="auto"/>
        <w:ind w:firstLine="420"/>
        <w:jc w:val="both"/>
      </w:pPr>
      <w:r>
        <w:rPr>
          <w:rFonts w:hint="eastAsia" w:eastAsia="宋体"/>
          <w:b w:val="0"/>
          <w:spacing w:val="22"/>
          <w:kern w:val="10"/>
          <w:szCs w:val="18"/>
        </w:rPr>
        <w:t>本章采用两类数据，分别用于真值核对与连续监测演示，分工如下。</w:t>
      </w:r>
    </w:p>
    <w:p w14:paraId="320A29EF">
      <w:pPr>
        <w:pStyle w:val="3"/>
        <w:keepNext w:val="0"/>
        <w:keepLines w:val="0"/>
        <w:pageBreakBefore w:val="0"/>
        <w:widowControl w:val="0"/>
        <w:numPr>
          <w:ilvl w:val="0"/>
          <w:numId w:val="5"/>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hint="eastAsia" w:eastAsia="宋体"/>
          <w:b w:val="0"/>
          <w:spacing w:val="22"/>
          <w:kern w:val="10"/>
          <w:szCs w:val="18"/>
        </w:rPr>
        <w:t>行业标准附录真值数据。取自DL/T 1685—2017</w:t>
      </w:r>
      <w:r>
        <w:rPr>
          <w:rFonts w:hint="eastAsia" w:eastAsia="宋体"/>
          <w:b w:val="0"/>
          <w:spacing w:val="22"/>
          <w:kern w:val="10"/>
          <w:szCs w:val="18"/>
          <w:vertAlign w:val="superscript"/>
        </w:rPr>
        <w:t>[8]</w:t>
      </w:r>
      <w:r>
        <w:rPr>
          <w:rFonts w:hint="eastAsia" w:eastAsia="宋体"/>
          <w:b w:val="0"/>
          <w:spacing w:val="22"/>
          <w:kern w:val="10"/>
          <w:szCs w:val="18"/>
        </w:rPr>
        <w:t>附录D表D.1的一台220kV变压器长时序色谱（10个采样点），用于核对分级结果与原文状态评价口径的一致性；该类数据为标准原文真实色谱，非合成。</w:t>
      </w:r>
    </w:p>
    <w:p w14:paraId="2196CAC7">
      <w:pPr>
        <w:pStyle w:val="3"/>
        <w:keepNext w:val="0"/>
        <w:keepLines w:val="0"/>
        <w:pageBreakBefore w:val="0"/>
        <w:widowControl w:val="0"/>
        <w:numPr>
          <w:ilvl w:val="0"/>
          <w:numId w:val="5"/>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合成演示时序。原始数据来自公开DGA数据集，共743条快照，没有日期，无法直接算增量、相对增长速率和总烃月环比。本文据此另造一台虚拟设备的连续360天日序列，七种气体齐全，气体分布和烃类相关关系尽量贴近原始数据。该时序用来看全年分级分布、涨势预警和典型日案例，只说明方法在逐日监测下可以运行，不能当作现场实测依据。</w:t>
      </w:r>
    </w:p>
    <w:p w14:paraId="64AEEC7F">
      <w:pPr>
        <w:pStyle w:val="3"/>
        <w:spacing w:before="0" w:after="0" w:line="360" w:lineRule="auto"/>
        <w:ind w:firstLine="420"/>
        <w:jc w:val="both"/>
      </w:pPr>
      <w:r>
        <w:rPr>
          <w:rFonts w:hint="eastAsia" w:eastAsia="宋体"/>
          <w:b w:val="0"/>
          <w:spacing w:val="22"/>
          <w:kern w:val="10"/>
          <w:szCs w:val="18"/>
        </w:rPr>
        <w:t>验证时约定如下：四档名称与上述表A.3一致，即正常、注意值1、注意值2、告警值；其中注意值2与DL/T 722—2014含量注意值对齐。落档只用乙炔、氢气和总烃（总烃为甲烷、乙烯、乙烷、乙炔之和），一氧化碳与二氧化碳不进入上述表A.3。DL/T 722—2014相对产气速率注意值取10%/月；总烃起始含量过低时，不宜采用该判据。紧急度仅在注意值2及以上给出，且不改写检测分级结果。</w:t>
      </w:r>
    </w:p>
    <w:p w14:paraId="53E1E4CA">
      <w:pPr>
        <w:pStyle w:val="4"/>
        <w:spacing w:before="156" w:beforeLines="50" w:after="156" w:afterLines="50" w:line="360" w:lineRule="auto"/>
        <w:ind w:left="0"/>
        <w:jc w:val="both"/>
        <w:rPr>
          <w:rFonts w:hint="eastAsia" w:eastAsia="黑体"/>
          <w:b w:val="0"/>
          <w:bCs/>
          <w:sz w:val="24"/>
          <w:szCs w:val="18"/>
        </w:rPr>
      </w:pPr>
      <w:bookmarkStart w:id="38" w:name="_Toc1533195107"/>
      <w:bookmarkStart w:id="39" w:name="_Toc238755122"/>
      <w:r>
        <w:rPr>
          <w:rFonts w:hint="eastAsia" w:eastAsia="黑体"/>
          <w:b/>
          <w:bCs/>
          <w:sz w:val="24"/>
          <w:szCs w:val="18"/>
        </w:rPr>
        <w:t>2.4 基于在线监测行业标准的检测分级方法</w:t>
      </w:r>
      <w:bookmarkEnd w:id="38"/>
      <w:bookmarkEnd w:id="39"/>
    </w:p>
    <w:p w14:paraId="3A6AB5C3">
      <w:pPr>
        <w:pStyle w:val="3"/>
        <w:spacing w:before="0" w:after="0" w:line="360" w:lineRule="auto"/>
        <w:ind w:firstLine="420"/>
        <w:jc w:val="both"/>
      </w:pPr>
      <w:r>
        <w:rPr>
          <w:rFonts w:hint="eastAsia" w:eastAsia="宋体"/>
          <w:b w:val="0"/>
          <w:spacing w:val="22"/>
          <w:kern w:val="10"/>
          <w:szCs w:val="18"/>
        </w:rPr>
        <w:t>本章要回答的是：当前指标落在哪一档。落档只按DL/T 1498.2—2025</w:t>
      </w:r>
      <w:r>
        <w:rPr>
          <w:rFonts w:hint="eastAsia" w:eastAsia="宋体"/>
          <w:b w:val="0"/>
          <w:spacing w:val="22"/>
          <w:kern w:val="10"/>
          <w:szCs w:val="18"/>
          <w:vertAlign w:val="superscript"/>
        </w:rPr>
        <w:t>[7]</w:t>
      </w:r>
      <w:r>
        <w:rPr>
          <w:rFonts w:hint="eastAsia" w:eastAsia="宋体"/>
          <w:b w:val="0"/>
          <w:spacing w:val="22"/>
          <w:kern w:val="10"/>
          <w:szCs w:val="18"/>
        </w:rPr>
        <w:t>表A.3。该标准A.2.3规定，220kV及以下变压器和电抗器的在线监测阈值分为注意值1、注意值2、告警值三种，覆盖乙炔、氢气、总烃等特征气体的含量、绝对增量与相对增长速率；适用范围为乙炔≤10μL/L、氢气≤150μL/L、总烃≤150μL/L，运行单位也可按装置波动和可接受的越限频次自行调整。DL/T 722—2014表3的含量注意值对应本文注意值2。一氧化碳与二氧化碳不参与判定。表中数值整理如表2.1所示；“/”表示该档无定义。</w:t>
      </w:r>
    </w:p>
    <w:p w14:paraId="31651C60">
      <w:pPr>
        <w:pStyle w:val="15"/>
        <w:spacing w:before="120" w:after="120" w:line="360" w:lineRule="auto"/>
        <w:ind w:firstLine="0"/>
        <w:jc w:val="center"/>
      </w:pPr>
      <w:r>
        <w:rPr>
          <w:rFonts w:ascii="Times New Roman" w:hAnsi="Times New Roman" w:eastAsia="黑体" w:cs="Times New Roman"/>
          <w:b/>
          <w:bCs/>
          <w:sz w:val="21"/>
          <w:szCs w:val="21"/>
        </w:rPr>
        <w:t>表2.1　在线监测阈值（220kV及以下）</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56182FAD">
        <w:tc>
          <w:tcPr>
            <w:tcW w:w="1512" w:type="dxa"/>
            <w:tcBorders>
              <w:bottom w:val="single" w:color="000000" w:sz="6" w:space="0"/>
            </w:tcBorders>
          </w:tcPr>
          <w:p w14:paraId="329D1824">
            <w:pPr>
              <w:spacing w:before="40" w:after="40" w:line="276" w:lineRule="auto"/>
              <w:jc w:val="center"/>
            </w:pPr>
            <w:r>
              <w:rPr>
                <w:rFonts w:ascii="Times New Roman" w:hAnsi="Times New Roman" w:eastAsia="宋体" w:cs="Times New Roman"/>
                <w:sz w:val="21"/>
                <w:szCs w:val="21"/>
              </w:rPr>
              <w:t>监测项目</w:t>
            </w:r>
          </w:p>
        </w:tc>
        <w:tc>
          <w:tcPr>
            <w:tcW w:w="1512" w:type="dxa"/>
            <w:tcBorders>
              <w:bottom w:val="single" w:color="000000" w:sz="6" w:space="0"/>
            </w:tcBorders>
          </w:tcPr>
          <w:p w14:paraId="3A1478F3">
            <w:pPr>
              <w:spacing w:before="40" w:after="40" w:line="276" w:lineRule="auto"/>
              <w:jc w:val="center"/>
            </w:pPr>
          </w:p>
        </w:tc>
        <w:tc>
          <w:tcPr>
            <w:tcW w:w="1512" w:type="dxa"/>
            <w:tcBorders>
              <w:bottom w:val="single" w:color="000000" w:sz="6" w:space="0"/>
            </w:tcBorders>
          </w:tcPr>
          <w:p w14:paraId="079EE116">
            <w:pPr>
              <w:spacing w:before="40" w:after="40" w:line="276" w:lineRule="auto"/>
              <w:jc w:val="center"/>
            </w:pPr>
            <w:r>
              <w:rPr>
                <w:rFonts w:ascii="Times New Roman" w:hAnsi="Times New Roman" w:eastAsia="宋体" w:cs="Times New Roman"/>
                <w:sz w:val="21"/>
                <w:szCs w:val="21"/>
              </w:rPr>
              <w:t>正常范围</w:t>
            </w:r>
          </w:p>
        </w:tc>
        <w:tc>
          <w:tcPr>
            <w:tcW w:w="1512" w:type="dxa"/>
            <w:tcBorders>
              <w:bottom w:val="single" w:color="000000" w:sz="6" w:space="0"/>
            </w:tcBorders>
          </w:tcPr>
          <w:p w14:paraId="593FF6C7">
            <w:pPr>
              <w:spacing w:before="40" w:after="40" w:line="276" w:lineRule="auto"/>
              <w:jc w:val="center"/>
            </w:pPr>
            <w:r>
              <w:rPr>
                <w:rFonts w:ascii="Times New Roman" w:hAnsi="Times New Roman" w:eastAsia="宋体" w:cs="Times New Roman"/>
                <w:sz w:val="21"/>
                <w:szCs w:val="21"/>
              </w:rPr>
              <w:t>注意值1</w:t>
            </w:r>
          </w:p>
        </w:tc>
        <w:tc>
          <w:tcPr>
            <w:tcW w:w="1512" w:type="dxa"/>
            <w:tcBorders>
              <w:bottom w:val="single" w:color="000000" w:sz="6" w:space="0"/>
            </w:tcBorders>
          </w:tcPr>
          <w:p w14:paraId="3BE17E2B">
            <w:pPr>
              <w:spacing w:before="40" w:after="40" w:line="276" w:lineRule="auto"/>
              <w:jc w:val="center"/>
            </w:pPr>
            <w:r>
              <w:rPr>
                <w:rFonts w:ascii="Times New Roman" w:hAnsi="Times New Roman" w:eastAsia="宋体" w:cs="Times New Roman"/>
                <w:sz w:val="21"/>
                <w:szCs w:val="21"/>
              </w:rPr>
              <w:t>注意值2</w:t>
            </w:r>
          </w:p>
        </w:tc>
        <w:tc>
          <w:tcPr>
            <w:tcW w:w="1512" w:type="dxa"/>
            <w:tcBorders>
              <w:bottom w:val="single" w:color="000000" w:sz="6" w:space="0"/>
            </w:tcBorders>
          </w:tcPr>
          <w:p w14:paraId="772B24EF">
            <w:pPr>
              <w:spacing w:before="40" w:after="40" w:line="276" w:lineRule="auto"/>
              <w:jc w:val="center"/>
            </w:pPr>
            <w:r>
              <w:rPr>
                <w:rFonts w:ascii="Times New Roman" w:hAnsi="Times New Roman" w:eastAsia="宋体" w:cs="Times New Roman"/>
                <w:sz w:val="21"/>
                <w:szCs w:val="21"/>
              </w:rPr>
              <w:t>告警值</w:t>
            </w:r>
          </w:p>
        </w:tc>
      </w:tr>
      <w:tr w14:paraId="640820D3">
        <w:tc>
          <w:tcPr>
            <w:tcW w:w="1512" w:type="dxa"/>
          </w:tcPr>
          <w:p w14:paraId="0DE616E9">
            <w:pPr>
              <w:spacing w:before="40" w:after="40" w:line="276" w:lineRule="auto"/>
              <w:jc w:val="center"/>
            </w:pPr>
            <w:r>
              <w:rPr>
                <w:rFonts w:ascii="Times New Roman" w:hAnsi="Times New Roman" w:eastAsia="宋体" w:cs="Times New Roman"/>
                <w:sz w:val="21"/>
                <w:szCs w:val="21"/>
              </w:rPr>
              <w:t>乙炔值（μL/L）</w:t>
            </w:r>
          </w:p>
        </w:tc>
        <w:tc>
          <w:tcPr>
            <w:tcW w:w="1512" w:type="dxa"/>
          </w:tcPr>
          <w:p w14:paraId="7011DF68">
            <w:pPr>
              <w:spacing w:before="40" w:after="40" w:line="276" w:lineRule="auto"/>
              <w:jc w:val="center"/>
            </w:pPr>
          </w:p>
        </w:tc>
        <w:tc>
          <w:tcPr>
            <w:tcW w:w="1512" w:type="dxa"/>
          </w:tcPr>
          <w:p w14:paraId="4AEC3678">
            <w:pPr>
              <w:spacing w:before="40" w:after="40" w:line="276" w:lineRule="auto"/>
              <w:jc w:val="center"/>
            </w:pPr>
            <w:r>
              <w:rPr>
                <w:rFonts w:ascii="Times New Roman" w:hAnsi="Times New Roman" w:eastAsia="宋体" w:cs="Times New Roman"/>
                <w:sz w:val="21"/>
                <w:szCs w:val="21"/>
              </w:rPr>
              <w:t>＜1.0</w:t>
            </w:r>
          </w:p>
        </w:tc>
        <w:tc>
          <w:tcPr>
            <w:tcW w:w="1512" w:type="dxa"/>
          </w:tcPr>
          <w:p w14:paraId="636273C0">
            <w:pPr>
              <w:spacing w:before="40" w:after="40" w:line="276" w:lineRule="auto"/>
              <w:jc w:val="center"/>
            </w:pPr>
            <w:r>
              <w:rPr>
                <w:rFonts w:ascii="Times New Roman" w:hAnsi="Times New Roman" w:eastAsia="宋体" w:cs="Times New Roman"/>
                <w:sz w:val="21"/>
                <w:szCs w:val="21"/>
              </w:rPr>
              <w:t>≥1.0</w:t>
            </w:r>
          </w:p>
        </w:tc>
        <w:tc>
          <w:tcPr>
            <w:tcW w:w="1512" w:type="dxa"/>
          </w:tcPr>
          <w:p w14:paraId="6F64CBB1">
            <w:pPr>
              <w:spacing w:before="40" w:after="40" w:line="276" w:lineRule="auto"/>
              <w:jc w:val="center"/>
            </w:pPr>
            <w:r>
              <w:rPr>
                <w:rFonts w:ascii="Times New Roman" w:hAnsi="Times New Roman" w:eastAsia="宋体" w:cs="Times New Roman"/>
                <w:sz w:val="21"/>
                <w:szCs w:val="21"/>
              </w:rPr>
              <w:t>≥5.0</w:t>
            </w:r>
          </w:p>
        </w:tc>
        <w:tc>
          <w:tcPr>
            <w:tcW w:w="1512" w:type="dxa"/>
          </w:tcPr>
          <w:p w14:paraId="58159BF0">
            <w:pPr>
              <w:spacing w:before="40" w:after="40" w:line="276" w:lineRule="auto"/>
              <w:jc w:val="center"/>
            </w:pPr>
            <w:r>
              <w:rPr>
                <w:rFonts w:ascii="Times New Roman" w:hAnsi="Times New Roman" w:eastAsia="宋体" w:cs="Times New Roman"/>
                <w:sz w:val="21"/>
                <w:szCs w:val="21"/>
              </w:rPr>
              <w:t>≥8</w:t>
            </w:r>
          </w:p>
        </w:tc>
      </w:tr>
      <w:tr w14:paraId="04F67381">
        <w:tc>
          <w:tcPr>
            <w:tcW w:w="1512" w:type="dxa"/>
          </w:tcPr>
          <w:p w14:paraId="419F2138">
            <w:pPr>
              <w:spacing w:before="40" w:after="40" w:line="276" w:lineRule="auto"/>
              <w:jc w:val="center"/>
            </w:pPr>
            <w:r>
              <w:rPr>
                <w:rFonts w:ascii="Times New Roman" w:hAnsi="Times New Roman" w:eastAsia="宋体" w:cs="Times New Roman"/>
                <w:sz w:val="21"/>
                <w:szCs w:val="21"/>
              </w:rPr>
              <w:t>氢气值（μL/L）</w:t>
            </w:r>
          </w:p>
        </w:tc>
        <w:tc>
          <w:tcPr>
            <w:tcW w:w="1512" w:type="dxa"/>
          </w:tcPr>
          <w:p w14:paraId="2DFC14E6">
            <w:pPr>
              <w:spacing w:before="40" w:after="40" w:line="276" w:lineRule="auto"/>
              <w:jc w:val="center"/>
            </w:pPr>
          </w:p>
        </w:tc>
        <w:tc>
          <w:tcPr>
            <w:tcW w:w="1512" w:type="dxa"/>
          </w:tcPr>
          <w:p w14:paraId="4AC7B753">
            <w:pPr>
              <w:spacing w:before="40" w:after="40" w:line="276" w:lineRule="auto"/>
              <w:jc w:val="center"/>
            </w:pPr>
            <w:r>
              <w:rPr>
                <w:rFonts w:ascii="Times New Roman" w:hAnsi="Times New Roman" w:eastAsia="宋体" w:cs="Times New Roman"/>
                <w:sz w:val="21"/>
                <w:szCs w:val="21"/>
              </w:rPr>
              <w:t>＜120</w:t>
            </w:r>
          </w:p>
        </w:tc>
        <w:tc>
          <w:tcPr>
            <w:tcW w:w="1512" w:type="dxa"/>
          </w:tcPr>
          <w:p w14:paraId="71219971">
            <w:pPr>
              <w:spacing w:before="40" w:after="40" w:line="276" w:lineRule="auto"/>
              <w:jc w:val="center"/>
            </w:pPr>
            <w:r>
              <w:rPr>
                <w:rFonts w:ascii="Times New Roman" w:hAnsi="Times New Roman" w:eastAsia="宋体" w:cs="Times New Roman"/>
                <w:sz w:val="21"/>
                <w:szCs w:val="21"/>
              </w:rPr>
              <w:t>≥120</w:t>
            </w:r>
          </w:p>
        </w:tc>
        <w:tc>
          <w:tcPr>
            <w:tcW w:w="1512" w:type="dxa"/>
          </w:tcPr>
          <w:p w14:paraId="1EA23C38">
            <w:pPr>
              <w:spacing w:before="40" w:after="40" w:line="276" w:lineRule="auto"/>
              <w:jc w:val="center"/>
            </w:pPr>
            <w:r>
              <w:rPr>
                <w:rFonts w:ascii="Times New Roman" w:hAnsi="Times New Roman" w:eastAsia="宋体" w:cs="Times New Roman"/>
                <w:sz w:val="21"/>
                <w:szCs w:val="21"/>
              </w:rPr>
              <w:t>≥150</w:t>
            </w:r>
          </w:p>
        </w:tc>
        <w:tc>
          <w:tcPr>
            <w:tcW w:w="1512" w:type="dxa"/>
          </w:tcPr>
          <w:p w14:paraId="02371218">
            <w:pPr>
              <w:spacing w:before="40" w:after="40" w:line="276" w:lineRule="auto"/>
              <w:jc w:val="center"/>
            </w:pPr>
            <w:r>
              <w:rPr>
                <w:rFonts w:ascii="Times New Roman" w:hAnsi="Times New Roman" w:eastAsia="宋体" w:cs="Times New Roman"/>
                <w:sz w:val="21"/>
                <w:szCs w:val="21"/>
              </w:rPr>
              <w:t>/</w:t>
            </w:r>
          </w:p>
        </w:tc>
      </w:tr>
      <w:tr w14:paraId="3D8C1C69">
        <w:tc>
          <w:tcPr>
            <w:tcW w:w="1512" w:type="dxa"/>
          </w:tcPr>
          <w:p w14:paraId="7E8F7AD8">
            <w:pPr>
              <w:spacing w:before="40" w:after="40" w:line="276" w:lineRule="auto"/>
              <w:jc w:val="center"/>
            </w:pPr>
            <w:r>
              <w:rPr>
                <w:rFonts w:ascii="Times New Roman" w:hAnsi="Times New Roman" w:eastAsia="宋体" w:cs="Times New Roman"/>
                <w:sz w:val="21"/>
                <w:szCs w:val="21"/>
              </w:rPr>
              <w:t>总烃值（μL/L）</w:t>
            </w:r>
          </w:p>
        </w:tc>
        <w:tc>
          <w:tcPr>
            <w:tcW w:w="1512" w:type="dxa"/>
          </w:tcPr>
          <w:p w14:paraId="72094EFD">
            <w:pPr>
              <w:spacing w:before="40" w:after="40" w:line="276" w:lineRule="auto"/>
              <w:jc w:val="center"/>
            </w:pPr>
          </w:p>
        </w:tc>
        <w:tc>
          <w:tcPr>
            <w:tcW w:w="1512" w:type="dxa"/>
          </w:tcPr>
          <w:p w14:paraId="2FEF2412">
            <w:pPr>
              <w:spacing w:before="40" w:after="40" w:line="276" w:lineRule="auto"/>
              <w:jc w:val="center"/>
            </w:pPr>
            <w:r>
              <w:rPr>
                <w:rFonts w:ascii="Times New Roman" w:hAnsi="Times New Roman" w:eastAsia="宋体" w:cs="Times New Roman"/>
                <w:sz w:val="21"/>
                <w:szCs w:val="21"/>
              </w:rPr>
              <w:t>＜120</w:t>
            </w:r>
          </w:p>
        </w:tc>
        <w:tc>
          <w:tcPr>
            <w:tcW w:w="1512" w:type="dxa"/>
          </w:tcPr>
          <w:p w14:paraId="12287718">
            <w:pPr>
              <w:spacing w:before="40" w:after="40" w:line="276" w:lineRule="auto"/>
              <w:jc w:val="center"/>
            </w:pPr>
            <w:r>
              <w:rPr>
                <w:rFonts w:ascii="Times New Roman" w:hAnsi="Times New Roman" w:eastAsia="宋体" w:cs="Times New Roman"/>
                <w:sz w:val="21"/>
                <w:szCs w:val="21"/>
              </w:rPr>
              <w:t>≥120</w:t>
            </w:r>
          </w:p>
        </w:tc>
        <w:tc>
          <w:tcPr>
            <w:tcW w:w="1512" w:type="dxa"/>
          </w:tcPr>
          <w:p w14:paraId="1921171D">
            <w:pPr>
              <w:spacing w:before="40" w:after="40" w:line="276" w:lineRule="auto"/>
              <w:jc w:val="center"/>
            </w:pPr>
            <w:r>
              <w:rPr>
                <w:rFonts w:ascii="Times New Roman" w:hAnsi="Times New Roman" w:eastAsia="宋体" w:cs="Times New Roman"/>
                <w:sz w:val="21"/>
                <w:szCs w:val="21"/>
              </w:rPr>
              <w:t>≥150</w:t>
            </w:r>
          </w:p>
        </w:tc>
        <w:tc>
          <w:tcPr>
            <w:tcW w:w="1512" w:type="dxa"/>
          </w:tcPr>
          <w:p w14:paraId="38E20EDF">
            <w:pPr>
              <w:spacing w:before="40" w:after="40" w:line="276" w:lineRule="auto"/>
              <w:jc w:val="center"/>
            </w:pPr>
            <w:r>
              <w:rPr>
                <w:rFonts w:ascii="Times New Roman" w:hAnsi="Times New Roman" w:eastAsia="宋体" w:cs="Times New Roman"/>
                <w:sz w:val="21"/>
                <w:szCs w:val="21"/>
              </w:rPr>
              <w:t>/</w:t>
            </w:r>
          </w:p>
        </w:tc>
      </w:tr>
      <w:tr w14:paraId="4BF2FE65">
        <w:tc>
          <w:tcPr>
            <w:tcW w:w="1512" w:type="dxa"/>
          </w:tcPr>
          <w:p w14:paraId="3AD335D6">
            <w:pPr>
              <w:spacing w:before="40" w:after="40" w:line="276" w:lineRule="auto"/>
              <w:jc w:val="center"/>
            </w:pPr>
            <w:r>
              <w:rPr>
                <w:rFonts w:ascii="Times New Roman" w:hAnsi="Times New Roman" w:eastAsia="宋体" w:cs="Times New Roman"/>
                <w:sz w:val="21"/>
                <w:szCs w:val="21"/>
              </w:rPr>
              <w:t>绝对增量ᵃ（μL/L·周）</w:t>
            </w:r>
          </w:p>
        </w:tc>
        <w:tc>
          <w:tcPr>
            <w:tcW w:w="1512" w:type="dxa"/>
          </w:tcPr>
          <w:p w14:paraId="6F6E8FFA">
            <w:pPr>
              <w:spacing w:before="40" w:after="40" w:line="276" w:lineRule="auto"/>
              <w:jc w:val="center"/>
            </w:pPr>
            <w:r>
              <w:t>乙炔</w:t>
            </w:r>
          </w:p>
        </w:tc>
        <w:tc>
          <w:tcPr>
            <w:tcW w:w="1512" w:type="dxa"/>
          </w:tcPr>
          <w:p w14:paraId="0EF13760">
            <w:pPr>
              <w:spacing w:before="40" w:after="40" w:line="276" w:lineRule="auto"/>
              <w:jc w:val="center"/>
            </w:pPr>
            <w:r>
              <w:rPr>
                <w:rFonts w:ascii="Times New Roman" w:hAnsi="Times New Roman" w:eastAsia="宋体" w:cs="Times New Roman"/>
                <w:sz w:val="21"/>
                <w:szCs w:val="21"/>
              </w:rPr>
              <w:t>＜1.0</w:t>
            </w:r>
          </w:p>
        </w:tc>
        <w:tc>
          <w:tcPr>
            <w:tcW w:w="1512" w:type="dxa"/>
          </w:tcPr>
          <w:p w14:paraId="6F7EDA83">
            <w:pPr>
              <w:spacing w:before="40" w:after="40" w:line="276" w:lineRule="auto"/>
              <w:jc w:val="center"/>
            </w:pPr>
            <w:r>
              <w:rPr>
                <w:rFonts w:ascii="Times New Roman" w:hAnsi="Times New Roman" w:eastAsia="宋体" w:cs="Times New Roman"/>
                <w:sz w:val="21"/>
                <w:szCs w:val="21"/>
              </w:rPr>
              <w:t>“从无到有”或增量≥1.0</w:t>
            </w:r>
          </w:p>
        </w:tc>
        <w:tc>
          <w:tcPr>
            <w:tcW w:w="1512" w:type="dxa"/>
          </w:tcPr>
          <w:p w14:paraId="12E0E212">
            <w:pPr>
              <w:spacing w:before="40" w:after="40" w:line="276" w:lineRule="auto"/>
              <w:jc w:val="center"/>
            </w:pPr>
            <w:r>
              <w:rPr>
                <w:rFonts w:ascii="Times New Roman" w:hAnsi="Times New Roman" w:eastAsia="宋体" w:cs="Times New Roman"/>
                <w:sz w:val="21"/>
                <w:szCs w:val="21"/>
              </w:rPr>
              <w:t>≥2.0</w:t>
            </w:r>
          </w:p>
        </w:tc>
        <w:tc>
          <w:tcPr>
            <w:tcW w:w="1512" w:type="dxa"/>
          </w:tcPr>
          <w:p w14:paraId="6798DB92">
            <w:pPr>
              <w:spacing w:before="40" w:after="40" w:line="276" w:lineRule="auto"/>
              <w:jc w:val="center"/>
            </w:pPr>
            <w:r>
              <w:rPr>
                <w:rFonts w:ascii="Times New Roman" w:hAnsi="Times New Roman" w:eastAsia="宋体" w:cs="Times New Roman"/>
                <w:sz w:val="21"/>
                <w:szCs w:val="21"/>
              </w:rPr>
              <w:t>≥4</w:t>
            </w:r>
          </w:p>
        </w:tc>
      </w:tr>
      <w:tr w14:paraId="058C688C">
        <w:tc>
          <w:tcPr>
            <w:tcW w:w="1512" w:type="dxa"/>
          </w:tcPr>
          <w:p w14:paraId="27E04242">
            <w:pPr>
              <w:spacing w:before="40" w:after="40" w:line="276" w:lineRule="auto"/>
              <w:jc w:val="center"/>
            </w:pPr>
          </w:p>
        </w:tc>
        <w:tc>
          <w:tcPr>
            <w:tcW w:w="1512" w:type="dxa"/>
          </w:tcPr>
          <w:p w14:paraId="45049ECF">
            <w:pPr>
              <w:spacing w:before="40" w:after="40" w:line="276" w:lineRule="auto"/>
              <w:jc w:val="center"/>
            </w:pPr>
            <w:r>
              <w:t>氢气</w:t>
            </w:r>
          </w:p>
        </w:tc>
        <w:tc>
          <w:tcPr>
            <w:tcW w:w="1512" w:type="dxa"/>
          </w:tcPr>
          <w:p w14:paraId="42628AE0">
            <w:pPr>
              <w:spacing w:before="40" w:after="40" w:line="276" w:lineRule="auto"/>
              <w:jc w:val="center"/>
            </w:pPr>
            <w:r>
              <w:rPr>
                <w:rFonts w:ascii="Times New Roman" w:hAnsi="Times New Roman" w:eastAsia="宋体" w:cs="Times New Roman"/>
                <w:sz w:val="21"/>
                <w:szCs w:val="21"/>
              </w:rPr>
              <w:t>＜15</w:t>
            </w:r>
          </w:p>
        </w:tc>
        <w:tc>
          <w:tcPr>
            <w:tcW w:w="1512" w:type="dxa"/>
          </w:tcPr>
          <w:p w14:paraId="53BD7E4B">
            <w:pPr>
              <w:spacing w:before="40" w:after="40" w:line="276" w:lineRule="auto"/>
              <w:jc w:val="center"/>
            </w:pPr>
            <w:r>
              <w:rPr>
                <w:rFonts w:ascii="Times New Roman" w:hAnsi="Times New Roman" w:eastAsia="宋体" w:cs="Times New Roman"/>
                <w:sz w:val="21"/>
                <w:szCs w:val="21"/>
              </w:rPr>
              <w:t>≥15</w:t>
            </w:r>
          </w:p>
        </w:tc>
        <w:tc>
          <w:tcPr>
            <w:tcW w:w="1512" w:type="dxa"/>
          </w:tcPr>
          <w:p w14:paraId="0002CD59">
            <w:pPr>
              <w:spacing w:before="40" w:after="40" w:line="276" w:lineRule="auto"/>
              <w:jc w:val="center"/>
            </w:pPr>
            <w:r>
              <w:rPr>
                <w:rFonts w:ascii="Times New Roman" w:hAnsi="Times New Roman" w:eastAsia="宋体" w:cs="Times New Roman"/>
                <w:sz w:val="21"/>
                <w:szCs w:val="21"/>
              </w:rPr>
              <w:t>≥30</w:t>
            </w:r>
          </w:p>
        </w:tc>
        <w:tc>
          <w:tcPr>
            <w:tcW w:w="1512" w:type="dxa"/>
          </w:tcPr>
          <w:p w14:paraId="0B854B31">
            <w:pPr>
              <w:spacing w:before="40" w:after="40" w:line="276" w:lineRule="auto"/>
              <w:jc w:val="center"/>
            </w:pPr>
            <w:r>
              <w:rPr>
                <w:rFonts w:ascii="Times New Roman" w:hAnsi="Times New Roman" w:eastAsia="宋体" w:cs="Times New Roman"/>
                <w:sz w:val="21"/>
                <w:szCs w:val="21"/>
              </w:rPr>
              <w:t>/</w:t>
            </w:r>
          </w:p>
        </w:tc>
      </w:tr>
      <w:tr w14:paraId="1E8ABE9C">
        <w:tc>
          <w:tcPr>
            <w:tcW w:w="1512" w:type="dxa"/>
          </w:tcPr>
          <w:p w14:paraId="5448EB0A">
            <w:pPr>
              <w:spacing w:before="40" w:after="40" w:line="276" w:lineRule="auto"/>
              <w:jc w:val="center"/>
            </w:pPr>
          </w:p>
        </w:tc>
        <w:tc>
          <w:tcPr>
            <w:tcW w:w="1512" w:type="dxa"/>
          </w:tcPr>
          <w:p w14:paraId="1C38EF7C">
            <w:pPr>
              <w:spacing w:before="40" w:after="40" w:line="276" w:lineRule="auto"/>
              <w:jc w:val="center"/>
            </w:pPr>
            <w:r>
              <w:t>总烃</w:t>
            </w:r>
          </w:p>
        </w:tc>
        <w:tc>
          <w:tcPr>
            <w:tcW w:w="1512" w:type="dxa"/>
          </w:tcPr>
          <w:p w14:paraId="34A95E8B">
            <w:pPr>
              <w:spacing w:before="40" w:after="40" w:line="276" w:lineRule="auto"/>
              <w:jc w:val="center"/>
            </w:pPr>
            <w:r>
              <w:rPr>
                <w:rFonts w:ascii="Times New Roman" w:hAnsi="Times New Roman" w:eastAsia="宋体" w:cs="Times New Roman"/>
                <w:sz w:val="21"/>
                <w:szCs w:val="21"/>
              </w:rPr>
              <w:t>＜15</w:t>
            </w:r>
          </w:p>
        </w:tc>
        <w:tc>
          <w:tcPr>
            <w:tcW w:w="1512" w:type="dxa"/>
          </w:tcPr>
          <w:p w14:paraId="20931133">
            <w:pPr>
              <w:spacing w:before="40" w:after="40" w:line="276" w:lineRule="auto"/>
              <w:jc w:val="center"/>
            </w:pPr>
            <w:r>
              <w:rPr>
                <w:rFonts w:ascii="Times New Roman" w:hAnsi="Times New Roman" w:eastAsia="宋体" w:cs="Times New Roman"/>
                <w:sz w:val="21"/>
                <w:szCs w:val="21"/>
              </w:rPr>
              <w:t>≥15</w:t>
            </w:r>
          </w:p>
        </w:tc>
        <w:tc>
          <w:tcPr>
            <w:tcW w:w="1512" w:type="dxa"/>
          </w:tcPr>
          <w:p w14:paraId="6AEB0EA7">
            <w:pPr>
              <w:spacing w:before="40" w:after="40" w:line="276" w:lineRule="auto"/>
              <w:jc w:val="center"/>
            </w:pPr>
            <w:r>
              <w:rPr>
                <w:rFonts w:ascii="Times New Roman" w:hAnsi="Times New Roman" w:eastAsia="宋体" w:cs="Times New Roman"/>
                <w:sz w:val="21"/>
                <w:szCs w:val="21"/>
              </w:rPr>
              <w:t>≥30</w:t>
            </w:r>
          </w:p>
        </w:tc>
        <w:tc>
          <w:tcPr>
            <w:tcW w:w="1512" w:type="dxa"/>
          </w:tcPr>
          <w:p w14:paraId="6C25D544">
            <w:pPr>
              <w:spacing w:before="40" w:after="40" w:line="276" w:lineRule="auto"/>
              <w:jc w:val="center"/>
            </w:pPr>
            <w:r>
              <w:rPr>
                <w:rFonts w:ascii="Times New Roman" w:hAnsi="Times New Roman" w:eastAsia="宋体" w:cs="Times New Roman"/>
                <w:sz w:val="21"/>
                <w:szCs w:val="21"/>
              </w:rPr>
              <w:t>/</w:t>
            </w:r>
          </w:p>
        </w:tc>
      </w:tr>
      <w:tr w14:paraId="578AC17F">
        <w:tc>
          <w:tcPr>
            <w:tcW w:w="1512" w:type="dxa"/>
          </w:tcPr>
          <w:p w14:paraId="17929277">
            <w:pPr>
              <w:spacing w:before="40" w:after="40" w:line="276" w:lineRule="auto"/>
              <w:jc w:val="center"/>
            </w:pPr>
            <w:r>
              <w:rPr>
                <w:rFonts w:ascii="Times New Roman" w:hAnsi="Times New Roman" w:eastAsia="宋体" w:cs="Times New Roman"/>
                <w:sz w:val="21"/>
                <w:szCs w:val="21"/>
              </w:rPr>
              <w:t>相对增长速率ᵇ（%/周）</w:t>
            </w:r>
          </w:p>
        </w:tc>
        <w:tc>
          <w:tcPr>
            <w:tcW w:w="1512" w:type="dxa"/>
          </w:tcPr>
          <w:p w14:paraId="5825540B">
            <w:pPr>
              <w:spacing w:before="40" w:after="40" w:line="276" w:lineRule="auto"/>
              <w:jc w:val="center"/>
            </w:pPr>
            <w:r>
              <w:t>总烃</w:t>
            </w:r>
          </w:p>
        </w:tc>
        <w:tc>
          <w:tcPr>
            <w:tcW w:w="1512" w:type="dxa"/>
          </w:tcPr>
          <w:p w14:paraId="05606AB8">
            <w:pPr>
              <w:spacing w:before="40" w:after="40" w:line="276" w:lineRule="auto"/>
              <w:jc w:val="center"/>
            </w:pPr>
            <w:r>
              <w:rPr>
                <w:rFonts w:ascii="Times New Roman" w:hAnsi="Times New Roman" w:eastAsia="宋体" w:cs="Times New Roman"/>
                <w:sz w:val="21"/>
                <w:szCs w:val="21"/>
              </w:rPr>
              <w:t>＜30</w:t>
            </w:r>
          </w:p>
        </w:tc>
        <w:tc>
          <w:tcPr>
            <w:tcW w:w="1512" w:type="dxa"/>
          </w:tcPr>
          <w:p w14:paraId="1A87AD49">
            <w:pPr>
              <w:spacing w:before="40" w:after="40" w:line="276" w:lineRule="auto"/>
              <w:jc w:val="center"/>
            </w:pPr>
            <w:r>
              <w:rPr>
                <w:rFonts w:ascii="Times New Roman" w:hAnsi="Times New Roman" w:eastAsia="宋体" w:cs="Times New Roman"/>
                <w:sz w:val="21"/>
                <w:szCs w:val="21"/>
              </w:rPr>
              <w:t>≥30</w:t>
            </w:r>
          </w:p>
        </w:tc>
        <w:tc>
          <w:tcPr>
            <w:tcW w:w="1512" w:type="dxa"/>
          </w:tcPr>
          <w:p w14:paraId="40FA1A07">
            <w:pPr>
              <w:spacing w:before="40" w:after="40" w:line="276" w:lineRule="auto"/>
              <w:jc w:val="center"/>
            </w:pPr>
            <w:r>
              <w:rPr>
                <w:rFonts w:ascii="Times New Roman" w:hAnsi="Times New Roman" w:eastAsia="宋体" w:cs="Times New Roman"/>
                <w:sz w:val="21"/>
                <w:szCs w:val="21"/>
              </w:rPr>
              <w:t>≥60</w:t>
            </w:r>
          </w:p>
        </w:tc>
        <w:tc>
          <w:tcPr>
            <w:tcW w:w="1512" w:type="dxa"/>
          </w:tcPr>
          <w:p w14:paraId="48A3327A">
            <w:pPr>
              <w:spacing w:before="40" w:after="40" w:line="276" w:lineRule="auto"/>
              <w:jc w:val="center"/>
            </w:pPr>
            <w:r>
              <w:rPr>
                <w:rFonts w:ascii="Times New Roman" w:hAnsi="Times New Roman" w:eastAsia="宋体" w:cs="Times New Roman"/>
                <w:sz w:val="21"/>
                <w:szCs w:val="21"/>
              </w:rPr>
              <w:t>/</w:t>
            </w:r>
          </w:p>
        </w:tc>
      </w:tr>
    </w:tbl>
    <w:p w14:paraId="4E0B0359"/>
    <w:p w14:paraId="48950346">
      <w:pPr>
        <w:pStyle w:val="3"/>
        <w:spacing w:before="0" w:after="0" w:line="360" w:lineRule="auto"/>
        <w:ind w:firstLine="420"/>
        <w:jc w:val="both"/>
        <w:rPr>
          <w:rFonts w:hint="eastAsia" w:ascii="Times New Roman" w:hAnsi="Times New Roman" w:eastAsia="宋体" w:cs="Times New Roman"/>
          <w:kern w:val="2"/>
          <w:sz w:val="18"/>
          <w:szCs w:val="18"/>
          <w:lang w:val="en-US" w:eastAsia="zh-CN" w:bidi="ar-SA"/>
        </w:rPr>
      </w:pPr>
      <w:r>
        <w:rPr>
          <w:rFonts w:ascii="Times New Roman" w:hAnsi="Times New Roman" w:eastAsia="宋体" w:cs="Times New Roman"/>
          <w:sz w:val="24"/>
          <w:szCs w:val="24"/>
        </w:rPr>
        <w:t>注：ᵃ 与参比值的差值，参比值的取值见该标准A.3.3，计算见公式（A.1）。ᵇ 与参比值之间的变化率，参比值的取值见该标准A.3.3，计算见公式（A.2），总烃小于30μL/L不计算相对增长速率。</w:t>
      </w:r>
    </w:p>
    <w:p w14:paraId="7B8F4ABB">
      <w:pPr>
        <w:pStyle w:val="6"/>
        <w:spacing w:before="120" w:after="120" w:line="360" w:lineRule="auto"/>
        <w:ind w:firstLine="0"/>
        <w:jc w:val="left"/>
      </w:pPr>
      <w:bookmarkStart w:id="40" w:name="_Toc753882996"/>
      <w:bookmarkStart w:id="41" w:name="_Toc1257882858"/>
      <w:r>
        <w:rPr>
          <w:rFonts w:ascii="Times New Roman" w:hAnsi="Times New Roman" w:eastAsia="黑体" w:cs="Times New Roman"/>
          <w:sz w:val="24"/>
          <w:szCs w:val="24"/>
        </w:rPr>
        <w:t>2.4.1 绝对浓度判据</w:t>
      </w:r>
      <w:bookmarkEnd w:id="40"/>
      <w:bookmarkEnd w:id="41"/>
    </w:p>
    <w:p w14:paraId="29A3D331">
      <w:pPr>
        <w:pStyle w:val="3"/>
        <w:spacing w:before="0" w:after="0" w:line="360" w:lineRule="auto"/>
        <w:ind w:firstLine="420"/>
        <w:jc w:val="both"/>
      </w:pPr>
      <w:r>
        <w:rPr>
          <w:rFonts w:hint="eastAsia" w:eastAsia="宋体"/>
          <w:b w:val="0"/>
          <w:spacing w:val="22"/>
          <w:kern w:val="10"/>
          <w:szCs w:val="18"/>
        </w:rPr>
        <w:t>绝对浓度判据把当日乙炔、氢气、总烃测量值与表2.1各档下限直接比较：达到某档下限即判入该档；未达注意值1下限判为正常；表中为“/”的档不再升档。这组判据只看含量高低，是检测分级里最直接的一组。</w:t>
      </w:r>
    </w:p>
    <w:p w14:paraId="1E3AFD2E">
      <w:pPr>
        <w:pStyle w:val="6"/>
        <w:spacing w:before="120" w:after="120" w:line="360" w:lineRule="auto"/>
        <w:ind w:firstLine="0"/>
        <w:jc w:val="left"/>
      </w:pPr>
      <w:bookmarkStart w:id="42" w:name="_Toc357996472"/>
      <w:bookmarkStart w:id="43" w:name="_Toc1408173338"/>
      <w:r>
        <w:rPr>
          <w:rFonts w:ascii="Times New Roman" w:hAnsi="Times New Roman" w:eastAsia="黑体" w:cs="Times New Roman"/>
          <w:sz w:val="24"/>
          <w:szCs w:val="24"/>
        </w:rPr>
        <w:t>2.4.2 绝对增量判据</w:t>
      </w:r>
      <w:bookmarkEnd w:id="42"/>
      <w:bookmarkEnd w:id="43"/>
    </w:p>
    <w:p w14:paraId="4FFBAD57">
      <w:pPr>
        <w:pStyle w:val="3"/>
        <w:spacing w:before="0" w:after="0" w:line="360" w:lineRule="auto"/>
        <w:ind w:firstLine="420"/>
        <w:jc w:val="both"/>
      </w:pPr>
      <w:r>
        <w:rPr>
          <w:rFonts w:hint="eastAsia" w:eastAsia="宋体"/>
          <w:b w:val="0"/>
          <w:spacing w:val="22"/>
          <w:kern w:val="10"/>
          <w:szCs w:val="18"/>
        </w:rPr>
        <w:t>绝对浓度只反映当日含量高低，看不出短期内产气变化有多快。按该标准A.3.2，在线监测装置特征气体的绝对增量和相对增长速率分别按公式（A.1）、公式（A.2）计算。</w:t>
      </w:r>
    </w:p>
    <w:p w14:paraId="76F466FD">
      <w:pPr>
        <w:pStyle w:val="3"/>
        <w:spacing w:before="0" w:after="0" w:line="360" w:lineRule="auto"/>
        <w:ind w:firstLine="420"/>
        <w:jc w:val="both"/>
      </w:pPr>
      <w:r>
        <w:rPr>
          <w:rFonts w:ascii="Times New Roman" w:hAnsi="Times New Roman" w:eastAsia="宋体" w:cs="Times New Roman"/>
          <w:sz w:val="24"/>
          <w:szCs w:val="24"/>
        </w:rPr>
        <w:t>a）绝对增量，即每运行周产生某种特征气体的差值：</w:t>
      </w:r>
    </w:p>
    <w:p w14:paraId="5D738078">
      <w:pPr>
        <w:pStyle w:val="3"/>
        <w:tabs>
          <w:tab w:val="center" w:pos="4535"/>
          <w:tab w:val="right" w:pos="9071"/>
        </w:tabs>
        <w:spacing w:before="120" w:after="120" w:line="360" w:lineRule="auto"/>
        <w:jc w:val="left"/>
      </w:pPr>
      <w:r>
        <w:tab/>
      </w:r>
      <m:oMath>
        <m:box>
          <m:boxPr/>
          <m:e>
            <m:r>
              <m:rPr>
                <m:sty m:val="p"/>
              </m:rPr>
              <w:rPr>
                <w:rFonts w:ascii="Times New Roman" w:hAnsi="Times New Roman" w:cs="Times New Roman"/>
                <w:sz w:val="24"/>
                <w:szCs w:val="24"/>
              </w:rPr>
              <m:t>Δ</m:t>
            </m:r>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w</m:t>
                    </m:r>
                  </m:e>
                </m:box>
              </m:sub>
            </m:sSub>
            <m:r>
              <m:rPr>
                <m:sty m:val="p"/>
              </m:rPr>
              <w:rPr>
                <w:rFonts w:ascii="Times New Roman" w:hAnsi="Times New Roman" w:cs="Times New Roman"/>
                <w:sz w:val="24"/>
                <w:szCs w:val="24"/>
              </w:rPr>
              <m:t>=</m:t>
            </m:r>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i,2</m:t>
                    </m:r>
                  </m:e>
                </m:box>
              </m:sub>
            </m:sSub>
            <m:r>
              <m:rPr>
                <m:sty m:val="p"/>
              </m:rPr>
              <w:rPr>
                <w:rFonts w:ascii="Times New Roman" w:hAnsi="Times New Roman" w:cs="Times New Roman"/>
                <w:sz w:val="24"/>
                <w:szCs w:val="24"/>
              </w:rPr>
              <m:t>−</m:t>
            </m:r>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i,1</m:t>
                    </m:r>
                  </m:e>
                </m:box>
              </m:sub>
            </m:sSub>
          </m:e>
        </m:box>
      </m:oMath>
      <w:r>
        <w:tab/>
      </w:r>
      <w:r>
        <w:rPr>
          <w:rFonts w:ascii="Times New Roman" w:hAnsi="Times New Roman" w:eastAsia="宋体"/>
          <w:sz w:val="24"/>
        </w:rPr>
        <w:t>（A.1）</w:t>
      </w:r>
    </w:p>
    <w:p w14:paraId="1D4B406A">
      <w:pPr>
        <w:pStyle w:val="3"/>
        <w:spacing w:before="0" w:after="0" w:line="360" w:lineRule="auto"/>
        <w:ind w:firstLine="420"/>
        <w:jc w:val="both"/>
      </w:pPr>
      <w:r>
        <w:rPr>
          <w:rFonts w:ascii="Times New Roman" w:hAnsi="Times New Roman" w:eastAsia="宋体" w:cs="Times New Roman"/>
          <w:sz w:val="24"/>
          <w:szCs w:val="24"/>
        </w:rPr>
        <w:t>式中：</w:t>
      </w:r>
    </w:p>
    <w:p w14:paraId="429DEBB2">
      <w:pPr>
        <w:pStyle w:val="3"/>
        <w:spacing w:before="120" w:after="120" w:line="360" w:lineRule="auto"/>
        <w:ind w:left="0" w:firstLine="420"/>
        <w:jc w:val="left"/>
      </w:pPr>
      <m:oMath>
        <m:box>
          <m:boxPr/>
          <m:e>
            <m:r>
              <m:rPr>
                <m:sty m:val="p"/>
              </m:rPr>
              <w:rPr>
                <w:rFonts w:ascii="Times New Roman" w:hAnsi="Times New Roman" w:cs="Times New Roman"/>
                <w:sz w:val="24"/>
                <w:szCs w:val="24"/>
              </w:rPr>
              <m:t>Δ</m:t>
            </m:r>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w</m:t>
                    </m:r>
                  </m:e>
                </m:box>
              </m:sub>
            </m:sSub>
          </m:e>
        </m:box>
      </m:oMath>
      <w:r>
        <w:rPr>
          <w:rFonts w:ascii="Times New Roman" w:hAnsi="Times New Roman" w:eastAsia="宋体"/>
          <w:sz w:val="24"/>
        </w:rPr>
        <w:t>——绝对增量，μL/L·周；</w:t>
      </w:r>
    </w:p>
    <w:p w14:paraId="6A7F368C">
      <w:pPr>
        <w:pStyle w:val="3"/>
        <w:spacing w:before="120" w:after="120" w:line="360" w:lineRule="auto"/>
        <w:ind w:left="0" w:firstLine="420"/>
        <w:jc w:val="left"/>
      </w:pPr>
      <m:oMath>
        <m:box>
          <m:boxPr/>
          <m:e>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i,2</m:t>
                    </m:r>
                  </m:e>
                </m:box>
              </m:sub>
            </m:sSub>
          </m:e>
        </m:box>
      </m:oMath>
      <w:r>
        <w:rPr>
          <w:rFonts w:ascii="Times New Roman" w:hAnsi="Times New Roman" w:eastAsia="宋体"/>
          <w:sz w:val="24"/>
        </w:rPr>
        <w:t>——在线监测装置对应特征气体的实时测量数据，μL/L；</w:t>
      </w:r>
    </w:p>
    <w:p w14:paraId="5C7BFDC5">
      <w:pPr>
        <w:pStyle w:val="3"/>
        <w:spacing w:before="120" w:after="120" w:line="360" w:lineRule="auto"/>
        <w:ind w:left="0" w:firstLine="420"/>
        <w:jc w:val="left"/>
      </w:pPr>
      <m:oMath>
        <m:box>
          <m:boxPr/>
          <m:e>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i,1</m:t>
                    </m:r>
                  </m:e>
                </m:box>
              </m:sub>
            </m:sSub>
          </m:e>
        </m:box>
      </m:oMath>
      <w:r>
        <w:rPr>
          <w:rFonts w:ascii="Times New Roman" w:hAnsi="Times New Roman" w:eastAsia="宋体"/>
          <w:sz w:val="24"/>
        </w:rPr>
        <w:t>——在线监测装置对应特征气体参比值，按该标准A.3.3计算，μL/L。</w:t>
      </w:r>
    </w:p>
    <w:p w14:paraId="58DC0D7D">
      <w:pPr>
        <w:pStyle w:val="3"/>
        <w:spacing w:before="0" w:after="0" w:line="360" w:lineRule="auto"/>
        <w:ind w:firstLine="420"/>
        <w:jc w:val="both"/>
      </w:pPr>
      <w:r>
        <w:rPr>
          <w:rFonts w:ascii="Times New Roman" w:hAnsi="Times New Roman" w:eastAsia="宋体" w:cs="Times New Roman"/>
          <w:sz w:val="24"/>
          <w:szCs w:val="24"/>
        </w:rPr>
        <w:t>乙炔另设表2.1明文给出的“从无到有”情形：参比近似为0且现值不低于1μL/L时，进入注意值1。</w:t>
      </w:r>
    </w:p>
    <w:p w14:paraId="561ED0A1">
      <w:pPr>
        <w:pStyle w:val="3"/>
        <w:spacing w:before="120" w:after="120" w:line="360" w:lineRule="auto"/>
        <w:ind w:left="0" w:firstLine="420"/>
        <w:jc w:val="both"/>
      </w:pPr>
      <w:r>
        <w:rPr>
          <w:rFonts w:ascii="Times New Roman" w:hAnsi="Times New Roman" w:eastAsia="宋体"/>
          <w:sz w:val="24"/>
          <w:szCs w:val="24"/>
        </w:rPr>
        <w:t>参比值C</w:t>
      </w:r>
      <w:r>
        <w:rPr>
          <w:rFonts w:ascii="Times New Roman" w:hAnsi="Times New Roman"/>
          <w:sz w:val="24"/>
          <w:szCs w:val="24"/>
          <w:vertAlign w:val="subscript"/>
        </w:rPr>
        <w:t>i,1</w:t>
      </w:r>
      <w:r>
        <w:rPr>
          <w:rFonts w:ascii="Times New Roman" w:hAnsi="Times New Roman" w:eastAsia="宋体"/>
          <w:sz w:val="24"/>
          <w:szCs w:val="24"/>
        </w:rPr>
        <w:t>的取值按该标准A.3.3。标准原文为：绝对增量γ</w:t>
      </w:r>
      <w:r>
        <w:rPr>
          <w:rFonts w:ascii="Times New Roman" w:hAnsi="Times New Roman"/>
          <w:sz w:val="24"/>
          <w:szCs w:val="24"/>
          <w:vertAlign w:val="subscript"/>
        </w:rPr>
        <w:t>a</w:t>
      </w:r>
      <w:r>
        <w:rPr>
          <w:rFonts w:ascii="Times New Roman" w:hAnsi="Times New Roman" w:eastAsia="宋体"/>
          <w:sz w:val="24"/>
          <w:szCs w:val="24"/>
        </w:rPr>
        <w:t>和相对增长速率γ</w:t>
      </w:r>
      <w:r>
        <w:rPr>
          <w:rFonts w:ascii="Times New Roman" w:hAnsi="Times New Roman"/>
          <w:sz w:val="24"/>
          <w:szCs w:val="24"/>
          <w:vertAlign w:val="subscript"/>
        </w:rPr>
        <w:t>r</w:t>
      </w:r>
      <w:r>
        <w:rPr>
          <w:rFonts w:ascii="Times New Roman" w:hAnsi="Times New Roman" w:eastAsia="宋体"/>
          <w:sz w:val="24"/>
          <w:szCs w:val="24"/>
        </w:rPr>
        <w:t>中的参比值C</w:t>
      </w:r>
      <w:r>
        <w:rPr>
          <w:rFonts w:ascii="Times New Roman" w:hAnsi="Times New Roman"/>
          <w:sz w:val="24"/>
          <w:szCs w:val="24"/>
          <w:vertAlign w:val="subscript"/>
        </w:rPr>
        <w:t>i,1</w:t>
      </w:r>
      <w:r>
        <w:rPr>
          <w:rFonts w:ascii="Times New Roman" w:hAnsi="Times New Roman" w:eastAsia="宋体"/>
          <w:sz w:val="24"/>
          <w:szCs w:val="24"/>
        </w:rPr>
        <w:t>，指通过计算得到的在线监测装置对应特征气体含量，按以下原则取值——</w:t>
      </w:r>
    </w:p>
    <w:p w14:paraId="391D11C8">
      <w:pPr>
        <w:pStyle w:val="3"/>
        <w:spacing w:before="120" w:after="120" w:line="360" w:lineRule="auto"/>
        <w:ind w:left="0" w:firstLine="420"/>
      </w:pPr>
      <w:r>
        <w:rPr>
          <w:rFonts w:ascii="Times New Roman" w:hAnsi="Times New Roman" w:eastAsia="宋体"/>
          <w:sz w:val="24"/>
          <w:szCs w:val="24"/>
        </w:rPr>
        <w:t>说明：A.3.2公式（A.1）、（A.2）将绝对增量、相对增长速率记为ΔCw、ΔCr；A.3.3叙述改用γa、γr。二者同指表A.3的增量与周相对增长速率，与DL/T 722—2014第9.3.2条产气速率式（1）、式（2）的γa、γr不是同一套量。本文计算与落档以A.3.2公式符号为准。</w:t>
      </w:r>
    </w:p>
    <w:p w14:paraId="52C46E78">
      <w:pPr>
        <w:pStyle w:val="3"/>
        <w:spacing w:before="0" w:after="0" w:line="360" w:lineRule="auto"/>
        <w:ind w:firstLine="420"/>
        <w:jc w:val="both"/>
      </w:pPr>
      <w:r>
        <w:rPr>
          <w:rFonts w:ascii="Times New Roman" w:hAnsi="Times New Roman" w:eastAsia="宋体" w:cs="Times New Roman"/>
          <w:sz w:val="24"/>
          <w:szCs w:val="24"/>
        </w:rPr>
        <w:t>a）正常情况下，参比值取装置前14天～前7天之内测量数据的算术平均值，且计算前应先剔除测量数据中的奇异值；</w:t>
      </w:r>
    </w:p>
    <w:p w14:paraId="04E34C8B">
      <w:pPr>
        <w:pStyle w:val="3"/>
        <w:spacing w:before="0" w:after="0" w:line="360" w:lineRule="auto"/>
        <w:ind w:firstLine="420"/>
        <w:jc w:val="both"/>
      </w:pPr>
      <w:r>
        <w:rPr>
          <w:rFonts w:ascii="Times New Roman" w:hAnsi="Times New Roman" w:eastAsia="宋体" w:cs="Times New Roman"/>
          <w:sz w:val="24"/>
          <w:szCs w:val="24"/>
        </w:rPr>
        <w:t>b）在线监测装置为新投运或校准、检修后恢复运行的：如投运或恢复运行不满14天，参比值取7天前实际运行天数测量数据的算术平均值；如投运或恢复运行不满7天，参比值取第1天测量数据的算术平均值，且计算相对增长速率时不折算至周。</w:t>
      </w:r>
    </w:p>
    <w:p w14:paraId="77C6B2B6">
      <w:pPr>
        <w:pStyle w:val="3"/>
        <w:spacing w:before="0" w:after="0" w:line="360" w:lineRule="auto"/>
        <w:ind w:firstLine="420"/>
        <w:jc w:val="both"/>
      </w:pPr>
      <w:r>
        <w:rPr>
          <w:rFonts w:hint="eastAsia" w:eastAsia="宋体"/>
          <w:b w:val="0"/>
          <w:spacing w:val="22"/>
          <w:kern w:val="10"/>
          <w:szCs w:val="18"/>
        </w:rPr>
        <w:t>本文演示对象按稳定在运设备处理，参比只按a）取值：取前14～前7天（两端含，共8个日点）的算术平均，并剔除超出窗内均值±2倍标准差的点。序列开头14天内采点不够，构不成该参比窗，绝对增量和相对增长速率暂不计算，对应指标记为正常，检测分级只由绝对浓度决定。这段窗口里即使产气突然加快，这两类判据也升不了档。合成演示与验证中按此处理，第2.8.4节用序列前14日作了说明。</w:t>
      </w:r>
    </w:p>
    <w:p w14:paraId="45B08900">
      <w:pPr>
        <w:pStyle w:val="6"/>
        <w:spacing w:before="120" w:after="120" w:line="360" w:lineRule="auto"/>
        <w:ind w:firstLine="0"/>
        <w:jc w:val="left"/>
      </w:pPr>
      <w:bookmarkStart w:id="44" w:name="_Toc1899501826"/>
      <w:bookmarkStart w:id="45" w:name="_Toc1745009657"/>
      <w:r>
        <w:rPr>
          <w:rFonts w:ascii="Times New Roman" w:hAnsi="Times New Roman" w:eastAsia="黑体" w:cs="Times New Roman"/>
          <w:sz w:val="24"/>
          <w:szCs w:val="24"/>
        </w:rPr>
        <w:t>2.4.3 相对增长速率判据</w:t>
      </w:r>
      <w:bookmarkEnd w:id="44"/>
      <w:bookmarkEnd w:id="45"/>
    </w:p>
    <w:p w14:paraId="7263FF1E">
      <w:pPr>
        <w:pStyle w:val="3"/>
        <w:spacing w:before="0" w:after="0" w:line="360" w:lineRule="auto"/>
        <w:ind w:firstLine="420"/>
        <w:jc w:val="both"/>
      </w:pPr>
      <w:r>
        <w:rPr>
          <w:rFonts w:ascii="Times New Roman" w:hAnsi="Times New Roman" w:eastAsia="宋体" w:cs="Times New Roman"/>
          <w:sz w:val="24"/>
          <w:szCs w:val="24"/>
        </w:rPr>
        <w:t>b）相对增长速率，即每运行周某种特征气体含量增加值相对于原有值的百分数：</w:t>
      </w:r>
    </w:p>
    <w:p w14:paraId="4D054104">
      <w:pPr>
        <w:pStyle w:val="3"/>
        <w:tabs>
          <w:tab w:val="center" w:pos="4535"/>
          <w:tab w:val="right" w:pos="9071"/>
        </w:tabs>
        <w:spacing w:before="120" w:after="120" w:line="360" w:lineRule="auto"/>
        <w:jc w:val="left"/>
      </w:pPr>
      <w:r>
        <w:tab/>
      </w:r>
      <m:oMath>
        <m:box>
          <m:boxPr/>
          <m:e>
            <m:r>
              <m:rPr>
                <m:sty m:val="p"/>
              </m:rPr>
              <w:rPr>
                <w:rFonts w:ascii="Times New Roman" w:hAnsi="Times New Roman" w:cs="Times New Roman"/>
                <w:sz w:val="24"/>
                <w:szCs w:val="24"/>
              </w:rPr>
              <m:t>Δ</m:t>
            </m:r>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r</m:t>
                    </m:r>
                  </m:e>
                </m:box>
              </m:sub>
            </m:sSub>
            <m:r>
              <m:rPr>
                <m:sty m:val="p"/>
              </m:rPr>
              <w:rPr>
                <w:rFonts w:ascii="Times New Roman" w:hAnsi="Times New Roman" w:cs="Times New Roman"/>
                <w:sz w:val="24"/>
                <w:szCs w:val="24"/>
              </w:rPr>
              <m:t>=</m:t>
            </m:r>
            <m:f>
              <m:fPr/>
              <m:num>
                <m:box>
                  <m:boxPr/>
                  <m:e>
                    <m:sSub>
                      <m:sSubPr/>
                      <m:e>
                        <m:r>
                          <m:rPr>
                            <m:sty m:val="p"/>
                          </m:rPr>
                          <w:rPr>
                            <w:rFonts w:ascii="Times New Roman" w:hAnsi="Times New Roman" w:cs="Times New Roman"/>
                            <w:sz w:val="34"/>
                            <w:szCs w:val="34"/>
                          </w:rPr>
                          <m:t>C</m:t>
                        </m:r>
                      </m:e>
                      <m:sub>
                        <m:box>
                          <m:boxPr/>
                          <m:e>
                            <m:r>
                              <m:rPr>
                                <m:sty m:val="p"/>
                              </m:rPr>
                              <w:rPr>
                                <w:rFonts w:ascii="Times New Roman" w:hAnsi="Times New Roman" w:cs="Times New Roman"/>
                                <w:sz w:val="34"/>
                                <w:szCs w:val="34"/>
                              </w:rPr>
                              <m:t>i,2</m:t>
                            </m:r>
                          </m:e>
                        </m:box>
                      </m:sub>
                    </m:sSub>
                    <m:r>
                      <m:rPr>
                        <m:sty m:val="p"/>
                      </m:rPr>
                      <w:rPr>
                        <w:rFonts w:ascii="Times New Roman" w:hAnsi="Times New Roman" w:cs="Times New Roman"/>
                        <w:sz w:val="34"/>
                        <w:szCs w:val="34"/>
                      </w:rPr>
                      <m:t>−</m:t>
                    </m:r>
                    <m:sSub>
                      <m:sSubPr/>
                      <m:e>
                        <m:r>
                          <m:rPr>
                            <m:sty m:val="p"/>
                          </m:rPr>
                          <w:rPr>
                            <w:rFonts w:ascii="Times New Roman" w:hAnsi="Times New Roman" w:cs="Times New Roman"/>
                            <w:sz w:val="34"/>
                            <w:szCs w:val="34"/>
                          </w:rPr>
                          <m:t>C</m:t>
                        </m:r>
                      </m:e>
                      <m:sub>
                        <m:box>
                          <m:boxPr/>
                          <m:e>
                            <m:r>
                              <m:rPr>
                                <m:sty m:val="p"/>
                              </m:rPr>
                              <w:rPr>
                                <w:rFonts w:ascii="Times New Roman" w:hAnsi="Times New Roman" w:cs="Times New Roman"/>
                                <w:sz w:val="34"/>
                                <w:szCs w:val="34"/>
                              </w:rPr>
                              <m:t>i,1</m:t>
                            </m:r>
                          </m:e>
                        </m:box>
                      </m:sub>
                    </m:sSub>
                  </m:e>
                </m:box>
              </m:num>
              <m:den>
                <m:box>
                  <m:boxPr/>
                  <m:e>
                    <m:sSub>
                      <m:sSubPr/>
                      <m:e>
                        <m:r>
                          <m:rPr>
                            <m:sty m:val="p"/>
                          </m:rPr>
                          <w:rPr>
                            <w:rFonts w:ascii="Times New Roman" w:hAnsi="Times New Roman" w:cs="Times New Roman"/>
                            <w:sz w:val="34"/>
                            <w:szCs w:val="34"/>
                          </w:rPr>
                          <m:t>C</m:t>
                        </m:r>
                      </m:e>
                      <m:sub>
                        <m:box>
                          <m:boxPr/>
                          <m:e>
                            <m:r>
                              <m:rPr>
                                <m:sty m:val="p"/>
                              </m:rPr>
                              <w:rPr>
                                <w:rFonts w:ascii="Times New Roman" w:hAnsi="Times New Roman" w:cs="Times New Roman"/>
                                <w:sz w:val="34"/>
                                <w:szCs w:val="34"/>
                              </w:rPr>
                              <m:t>i,1</m:t>
                            </m:r>
                          </m:e>
                        </m:box>
                      </m:sub>
                    </m:sSub>
                  </m:e>
                </m:box>
              </m:den>
            </m:f>
            <m:r>
              <m:rPr>
                <m:sty m:val="p"/>
              </m:rPr>
              <w:rPr>
                <w:rFonts w:ascii="Times New Roman" w:hAnsi="Times New Roman" w:cs="Times New Roman"/>
                <w:sz w:val="24"/>
                <w:szCs w:val="24"/>
              </w:rPr>
              <m:t>×100%</m:t>
            </m:r>
          </m:e>
        </m:box>
      </m:oMath>
      <w:r>
        <w:tab/>
      </w:r>
      <w:r>
        <w:rPr>
          <w:rFonts w:ascii="Times New Roman" w:hAnsi="Times New Roman" w:eastAsia="宋体"/>
          <w:sz w:val="24"/>
        </w:rPr>
        <w:t>（A.2）</w:t>
      </w:r>
    </w:p>
    <w:p w14:paraId="37B3481E">
      <w:pPr>
        <w:pStyle w:val="3"/>
        <w:spacing w:before="0" w:after="0" w:line="360" w:lineRule="auto"/>
        <w:ind w:firstLine="420"/>
        <w:jc w:val="both"/>
      </w:pPr>
      <w:r>
        <w:rPr>
          <w:rFonts w:ascii="Times New Roman" w:hAnsi="Times New Roman" w:eastAsia="宋体" w:cs="Times New Roman"/>
          <w:sz w:val="24"/>
          <w:szCs w:val="24"/>
        </w:rPr>
        <w:t>式中：</w:t>
      </w:r>
    </w:p>
    <w:p w14:paraId="1CA6771F">
      <w:pPr>
        <w:pStyle w:val="3"/>
        <w:spacing w:before="120" w:after="120" w:line="360" w:lineRule="auto"/>
        <w:ind w:left="0" w:firstLine="420"/>
        <w:jc w:val="left"/>
      </w:pPr>
      <m:oMath>
        <m:box>
          <m:boxPr/>
          <m:e>
            <m:r>
              <m:rPr>
                <m:sty m:val="p"/>
              </m:rPr>
              <w:rPr>
                <w:rFonts w:ascii="Times New Roman" w:hAnsi="Times New Roman" w:cs="Times New Roman"/>
                <w:sz w:val="24"/>
                <w:szCs w:val="24"/>
              </w:rPr>
              <m:t>Δ</m:t>
            </m:r>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r</m:t>
                    </m:r>
                  </m:e>
                </m:box>
              </m:sub>
            </m:sSub>
          </m:e>
        </m:box>
      </m:oMath>
      <w:r>
        <w:rPr>
          <w:rFonts w:ascii="Times New Roman" w:hAnsi="Times New Roman" w:eastAsia="宋体"/>
          <w:sz w:val="24"/>
        </w:rPr>
        <w:t>——相对增长速率，%/周；</w:t>
      </w:r>
    </w:p>
    <w:p w14:paraId="7AD42525">
      <w:pPr>
        <w:pStyle w:val="3"/>
        <w:spacing w:before="120" w:after="120" w:line="360" w:lineRule="auto"/>
        <w:ind w:left="0" w:firstLine="420"/>
        <w:jc w:val="left"/>
      </w:pPr>
      <m:oMath>
        <m:box>
          <m:boxPr/>
          <m:e>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i,2</m:t>
                    </m:r>
                  </m:e>
                </m:box>
              </m:sub>
            </m:sSub>
            <m:r>
              <m:rPr>
                <m:sty m:val="p"/>
              </m:rPr>
              <w:rPr>
                <w:rFonts w:ascii="Times New Roman" w:hAnsi="Times New Roman" w:cs="Times New Roman"/>
                <w:sz w:val="24"/>
                <w:szCs w:val="24"/>
              </w:rPr>
              <m:t>,</m:t>
            </m:r>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i,1</m:t>
                    </m:r>
                  </m:e>
                </m:box>
              </m:sub>
            </m:sSub>
          </m:e>
        </m:box>
      </m:oMath>
      <w:r>
        <w:rPr>
          <w:rFonts w:ascii="Times New Roman" w:hAnsi="Times New Roman" w:eastAsia="宋体"/>
          <w:sz w:val="24"/>
        </w:rPr>
        <w:t>——含义同式（A.1）。</w:t>
      </w:r>
    </w:p>
    <w:p w14:paraId="58309E44">
      <w:pPr>
        <w:pStyle w:val="3"/>
        <w:spacing w:before="0" w:after="0" w:line="360" w:lineRule="auto"/>
        <w:ind w:firstLine="420"/>
        <w:jc w:val="both"/>
      </w:pPr>
      <w:r>
        <w:rPr>
          <w:rFonts w:ascii="Times New Roman" w:hAnsi="Times New Roman" w:eastAsia="宋体" w:cs="Times New Roman"/>
          <w:sz w:val="24"/>
          <w:szCs w:val="24"/>
        </w:rPr>
        <w:t>表2.1注b规定：总烃小于30μL/L不计算相对增长速率。式（A.2）的%/周仅用于表2.1落档，与第2.5节、第2.6节的总烃月环比不得换算混用（两套速率分工见第2.2节）。</w:t>
      </w:r>
    </w:p>
    <w:p w14:paraId="6F506235">
      <w:pPr>
        <w:pStyle w:val="6"/>
        <w:spacing w:before="120" w:after="120" w:line="360" w:lineRule="auto"/>
        <w:ind w:firstLine="0"/>
        <w:jc w:val="left"/>
      </w:pPr>
      <w:bookmarkStart w:id="46" w:name="_Toc193138120"/>
      <w:bookmarkStart w:id="47" w:name="_Toc435293280"/>
      <w:r>
        <w:rPr>
          <w:rFonts w:ascii="Times New Roman" w:hAnsi="Times New Roman" w:eastAsia="黑体" w:cs="Times New Roman"/>
          <w:sz w:val="24"/>
          <w:szCs w:val="24"/>
        </w:rPr>
        <w:t>2.4.4 落档策略与综合判定</w:t>
      </w:r>
      <w:bookmarkEnd w:id="46"/>
      <w:bookmarkEnd w:id="47"/>
    </w:p>
    <w:p w14:paraId="4A8D426A">
      <w:pPr>
        <w:pStyle w:val="3"/>
        <w:spacing w:before="120" w:after="120" w:line="360" w:lineRule="auto"/>
        <w:ind w:left="0" w:firstLine="420"/>
      </w:pPr>
      <w:r>
        <w:rPr>
          <w:rFonts w:ascii="Times New Roman" w:hAnsi="Times New Roman" w:eastAsia="宋体"/>
          <w:sz w:val="24"/>
          <w:szCs w:val="24"/>
        </w:rPr>
        <w:t>对表2.1各项监测结果分别判定分级后，检测分级取各项指标判定结果中的最高一档。四档高低顺序为：正常＜注意值1＜注意值2＜告警值。检测分级取最高档的同时，本章保留全部指标明细（判据类型、气体、数值、单位、所在档与阈值；增量与速率类附参比值，有备注时一并给出），升档原因可以逐条核对。紧急度和涨势预警不改写检测分级，见第2.5节、第2.6节。三者的组织关系如图2.1所示。</w:t>
      </w:r>
    </w:p>
    <w:p w14:paraId="0330FB83">
      <w:pPr>
        <w:spacing w:before="120" w:after="60"/>
        <w:ind w:firstLine="0"/>
        <w:jc w:val="center"/>
        <w:rPr>
          <w:rFonts w:hint="eastAsia" w:eastAsia="宋体"/>
          <w:lang w:eastAsia="zh-CN"/>
        </w:rPr>
      </w:pPr>
      <w:r>
        <w:rPr>
          <w:rFonts w:hint="eastAsia" w:eastAsia="宋体"/>
          <w:lang w:eastAsia="zh-CN"/>
        </w:rPr>
        <w:drawing>
          <wp:inline distT="0" distB="0" distL="114300" distR="114300">
            <wp:extent cx="4326255" cy="3887470"/>
            <wp:effectExtent l="0" t="0" r="17145" b="24130"/>
            <wp:docPr id="12" name="图片 12" descr="178568810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85688106930"/>
                    <pic:cNvPicPr>
                      <a:picLocks noChangeAspect="1"/>
                    </pic:cNvPicPr>
                  </pic:nvPicPr>
                  <pic:blipFill>
                    <a:blip r:embed="rId27"/>
                    <a:stretch>
                      <a:fillRect/>
                    </a:stretch>
                  </pic:blipFill>
                  <pic:spPr>
                    <a:xfrm>
                      <a:off x="0" y="0"/>
                      <a:ext cx="4326255" cy="3887783"/>
                    </a:xfrm>
                    <a:prstGeom prst="rect">
                      <a:avLst/>
                    </a:prstGeom>
                  </pic:spPr>
                </pic:pic>
              </a:graphicData>
            </a:graphic>
          </wp:inline>
        </w:drawing>
      </w:r>
    </w:p>
    <w:p w14:paraId="6259679B">
      <w:pPr>
        <w:pStyle w:val="15"/>
        <w:spacing w:before="120" w:after="120" w:line="360" w:lineRule="auto"/>
        <w:ind w:firstLine="0"/>
        <w:jc w:val="center"/>
      </w:pPr>
      <w:r>
        <w:rPr>
          <w:rFonts w:ascii="Times New Roman" w:hAnsi="Times New Roman" w:eastAsia="宋体" w:cs="Times New Roman"/>
          <w:sz w:val="21"/>
          <w:szCs w:val="21"/>
        </w:rPr>
        <w:t>图2.1 检测分级与告警信息组织流程</w:t>
      </w:r>
    </w:p>
    <w:p w14:paraId="0680256B">
      <w:pPr>
        <w:pStyle w:val="4"/>
        <w:spacing w:before="156" w:beforeLines="50" w:after="156" w:afterLines="50" w:line="360" w:lineRule="auto"/>
        <w:ind w:left="0"/>
        <w:jc w:val="both"/>
        <w:rPr>
          <w:rFonts w:hint="eastAsia" w:eastAsia="黑体"/>
          <w:b w:val="0"/>
          <w:bCs/>
          <w:sz w:val="24"/>
          <w:szCs w:val="18"/>
        </w:rPr>
      </w:pPr>
      <w:bookmarkStart w:id="48" w:name="_Toc1224592223"/>
      <w:bookmarkStart w:id="49" w:name="_Toc1644855278"/>
      <w:r>
        <w:rPr>
          <w:rFonts w:hint="eastAsia" w:eastAsia="黑体"/>
          <w:b w:val="0"/>
          <w:bCs/>
          <w:sz w:val="24"/>
          <w:szCs w:val="18"/>
        </w:rPr>
        <w:t>2.5 基于产气速率的处置紧急度判定方法</w:t>
      </w:r>
      <w:bookmarkEnd w:id="48"/>
      <w:bookmarkEnd w:id="49"/>
    </w:p>
    <w:p w14:paraId="5500B803">
      <w:pPr>
        <w:pStyle w:val="3"/>
        <w:spacing w:before="0" w:after="0" w:line="360" w:lineRule="auto"/>
        <w:ind w:firstLine="420"/>
        <w:jc w:val="both"/>
      </w:pPr>
      <w:r>
        <w:rPr>
          <w:rFonts w:hint="eastAsia" w:eastAsia="宋体"/>
          <w:b w:val="0"/>
          <w:spacing w:val="22"/>
          <w:kern w:val="10"/>
          <w:szCs w:val="18"/>
        </w:rPr>
        <w:t>检测分级回答的是：表2.1各项指标落在哪一档。当结果已达注意值2或告警后，还要看产气是否仍在明显上涨，这关系到要不要缩短检测周期。处置紧急度按DL/T 722—2014[6]第9.3.3条判断，且不改变表2.1的检测分级结果。产气速率法用绝对产气速率和相对产气速率评估气体变化趋势，用以判断设备内部故障是否存在及其严重程度[24]。基本逻辑可概括为：总烃含量与产气速率都未超过注意值，可判为正常；含量已超过注意值但产气速率未超，宜缩短检测周期跟踪；含量与产气速率都超过注意值，则需紧急关注。</w:t>
      </w:r>
    </w:p>
    <w:p w14:paraId="1C18CC42">
      <w:pPr>
        <w:pStyle w:val="3"/>
        <w:spacing w:before="0" w:after="0" w:line="360" w:lineRule="auto"/>
        <w:ind w:firstLine="420"/>
        <w:jc w:val="both"/>
      </w:pPr>
      <w:r>
        <w:rPr>
          <w:rFonts w:ascii="Times New Roman" w:hAnsi="Times New Roman" w:eastAsia="宋体" w:cs="Times New Roman"/>
          <w:sz w:val="24"/>
          <w:szCs w:val="24"/>
        </w:rPr>
        <w:t>相对产气速率按该标准第9.3.2条计算，标准给出两种产气速率：</w:t>
      </w:r>
    </w:p>
    <w:p w14:paraId="5D8DE178">
      <w:pPr>
        <w:pStyle w:val="3"/>
        <w:spacing w:before="0" w:after="0" w:line="360" w:lineRule="auto"/>
        <w:ind w:firstLine="420"/>
        <w:jc w:val="both"/>
      </w:pPr>
      <w:r>
        <w:rPr>
          <w:rFonts w:ascii="Times New Roman" w:hAnsi="Times New Roman" w:eastAsia="宋体" w:cs="Times New Roman"/>
          <w:sz w:val="24"/>
          <w:szCs w:val="24"/>
        </w:rPr>
        <w:t>a）绝对产气速率，即每运行日产生某种气体的平均值，按下式计算：</w:t>
      </w:r>
    </w:p>
    <w:p w14:paraId="63A9ADA5">
      <w:pPr>
        <w:pStyle w:val="3"/>
        <w:tabs>
          <w:tab w:val="center" w:pos="4535"/>
          <w:tab w:val="right" w:pos="9071"/>
        </w:tabs>
        <w:spacing w:before="120" w:after="120" w:line="360" w:lineRule="auto"/>
        <w:jc w:val="left"/>
      </w:pPr>
      <w:r>
        <w:tab/>
      </w:r>
      <m:oMath>
        <m:box>
          <m:boxPr/>
          <m:e>
            <m:sSub>
              <m:sSubPr/>
              <m:e>
                <m:r>
                  <m:rPr>
                    <m:sty m:val="p"/>
                  </m:rPr>
                  <w:rPr>
                    <w:rFonts w:ascii="Times New Roman" w:hAnsi="Times New Roman" w:cs="Times New Roman"/>
                    <w:sz w:val="24"/>
                    <w:szCs w:val="24"/>
                  </w:rPr>
                  <m:t>γ</m:t>
                </m:r>
              </m:e>
              <m:sub>
                <m:box>
                  <m:boxPr/>
                  <m:e>
                    <m:r>
                      <m:rPr>
                        <m:sty m:val="p"/>
                      </m:rPr>
                      <w:rPr>
                        <w:rFonts w:ascii="Times New Roman" w:hAnsi="Times New Roman" w:cs="Times New Roman"/>
                        <w:sz w:val="24"/>
                        <w:szCs w:val="24"/>
                      </w:rPr>
                      <m:t>a</m:t>
                    </m:r>
                  </m:e>
                </m:box>
              </m:sub>
            </m:sSub>
            <m:r>
              <m:rPr>
                <m:sty m:val="p"/>
              </m:rPr>
              <w:rPr>
                <w:rFonts w:ascii="Times New Roman" w:hAnsi="Times New Roman" w:cs="Times New Roman"/>
                <w:sz w:val="24"/>
                <w:szCs w:val="24"/>
              </w:rPr>
              <m:t>=</m:t>
            </m:r>
            <m:f>
              <m:fPr/>
              <m:num>
                <m:box>
                  <m:boxPr/>
                  <m:e>
                    <m:sSub>
                      <m:sSubPr/>
                      <m:e>
                        <m:r>
                          <m:rPr>
                            <m:sty m:val="p"/>
                          </m:rPr>
                          <w:rPr>
                            <w:rFonts w:ascii="Times New Roman" w:hAnsi="Times New Roman" w:cs="Times New Roman"/>
                            <w:sz w:val="34"/>
                            <w:szCs w:val="34"/>
                          </w:rPr>
                          <m:t>C</m:t>
                        </m:r>
                      </m:e>
                      <m:sub>
                        <m:box>
                          <m:boxPr/>
                          <m:e>
                            <m:r>
                              <m:rPr>
                                <m:sty m:val="p"/>
                              </m:rPr>
                              <w:rPr>
                                <w:rFonts w:ascii="Times New Roman" w:hAnsi="Times New Roman" w:cs="Times New Roman"/>
                                <w:sz w:val="34"/>
                                <w:szCs w:val="34"/>
                              </w:rPr>
                              <m:t>i,2</m:t>
                            </m:r>
                          </m:e>
                        </m:box>
                      </m:sub>
                    </m:sSub>
                    <m:r>
                      <m:rPr>
                        <m:sty m:val="p"/>
                      </m:rPr>
                      <w:rPr>
                        <w:rFonts w:ascii="Times New Roman" w:hAnsi="Times New Roman" w:cs="Times New Roman"/>
                        <w:sz w:val="34"/>
                        <w:szCs w:val="34"/>
                      </w:rPr>
                      <m:t>−</m:t>
                    </m:r>
                    <m:sSub>
                      <m:sSubPr/>
                      <m:e>
                        <m:r>
                          <m:rPr>
                            <m:sty m:val="p"/>
                          </m:rPr>
                          <w:rPr>
                            <w:rFonts w:ascii="Times New Roman" w:hAnsi="Times New Roman" w:cs="Times New Roman"/>
                            <w:sz w:val="34"/>
                            <w:szCs w:val="34"/>
                          </w:rPr>
                          <m:t>C</m:t>
                        </m:r>
                      </m:e>
                      <m:sub>
                        <m:box>
                          <m:boxPr/>
                          <m:e>
                            <m:r>
                              <m:rPr>
                                <m:sty m:val="p"/>
                              </m:rPr>
                              <w:rPr>
                                <w:rFonts w:ascii="Times New Roman" w:hAnsi="Times New Roman" w:cs="Times New Roman"/>
                                <w:sz w:val="34"/>
                                <w:szCs w:val="34"/>
                              </w:rPr>
                              <m:t>i,1</m:t>
                            </m:r>
                          </m:e>
                        </m:box>
                      </m:sub>
                    </m:sSub>
                  </m:e>
                </m:box>
              </m:num>
              <m:den>
                <m:box>
                  <m:boxPr/>
                  <m:e>
                    <m:r>
                      <m:rPr>
                        <m:sty m:val="p"/>
                      </m:rPr>
                      <w:rPr>
                        <w:rFonts w:ascii="Times New Roman" w:hAnsi="Times New Roman" w:cs="Times New Roman"/>
                        <w:sz w:val="34"/>
                        <w:szCs w:val="34"/>
                      </w:rPr>
                      <m:t>Δt</m:t>
                    </m:r>
                  </m:e>
                </m:box>
              </m:den>
            </m:f>
            <m:r>
              <m:rPr>
                <m:sty m:val="p"/>
              </m:rPr>
              <w:rPr>
                <w:rFonts w:ascii="Times New Roman" w:hAnsi="Times New Roman" w:cs="Times New Roman"/>
                <w:sz w:val="24"/>
                <w:szCs w:val="24"/>
              </w:rPr>
              <m:t>×</m:t>
            </m:r>
            <m:f>
              <m:fPr/>
              <m:num>
                <m:box>
                  <m:boxPr/>
                  <m:e>
                    <m:r>
                      <m:rPr>
                        <m:sty m:val="p"/>
                      </m:rPr>
                      <w:rPr>
                        <w:rFonts w:ascii="Times New Roman" w:hAnsi="Times New Roman" w:cs="Times New Roman"/>
                        <w:sz w:val="34"/>
                        <w:szCs w:val="34"/>
                      </w:rPr>
                      <m:t>m</m:t>
                    </m:r>
                  </m:e>
                </m:box>
              </m:num>
              <m:den>
                <m:box>
                  <m:boxPr/>
                  <m:e>
                    <m:r>
                      <m:rPr>
                        <m:sty m:val="p"/>
                      </m:rPr>
                      <w:rPr>
                        <w:rFonts w:ascii="Times New Roman" w:hAnsi="Times New Roman" w:cs="Times New Roman"/>
                        <w:sz w:val="34"/>
                        <w:szCs w:val="34"/>
                      </w:rPr>
                      <m:t>ρ</m:t>
                    </m:r>
                  </m:e>
                </m:box>
              </m:den>
            </m:f>
          </m:e>
        </m:box>
      </m:oMath>
      <w:r>
        <w:tab/>
      </w:r>
      <w:r>
        <w:rPr>
          <w:rFonts w:ascii="Times New Roman" w:hAnsi="Times New Roman" w:eastAsia="宋体"/>
          <w:sz w:val="24"/>
        </w:rPr>
        <w:t>式（1）</w:t>
      </w:r>
    </w:p>
    <w:p w14:paraId="21E1C283">
      <w:pPr>
        <w:pStyle w:val="3"/>
        <w:spacing w:before="120" w:after="120" w:line="360" w:lineRule="auto"/>
        <w:ind w:left="0" w:firstLine="420"/>
        <w:jc w:val="left"/>
      </w:pPr>
      <w:r>
        <w:rPr>
          <w:rFonts w:ascii="Times New Roman" w:hAnsi="Times New Roman" w:eastAsia="宋体"/>
          <w:sz w:val="24"/>
          <w:szCs w:val="24"/>
        </w:rPr>
        <w:t>式中：</w:t>
      </w:r>
    </w:p>
    <w:p w14:paraId="244C67AA">
      <w:pPr>
        <w:pStyle w:val="3"/>
        <w:spacing w:before="120" w:after="120" w:line="360" w:lineRule="auto"/>
        <w:ind w:left="0" w:firstLine="420"/>
      </w:pPr>
      <m:oMath>
        <m:box>
          <m:boxPr/>
          <m:e>
            <m:sSub>
              <m:sSubPr/>
              <m:e>
                <m:r>
                  <m:rPr>
                    <m:sty m:val="p"/>
                  </m:rPr>
                  <w:rPr>
                    <w:rFonts w:ascii="Times New Roman" w:hAnsi="Times New Roman" w:cs="Times New Roman"/>
                    <w:sz w:val="24"/>
                    <w:szCs w:val="24"/>
                  </w:rPr>
                  <m:t>γ</m:t>
                </m:r>
              </m:e>
              <m:sub>
                <m:box>
                  <m:boxPr/>
                  <m:e>
                    <m:r>
                      <m:rPr>
                        <m:sty m:val="p"/>
                      </m:rPr>
                      <w:rPr>
                        <w:rFonts w:ascii="Times New Roman" w:hAnsi="Times New Roman" w:cs="Times New Roman"/>
                        <w:sz w:val="24"/>
                        <w:szCs w:val="24"/>
                      </w:rPr>
                      <m:t>a</m:t>
                    </m:r>
                  </m:e>
                </m:box>
              </m:sub>
            </m:sSub>
          </m:e>
        </m:box>
      </m:oMath>
      <w:r>
        <w:rPr>
          <w:rFonts w:ascii="Times New Roman" w:hAnsi="Times New Roman" w:eastAsia="宋体"/>
          <w:sz w:val="24"/>
          <w:szCs w:val="24"/>
        </w:rPr>
        <w:t>——绝对产气速率，mL/天；</w:t>
      </w:r>
    </w:p>
    <w:p w14:paraId="35741ABC">
      <w:pPr>
        <w:pStyle w:val="3"/>
        <w:spacing w:before="120" w:after="120" w:line="360" w:lineRule="auto"/>
        <w:ind w:left="0" w:firstLine="420"/>
      </w:pPr>
      <m:oMath>
        <m:box>
          <m:boxPr/>
          <m:e>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i,2</m:t>
                    </m:r>
                  </m:e>
                </m:box>
              </m:sub>
            </m:sSub>
          </m:e>
        </m:box>
      </m:oMath>
      <w:r>
        <w:rPr>
          <w:rFonts w:ascii="Times New Roman" w:hAnsi="Times New Roman" w:eastAsia="宋体"/>
          <w:sz w:val="24"/>
          <w:szCs w:val="24"/>
        </w:rPr>
        <w:t>——第二次取样测得油中某气体浓度，μL/L；</w:t>
      </w:r>
    </w:p>
    <w:p w14:paraId="1D641FDE">
      <w:pPr>
        <w:pStyle w:val="3"/>
        <w:spacing w:before="120" w:after="120" w:line="360" w:lineRule="auto"/>
        <w:ind w:left="0" w:firstLine="420"/>
      </w:pPr>
      <m:oMath>
        <m:box>
          <m:boxPr/>
          <m:e>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i,1</m:t>
                    </m:r>
                  </m:e>
                </m:box>
              </m:sub>
            </m:sSub>
          </m:e>
        </m:box>
      </m:oMath>
      <w:r>
        <w:rPr>
          <w:rFonts w:ascii="Times New Roman" w:hAnsi="Times New Roman" w:eastAsia="宋体"/>
          <w:sz w:val="24"/>
          <w:szCs w:val="24"/>
        </w:rPr>
        <w:t>——第一次取样测得油中某气体浓度，μL/L；</w:t>
      </w:r>
    </w:p>
    <w:p w14:paraId="3E4C91ED">
      <w:pPr>
        <w:pStyle w:val="3"/>
        <w:spacing w:before="120" w:after="120" w:line="360" w:lineRule="auto"/>
        <w:ind w:left="0" w:firstLine="420"/>
      </w:pPr>
      <m:oMath>
        <m:box>
          <m:boxPr/>
          <m:e>
            <m:r>
              <m:rPr>
                <m:sty m:val="p"/>
              </m:rPr>
              <w:rPr>
                <w:rFonts w:ascii="Times New Roman" w:hAnsi="Times New Roman" w:cs="Times New Roman"/>
                <w:sz w:val="24"/>
                <w:szCs w:val="24"/>
              </w:rPr>
              <m:t>Δt</m:t>
            </m:r>
          </m:e>
        </m:box>
      </m:oMath>
      <w:r>
        <w:rPr>
          <w:rFonts w:ascii="Times New Roman" w:hAnsi="Times New Roman" w:eastAsia="宋体"/>
          <w:sz w:val="24"/>
          <w:szCs w:val="24"/>
        </w:rPr>
        <w:t>——二次取样时间间隔中的实际运行时间，天；</w:t>
      </w:r>
    </w:p>
    <w:p w14:paraId="6D7D878D">
      <w:pPr>
        <w:pStyle w:val="3"/>
        <w:spacing w:before="120" w:after="120" w:line="360" w:lineRule="auto"/>
        <w:ind w:left="0" w:firstLine="420"/>
      </w:pPr>
      <m:oMath>
        <m:box>
          <m:boxPr/>
          <m:e>
            <m:r>
              <m:rPr>
                <m:sty m:val="p"/>
              </m:rPr>
              <w:rPr>
                <w:rFonts w:ascii="Times New Roman" w:hAnsi="Times New Roman" w:cs="Times New Roman"/>
                <w:sz w:val="24"/>
                <w:szCs w:val="24"/>
              </w:rPr>
              <m:t>m</m:t>
            </m:r>
          </m:e>
        </m:box>
      </m:oMath>
      <w:r>
        <w:rPr>
          <w:rFonts w:ascii="Times New Roman" w:hAnsi="Times New Roman" w:eastAsia="宋体"/>
          <w:sz w:val="24"/>
          <w:szCs w:val="24"/>
        </w:rPr>
        <w:t>——设备总油量，t；</w:t>
      </w:r>
    </w:p>
    <w:p w14:paraId="2502B4AE">
      <w:pPr>
        <w:pStyle w:val="3"/>
        <w:spacing w:before="120" w:after="120" w:line="360" w:lineRule="auto"/>
        <w:ind w:left="0" w:firstLine="420"/>
      </w:pPr>
      <m:oMath>
        <m:box>
          <m:boxPr/>
          <m:e>
            <m:r>
              <m:rPr>
                <m:sty m:val="p"/>
              </m:rPr>
              <w:rPr>
                <w:rFonts w:ascii="Times New Roman" w:hAnsi="Times New Roman" w:cs="Times New Roman"/>
                <w:sz w:val="24"/>
                <w:szCs w:val="24"/>
              </w:rPr>
              <m:t>ρ</m:t>
            </m:r>
          </m:e>
        </m:box>
      </m:oMath>
      <w:r>
        <w:rPr>
          <w:rFonts w:ascii="Times New Roman" w:hAnsi="Times New Roman" w:eastAsia="宋体"/>
          <w:sz w:val="24"/>
          <w:szCs w:val="24"/>
        </w:rPr>
        <w:t>——油的密度，t/m³。</w:t>
      </w:r>
    </w:p>
    <w:p w14:paraId="5664172F">
      <w:pPr>
        <w:pStyle w:val="3"/>
        <w:spacing w:before="120" w:after="120" w:line="360" w:lineRule="auto"/>
        <w:ind w:left="0" w:firstLine="420"/>
      </w:pPr>
      <w:r>
        <w:rPr>
          <w:rFonts w:ascii="Times New Roman" w:hAnsi="Times New Roman" w:eastAsia="宋体"/>
          <w:sz w:val="24"/>
          <w:szCs w:val="24"/>
        </w:rPr>
        <w:t>因演示环境缺少完整油密度等参数，报告对应格填“—”，本章紧急度判定不以式（1）为主判据。</w:t>
      </w:r>
    </w:p>
    <w:p w14:paraId="59FE92B6">
      <w:pPr>
        <w:pStyle w:val="3"/>
        <w:spacing w:before="0" w:after="0" w:line="360" w:lineRule="auto"/>
        <w:ind w:firstLine="420"/>
        <w:jc w:val="both"/>
      </w:pPr>
      <w:r>
        <w:rPr>
          <w:rFonts w:ascii="Times New Roman" w:hAnsi="Times New Roman" w:eastAsia="宋体" w:cs="Times New Roman"/>
          <w:sz w:val="24"/>
          <w:szCs w:val="24"/>
        </w:rPr>
        <w:t>b）相对产气速率，即每运行月（或折算到月）某种气体含量增加值的百分数，按下式计算：</w:t>
      </w:r>
    </w:p>
    <w:p w14:paraId="53817896">
      <w:pPr>
        <w:pStyle w:val="3"/>
        <w:tabs>
          <w:tab w:val="center" w:pos="4535"/>
          <w:tab w:val="right" w:pos="9071"/>
        </w:tabs>
        <w:spacing w:before="120" w:after="120" w:line="360" w:lineRule="auto"/>
        <w:jc w:val="left"/>
      </w:pPr>
      <w:r>
        <w:tab/>
      </w:r>
      <m:oMath>
        <m:box>
          <m:boxPr/>
          <m:e>
            <m:sSub>
              <m:sSubPr/>
              <m:e>
                <m:r>
                  <m:rPr>
                    <m:sty m:val="p"/>
                  </m:rPr>
                  <w:rPr>
                    <w:rFonts w:ascii="Times New Roman" w:hAnsi="Times New Roman" w:cs="Times New Roman"/>
                    <w:sz w:val="24"/>
                    <w:szCs w:val="24"/>
                  </w:rPr>
                  <m:t>γ</m:t>
                </m:r>
              </m:e>
              <m:sub>
                <m:box>
                  <m:boxPr/>
                  <m:e>
                    <m:r>
                      <m:rPr>
                        <m:sty m:val="p"/>
                      </m:rPr>
                      <w:rPr>
                        <w:rFonts w:ascii="Times New Roman" w:hAnsi="Times New Roman" w:cs="Times New Roman"/>
                        <w:sz w:val="24"/>
                        <w:szCs w:val="24"/>
                      </w:rPr>
                      <m:t>r</m:t>
                    </m:r>
                  </m:e>
                </m:box>
              </m:sub>
            </m:sSub>
            <m:r>
              <m:rPr>
                <m:sty m:val="p"/>
              </m:rPr>
              <w:rPr>
                <w:rFonts w:ascii="Times New Roman" w:hAnsi="Times New Roman" w:cs="Times New Roman"/>
                <w:sz w:val="24"/>
                <w:szCs w:val="24"/>
              </w:rPr>
              <m:t>=</m:t>
            </m:r>
            <m:f>
              <m:fPr/>
              <m:num>
                <m:box>
                  <m:boxPr/>
                  <m:e>
                    <m:sSub>
                      <m:sSubPr/>
                      <m:e>
                        <m:r>
                          <m:rPr>
                            <m:sty m:val="p"/>
                          </m:rPr>
                          <w:rPr>
                            <w:rFonts w:ascii="Times New Roman" w:hAnsi="Times New Roman" w:cs="Times New Roman"/>
                            <w:sz w:val="34"/>
                            <w:szCs w:val="34"/>
                          </w:rPr>
                          <m:t>C</m:t>
                        </m:r>
                      </m:e>
                      <m:sub>
                        <m:box>
                          <m:boxPr/>
                          <m:e>
                            <m:r>
                              <m:rPr>
                                <m:sty m:val="p"/>
                              </m:rPr>
                              <w:rPr>
                                <w:rFonts w:ascii="Times New Roman" w:hAnsi="Times New Roman" w:cs="Times New Roman"/>
                                <w:sz w:val="34"/>
                                <w:szCs w:val="34"/>
                              </w:rPr>
                              <m:t>i,2</m:t>
                            </m:r>
                          </m:e>
                        </m:box>
                      </m:sub>
                    </m:sSub>
                    <m:r>
                      <m:rPr>
                        <m:sty m:val="p"/>
                      </m:rPr>
                      <w:rPr>
                        <w:rFonts w:ascii="Times New Roman" w:hAnsi="Times New Roman" w:cs="Times New Roman"/>
                        <w:sz w:val="34"/>
                        <w:szCs w:val="34"/>
                      </w:rPr>
                      <m:t>−</m:t>
                    </m:r>
                    <m:sSub>
                      <m:sSubPr/>
                      <m:e>
                        <m:r>
                          <m:rPr>
                            <m:sty m:val="p"/>
                          </m:rPr>
                          <w:rPr>
                            <w:rFonts w:ascii="Times New Roman" w:hAnsi="Times New Roman" w:cs="Times New Roman"/>
                            <w:sz w:val="34"/>
                            <w:szCs w:val="34"/>
                          </w:rPr>
                          <m:t>C</m:t>
                        </m:r>
                      </m:e>
                      <m:sub>
                        <m:box>
                          <m:boxPr/>
                          <m:e>
                            <m:r>
                              <m:rPr>
                                <m:sty m:val="p"/>
                              </m:rPr>
                              <w:rPr>
                                <w:rFonts w:ascii="Times New Roman" w:hAnsi="Times New Roman" w:cs="Times New Roman"/>
                                <w:sz w:val="34"/>
                                <w:szCs w:val="34"/>
                              </w:rPr>
                              <m:t>i,1</m:t>
                            </m:r>
                          </m:e>
                        </m:box>
                      </m:sub>
                    </m:sSub>
                  </m:e>
                </m:box>
              </m:num>
              <m:den>
                <m:box>
                  <m:boxPr/>
                  <m:e>
                    <m:sSub>
                      <m:sSubPr/>
                      <m:e>
                        <m:r>
                          <m:rPr>
                            <m:sty m:val="p"/>
                          </m:rPr>
                          <w:rPr>
                            <w:rFonts w:ascii="Times New Roman" w:hAnsi="Times New Roman" w:cs="Times New Roman"/>
                            <w:sz w:val="34"/>
                            <w:szCs w:val="34"/>
                          </w:rPr>
                          <m:t>C</m:t>
                        </m:r>
                      </m:e>
                      <m:sub>
                        <m:box>
                          <m:boxPr/>
                          <m:e>
                            <m:r>
                              <m:rPr>
                                <m:sty m:val="p"/>
                              </m:rPr>
                              <w:rPr>
                                <w:rFonts w:ascii="Times New Roman" w:hAnsi="Times New Roman" w:cs="Times New Roman"/>
                                <w:sz w:val="34"/>
                                <w:szCs w:val="34"/>
                              </w:rPr>
                              <m:t>i,1</m:t>
                            </m:r>
                          </m:e>
                        </m:box>
                      </m:sub>
                    </m:sSub>
                  </m:e>
                </m:box>
              </m:den>
            </m:f>
            <m:r>
              <m:rPr>
                <m:sty m:val="p"/>
              </m:rPr>
              <w:rPr>
                <w:rFonts w:ascii="Times New Roman" w:hAnsi="Times New Roman" w:cs="Times New Roman"/>
                <w:sz w:val="24"/>
                <w:szCs w:val="24"/>
              </w:rPr>
              <m:t>×</m:t>
            </m:r>
            <m:f>
              <m:fPr/>
              <m:num>
                <m:box>
                  <m:boxPr/>
                  <m:e>
                    <m:r>
                      <m:rPr>
                        <m:sty m:val="p"/>
                      </m:rPr>
                      <w:rPr>
                        <w:rFonts w:ascii="Times New Roman" w:hAnsi="Times New Roman" w:cs="Times New Roman"/>
                        <w:sz w:val="34"/>
                        <w:szCs w:val="34"/>
                      </w:rPr>
                      <m:t>1</m:t>
                    </m:r>
                  </m:e>
                </m:box>
              </m:num>
              <m:den>
                <m:box>
                  <m:boxPr/>
                  <m:e>
                    <m:r>
                      <m:rPr>
                        <m:sty m:val="p"/>
                      </m:rPr>
                      <w:rPr>
                        <w:rFonts w:ascii="Times New Roman" w:hAnsi="Times New Roman" w:cs="Times New Roman"/>
                        <w:sz w:val="34"/>
                        <w:szCs w:val="34"/>
                      </w:rPr>
                      <m:t>Δt</m:t>
                    </m:r>
                  </m:e>
                </m:box>
              </m:den>
            </m:f>
            <m:r>
              <m:rPr>
                <m:sty m:val="p"/>
              </m:rPr>
              <w:rPr>
                <w:rFonts w:ascii="Times New Roman" w:hAnsi="Times New Roman" w:cs="Times New Roman"/>
                <w:sz w:val="24"/>
                <w:szCs w:val="24"/>
              </w:rPr>
              <m:t>×100%</m:t>
            </m:r>
          </m:e>
        </m:box>
      </m:oMath>
      <w:r>
        <w:tab/>
      </w:r>
      <w:r>
        <w:rPr>
          <w:rFonts w:ascii="Times New Roman" w:hAnsi="Times New Roman" w:eastAsia="宋体"/>
          <w:sz w:val="24"/>
        </w:rPr>
        <w:t>式（2）</w:t>
      </w:r>
    </w:p>
    <w:p w14:paraId="2E7E479B">
      <w:pPr>
        <w:pStyle w:val="3"/>
        <w:spacing w:before="120" w:after="120" w:line="360" w:lineRule="auto"/>
        <w:ind w:left="0" w:firstLine="420"/>
        <w:jc w:val="left"/>
      </w:pPr>
      <w:r>
        <w:rPr>
          <w:rFonts w:ascii="Times New Roman" w:hAnsi="Times New Roman" w:eastAsia="宋体"/>
          <w:sz w:val="24"/>
          <w:szCs w:val="24"/>
        </w:rPr>
        <w:t>式中：</w:t>
      </w:r>
    </w:p>
    <w:p w14:paraId="584F1F3E">
      <w:pPr>
        <w:pStyle w:val="3"/>
        <w:spacing w:before="120" w:after="120" w:line="360" w:lineRule="auto"/>
        <w:ind w:left="0" w:firstLine="420"/>
      </w:pPr>
      <m:oMath>
        <m:box>
          <m:boxPr/>
          <m:e>
            <m:sSub>
              <m:sSubPr/>
              <m:e>
                <m:r>
                  <m:rPr>
                    <m:sty m:val="p"/>
                  </m:rPr>
                  <w:rPr>
                    <w:rFonts w:ascii="Times New Roman" w:hAnsi="Times New Roman" w:cs="Times New Roman"/>
                    <w:sz w:val="24"/>
                    <w:szCs w:val="24"/>
                  </w:rPr>
                  <m:t>γ</m:t>
                </m:r>
              </m:e>
              <m:sub>
                <m:box>
                  <m:boxPr/>
                  <m:e>
                    <m:r>
                      <m:rPr>
                        <m:sty m:val="p"/>
                      </m:rPr>
                      <w:rPr>
                        <w:rFonts w:ascii="Times New Roman" w:hAnsi="Times New Roman" w:cs="Times New Roman"/>
                        <w:sz w:val="24"/>
                        <w:szCs w:val="24"/>
                      </w:rPr>
                      <m:t>r</m:t>
                    </m:r>
                  </m:e>
                </m:box>
              </m:sub>
            </m:sSub>
          </m:e>
        </m:box>
      </m:oMath>
      <w:r>
        <w:rPr>
          <w:rFonts w:ascii="Times New Roman" w:hAnsi="Times New Roman" w:eastAsia="宋体"/>
          <w:sz w:val="24"/>
          <w:szCs w:val="24"/>
        </w:rPr>
        <w:t>——相对产气速率，%/月；</w:t>
      </w:r>
    </w:p>
    <w:p w14:paraId="674E64AA">
      <w:pPr>
        <w:pStyle w:val="3"/>
        <w:spacing w:before="120" w:after="120" w:line="360" w:lineRule="auto"/>
        <w:ind w:left="0" w:firstLine="420"/>
      </w:pPr>
      <m:oMath>
        <m:box>
          <m:boxPr/>
          <m:e>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i,2</m:t>
                    </m:r>
                  </m:e>
                </m:box>
              </m:sub>
            </m:sSub>
            <m:r>
              <m:rPr>
                <m:sty m:val="p"/>
              </m:rPr>
              <w:rPr>
                <w:rFonts w:ascii="Times New Roman" w:hAnsi="Times New Roman" w:cs="Times New Roman"/>
                <w:sz w:val="24"/>
                <w:szCs w:val="24"/>
              </w:rPr>
              <m:t>,</m:t>
            </m:r>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i,1</m:t>
                    </m:r>
                  </m:e>
                </m:box>
              </m:sub>
            </m:sSub>
          </m:e>
        </m:box>
      </m:oMath>
      <w:r>
        <w:rPr>
          <w:rFonts w:ascii="Times New Roman" w:hAnsi="Times New Roman" w:eastAsia="宋体"/>
          <w:sz w:val="24"/>
          <w:szCs w:val="24"/>
        </w:rPr>
        <w:t>——含义同式（1）；</w:t>
      </w:r>
    </w:p>
    <w:p w14:paraId="48DFBEFF">
      <w:pPr>
        <w:pStyle w:val="3"/>
        <w:spacing w:before="120" w:after="120" w:line="360" w:lineRule="auto"/>
        <w:ind w:left="0" w:firstLine="420"/>
      </w:pPr>
      <m:oMath>
        <m:box>
          <m:boxPr/>
          <m:e>
            <m:r>
              <m:rPr>
                <m:sty m:val="p"/>
              </m:rPr>
              <w:rPr>
                <w:rFonts w:ascii="Times New Roman" w:hAnsi="Times New Roman" w:cs="Times New Roman"/>
                <w:sz w:val="24"/>
                <w:szCs w:val="24"/>
              </w:rPr>
              <m:t>Δt</m:t>
            </m:r>
          </m:e>
        </m:box>
      </m:oMath>
      <w:r>
        <w:rPr>
          <w:rFonts w:ascii="Times New Roman" w:hAnsi="Times New Roman" w:eastAsia="宋体"/>
          <w:sz w:val="24"/>
          <w:szCs w:val="24"/>
        </w:rPr>
        <w:t>——二次取样时间间隔中的实际运行时间，月。</w:t>
      </w:r>
    </w:p>
    <w:p w14:paraId="457DE895">
      <w:pPr>
        <w:pStyle w:val="3"/>
        <w:spacing w:before="120" w:after="120" w:line="360" w:lineRule="auto"/>
        <w:ind w:left="0" w:firstLine="420"/>
      </w:pPr>
      <w:r>
        <w:rPr>
          <w:rFonts w:ascii="Times New Roman" w:hAnsi="Times New Roman" w:eastAsia="宋体"/>
          <w:sz w:val="24"/>
          <w:szCs w:val="24"/>
        </w:rPr>
        <w:t>标准指出：总烃的相对产气速率注意值可暂定为10%；对总烃起始含量很低的设备，不宜采用此判据。</w:t>
      </w:r>
    </w:p>
    <w:p w14:paraId="26C4CA92">
      <w:pPr>
        <w:pStyle w:val="3"/>
        <w:spacing w:before="0" w:after="0" w:line="360" w:lineRule="auto"/>
        <w:ind w:firstLine="420"/>
        <w:jc w:val="both"/>
      </w:pPr>
      <w:r>
        <w:rPr>
          <w:rFonts w:ascii="Times New Roman" w:hAnsi="Times New Roman" w:eastAsia="宋体"/>
          <w:sz w:val="24"/>
          <w:szCs w:val="24"/>
        </w:rPr>
        <w:t>本文演示时序为逐日采样。按式（2）计算相对产气速率时，气体取总烃（甲烷、乙烯、乙烷、乙炔之和），C</w:t>
      </w:r>
      <w:r>
        <w:rPr>
          <w:rFonts w:ascii="Times New Roman" w:hAnsi="Times New Roman"/>
          <w:sz w:val="24"/>
          <w:szCs w:val="24"/>
          <w:vertAlign w:val="subscript"/>
        </w:rPr>
        <w:t>i,2</w:t>
      </w:r>
      <w:r>
        <w:rPr>
          <w:rFonts w:ascii="Times New Roman" w:hAnsi="Times New Roman" w:eastAsia="宋体"/>
          <w:sz w:val="24"/>
          <w:szCs w:val="24"/>
        </w:rPr>
        <w:t>取第i日总烃，C</w:t>
      </w:r>
      <w:r>
        <w:rPr>
          <w:rFonts w:ascii="Times New Roman" w:hAnsi="Times New Roman"/>
          <w:sz w:val="24"/>
          <w:szCs w:val="24"/>
          <w:vertAlign w:val="subscript"/>
        </w:rPr>
        <w:t>i,1</w:t>
      </w:r>
      <w:r>
        <w:rPr>
          <w:rFonts w:ascii="Times New Roman" w:hAnsi="Times New Roman" w:eastAsia="宋体"/>
          <w:sz w:val="24"/>
          <w:szCs w:val="24"/>
        </w:rPr>
        <w:t>取第i−30日总烃，Δt取1月，所得结果单位为%/月，本文称作总烃月环比。前30天不足或参比不大于0时，总烃月环比记为空。当总烃不低于10μL/L且总烃月环比不低于10%/月时，记速率超注意。该标准未单独规定前30天不足或参比不大于0时的处理方式；本文在该情形下不计算总烃月环比，也不按速率超注意处理，由当日可得结果继续完成后续分析。</w:t>
      </w:r>
    </w:p>
    <w:p w14:paraId="558B4093">
      <w:pPr>
        <w:pStyle w:val="3"/>
        <w:spacing w:before="0" w:after="0" w:line="360" w:lineRule="auto"/>
        <w:ind w:firstLine="420"/>
        <w:jc w:val="both"/>
      </w:pPr>
      <w:r>
        <w:rPr>
          <w:rFonts w:ascii="Times New Roman" w:hAnsi="Times New Roman" w:eastAsia="宋体" w:cs="Times New Roman"/>
          <w:sz w:val="24"/>
          <w:szCs w:val="24"/>
        </w:rPr>
        <w:t>该标准第9.3.3条“注意值的应用原则”要点如下：a）含量注意值不是判断设备有无故障的唯一依据，含量超注意时应缩短检测周期并结合产气速率判断；含量超注意但长期稳定可继续运行，含量未超注意但产气速率超注意时亦应缩短检测周期；d）氢气含量受多种因素影响，若仅氢气含量超注意值且无明显增长趋势，也可判断为正常。</w:t>
      </w:r>
    </w:p>
    <w:p w14:paraId="4577713F">
      <w:pPr>
        <w:pStyle w:val="3"/>
        <w:spacing w:before="120" w:after="120" w:line="360" w:lineRule="auto"/>
        <w:ind w:left="0" w:firstLine="420"/>
      </w:pPr>
      <w:r>
        <w:rPr>
          <w:rFonts w:ascii="Times New Roman" w:hAnsi="Times New Roman" w:eastAsia="宋体"/>
          <w:sz w:val="24"/>
          <w:szCs w:val="24"/>
        </w:rPr>
        <w:t>据此，仅当检测分级为注意值2或告警值时，才进入紧急度分支：</w:t>
      </w:r>
    </w:p>
    <w:p w14:paraId="188A03A5">
      <w:pPr>
        <w:pStyle w:val="3"/>
        <w:keepNext w:val="0"/>
        <w:keepLines w:val="0"/>
        <w:pageBreakBefore w:val="0"/>
        <w:widowControl w:val="0"/>
        <w:numPr>
          <w:ilvl w:val="0"/>
          <w:numId w:val="6"/>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hint="eastAsia" w:eastAsia="宋体"/>
          <w:b w:val="0"/>
          <w:spacing w:val="22"/>
          <w:kern w:val="10"/>
          <w:szCs w:val="18"/>
        </w:rPr>
        <w:t>（1）速率已超注意：紧急度为高，对应“涨势快”，建议缩短检测周期；</w:t>
      </w:r>
    </w:p>
    <w:p w14:paraId="0C0211F1">
      <w:pPr>
        <w:pStyle w:val="3"/>
        <w:keepNext w:val="0"/>
        <w:keepLines w:val="0"/>
        <w:pageBreakBefore w:val="0"/>
        <w:widowControl w:val="0"/>
        <w:numPr>
          <w:ilvl w:val="0"/>
          <w:numId w:val="6"/>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hint="eastAsia" w:eastAsia="宋体"/>
          <w:b w:val="0"/>
          <w:spacing w:val="22"/>
          <w:kern w:val="10"/>
          <w:szCs w:val="18"/>
        </w:rPr>
        <w:t>（2）仅氢气相关判据超标、且速率未超注意：紧急度为低。该标准第9.3.3条d）写明此种情形“也可判断为正常”；本文仍按表2.1如实给出分级，另标紧急度低并建议加强监视，不作并入“正常”处理；</w:t>
      </w:r>
    </w:p>
    <w:p w14:paraId="68443C79">
      <w:pPr>
        <w:pStyle w:val="3"/>
        <w:keepNext w:val="0"/>
        <w:keepLines w:val="0"/>
        <w:pageBreakBefore w:val="0"/>
        <w:widowControl w:val="0"/>
        <w:numPr>
          <w:ilvl w:val="0"/>
          <w:numId w:val="6"/>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hint="eastAsia" w:eastAsia="宋体"/>
          <w:b w:val="0"/>
          <w:spacing w:val="22"/>
          <w:kern w:val="10"/>
          <w:szCs w:val="18"/>
        </w:rPr>
        <w:t>（3）其余注意值2及以上且速率未超注意：紧急度为中，对应“暂稳”，建议加强监视。</w:t>
      </w:r>
    </w:p>
    <w:p w14:paraId="5E9026B9">
      <w:pPr>
        <w:pStyle w:val="3"/>
        <w:spacing w:before="0" w:after="0" w:line="360" w:lineRule="auto"/>
        <w:ind w:firstLine="420"/>
        <w:jc w:val="both"/>
      </w:pPr>
      <w:r>
        <w:rPr>
          <w:rFonts w:hint="eastAsia" w:eastAsia="宋体"/>
          <w:b w:val="0"/>
          <w:spacing w:val="22"/>
          <w:kern w:val="10"/>
          <w:szCs w:val="18"/>
        </w:rPr>
        <w:t>这样，同属注意值2及以上时，仍可区分“涨势快”和“暂稳”。未达注意值2的日期不给出紧急度。</w:t>
      </w:r>
    </w:p>
    <w:p w14:paraId="71675203">
      <w:pPr>
        <w:pStyle w:val="4"/>
        <w:spacing w:before="156" w:beforeLines="50" w:after="156" w:afterLines="50" w:line="360" w:lineRule="auto"/>
        <w:ind w:left="0"/>
        <w:jc w:val="both"/>
        <w:rPr>
          <w:rFonts w:hint="eastAsia" w:eastAsia="黑体"/>
          <w:b w:val="0"/>
          <w:bCs/>
          <w:sz w:val="24"/>
          <w:szCs w:val="18"/>
        </w:rPr>
      </w:pPr>
      <w:bookmarkStart w:id="50" w:name="_Toc525669515"/>
      <w:bookmarkStart w:id="51" w:name="_Toc238219113"/>
      <w:r>
        <w:rPr>
          <w:rFonts w:hint="eastAsia" w:eastAsia="黑体"/>
          <w:b w:val="0"/>
          <w:bCs/>
          <w:sz w:val="24"/>
          <w:szCs w:val="18"/>
        </w:rPr>
        <w:t>2.6 基于相对产气速率的涨势预警方法</w:t>
      </w:r>
      <w:bookmarkEnd w:id="50"/>
      <w:bookmarkEnd w:id="51"/>
    </w:p>
    <w:p w14:paraId="4C492C1D">
      <w:pPr>
        <w:pStyle w:val="3"/>
        <w:spacing w:before="0" w:after="0" w:line="360" w:lineRule="auto"/>
        <w:ind w:firstLine="420"/>
        <w:jc w:val="both"/>
      </w:pPr>
      <w:r>
        <w:rPr>
          <w:rFonts w:hint="eastAsia" w:eastAsia="宋体"/>
          <w:b w:val="0"/>
          <w:spacing w:val="22"/>
          <w:kern w:val="10"/>
          <w:szCs w:val="18"/>
        </w:rPr>
        <w:t>若紧急度只在注意值2及以上才看速率，会漏掉一种情形：检测分级还是正常或注意值1，但总烃月环比已经超过注意值。本章把这种情形称作涨势预警：第i日速率已超注意，且当日检测分级仍为正常或注意值1。这与DL/T 722—2014[6]第9.3.3条a）“含量未超注意但产气速率超注意时亦应缩短检测周期”一致。涨势预警单独给出，不用检测分级代替；按当日总烃月环比是否超注意认定。</w:t>
      </w:r>
    </w:p>
    <w:p w14:paraId="2D92C3E9">
      <w:pPr>
        <w:pStyle w:val="3"/>
        <w:spacing w:before="0" w:after="0" w:line="360" w:lineRule="auto"/>
        <w:ind w:firstLine="420"/>
        <w:jc w:val="both"/>
      </w:pPr>
      <w:r>
        <w:rPr>
          <w:rFonts w:hint="eastAsia" w:eastAsia="宋体"/>
          <w:b w:val="0"/>
          <w:spacing w:val="22"/>
          <w:kern w:val="10"/>
          <w:szCs w:val="18"/>
        </w:rPr>
        <w:t>这样，检测分级回答表2.1各项指标落在哪一档；涨势预警回答：分级尚未到注意值2时，总烃月环比是否已超注意。涨势预警用在正常或注意值1，处置紧急度用在注意值2或告警，二者都与检测分级分别给出（如图2.1所示）。后续故障类型判断以“注意值2/告警，或速率超注意（含涨势预警）”为触发条件；处置紧急度仍只在注意值2及以上给出。</w:t>
      </w:r>
    </w:p>
    <w:p w14:paraId="2866DAFE">
      <w:pPr>
        <w:pStyle w:val="4"/>
        <w:spacing w:before="156" w:beforeLines="50" w:after="156" w:afterLines="50" w:line="360" w:lineRule="auto"/>
        <w:ind w:left="0"/>
        <w:jc w:val="both"/>
        <w:rPr>
          <w:rFonts w:hint="eastAsia" w:eastAsia="黑体"/>
          <w:b w:val="0"/>
          <w:bCs/>
          <w:sz w:val="24"/>
          <w:szCs w:val="18"/>
        </w:rPr>
      </w:pPr>
      <w:bookmarkStart w:id="52" w:name="_Toc839114183"/>
      <w:bookmarkStart w:id="53" w:name="_Toc179814847"/>
      <w:r>
        <w:rPr>
          <w:rFonts w:hint="eastAsia" w:eastAsia="黑体"/>
          <w:b w:val="0"/>
          <w:bCs/>
          <w:sz w:val="24"/>
          <w:szCs w:val="18"/>
        </w:rPr>
        <w:t>2.7 分级告警信息组织与输出</w:t>
      </w:r>
      <w:bookmarkEnd w:id="52"/>
      <w:bookmarkEnd w:id="53"/>
    </w:p>
    <w:p w14:paraId="66E0606D">
      <w:pPr>
        <w:pStyle w:val="3"/>
        <w:spacing w:before="0" w:after="0" w:line="360" w:lineRule="auto"/>
        <w:ind w:firstLine="420"/>
        <w:jc w:val="both"/>
      </w:pPr>
      <w:r>
        <w:rPr>
          <w:rFonts w:ascii="Times New Roman" w:hAnsi="Times New Roman" w:eastAsia="宋体" w:cs="Times New Roman"/>
          <w:sz w:val="24"/>
        </w:rPr>
        <w:t>本章把告警信息分成三部分给出：当日检测分级及表2.1指标明细；总烃月环比、是否速率超注意、是否涨势预警，以及注意值2及以上时的紧急度；按日告警列表（满足触发条件时附故障类型，算法见第3章）。正常日也保留完整指标，便于核对为何未升档。上述结果供后续判型、监测决策和报告生成共用。</w:t>
      </w:r>
    </w:p>
    <w:p w14:paraId="015B0F71">
      <w:pPr>
        <w:pStyle w:val="4"/>
        <w:spacing w:before="156" w:beforeLines="50" w:after="156" w:afterLines="50" w:line="360" w:lineRule="auto"/>
        <w:ind w:left="0"/>
        <w:jc w:val="both"/>
        <w:rPr>
          <w:rFonts w:hint="eastAsia" w:eastAsia="黑体"/>
          <w:b w:val="0"/>
          <w:bCs/>
          <w:sz w:val="24"/>
          <w:szCs w:val="18"/>
        </w:rPr>
      </w:pPr>
      <w:bookmarkStart w:id="54" w:name="_Toc638642200"/>
      <w:bookmarkStart w:id="55" w:name="_Toc466963832"/>
      <w:r>
        <w:rPr>
          <w:rFonts w:hint="eastAsia" w:eastAsia="黑体"/>
          <w:b w:val="0"/>
          <w:bCs/>
          <w:sz w:val="24"/>
          <w:szCs w:val="18"/>
        </w:rPr>
        <w:t>2.8 方法验证与案例分析</w:t>
      </w:r>
      <w:bookmarkEnd w:id="54"/>
      <w:bookmarkEnd w:id="55"/>
    </w:p>
    <w:p w14:paraId="53E36F96">
      <w:pPr>
        <w:pStyle w:val="6"/>
        <w:spacing w:before="120" w:after="120" w:line="360" w:lineRule="auto"/>
        <w:ind w:firstLine="0"/>
        <w:jc w:val="left"/>
      </w:pPr>
      <w:bookmarkStart w:id="56" w:name="_Toc1355878286"/>
      <w:bookmarkStart w:id="57" w:name="_Toc536187694"/>
      <w:r>
        <w:rPr>
          <w:rFonts w:ascii="Times New Roman" w:hAnsi="Times New Roman" w:eastAsia="黑体" w:cs="Times New Roman"/>
          <w:sz w:val="24"/>
          <w:szCs w:val="24"/>
        </w:rPr>
        <w:t>2.8.1 方案设计与判定标准</w:t>
      </w:r>
      <w:bookmarkEnd w:id="56"/>
      <w:bookmarkEnd w:id="57"/>
    </w:p>
    <w:p w14:paraId="650A36FE">
      <w:pPr>
        <w:pStyle w:val="3"/>
        <w:spacing w:before="0" w:after="0" w:line="360" w:lineRule="auto"/>
        <w:ind w:firstLine="420"/>
        <w:jc w:val="both"/>
      </w:pPr>
      <w:r>
        <w:rPr>
          <w:rFonts w:ascii="Times New Roman" w:hAnsi="Times New Roman" w:eastAsia="宋体" w:cs="Times New Roman"/>
          <w:sz w:val="24"/>
        </w:rPr>
        <w:t>验证分两条线，判定标准如下。第一条用DL/T 1685—2017[8]附录D真实色谱核对：基线日应判为正常；异常跟踪日应达到注意值2及以上（与原文“异常状态”对应）；在原文相对产气速率未超10%/月、总烃趋于稳定时，紧急度应为中（暂稳）。第二条在合成360天时序上统计检测分级、涨势预警和紧急度的出现情况，并抽取典型日，看正常、涨势预警、暂稳和涨势快能否区分开。</w:t>
      </w:r>
    </w:p>
    <w:p w14:paraId="40A093B9">
      <w:pPr>
        <w:pStyle w:val="6"/>
        <w:spacing w:before="120" w:after="120" w:line="360" w:lineRule="auto"/>
        <w:ind w:firstLine="0"/>
        <w:jc w:val="left"/>
      </w:pPr>
      <w:bookmarkStart w:id="58" w:name="_Toc1297374485"/>
      <w:bookmarkStart w:id="59" w:name="_Toc865190246"/>
      <w:r>
        <w:rPr>
          <w:rFonts w:ascii="Times New Roman" w:hAnsi="Times New Roman" w:eastAsia="黑体" w:cs="Times New Roman"/>
          <w:sz w:val="24"/>
          <w:szCs w:val="24"/>
        </w:rPr>
        <w:t>2.8.2 测试数据集设计与构建</w:t>
      </w:r>
      <w:bookmarkEnd w:id="58"/>
      <w:bookmarkEnd w:id="59"/>
    </w:p>
    <w:p w14:paraId="5870F6A7">
      <w:pPr>
        <w:pStyle w:val="3"/>
        <w:spacing w:before="0" w:after="0" w:line="360" w:lineRule="auto"/>
        <w:ind w:firstLine="420"/>
        <w:jc w:val="both"/>
      </w:pPr>
      <w:r>
        <w:rPr>
          <w:rFonts w:ascii="Times New Roman" w:hAnsi="Times New Roman" w:eastAsia="宋体" w:cs="Times New Roman"/>
          <w:sz w:val="24"/>
        </w:rPr>
        <w:t>真值数据对应DL/T 1685—2017[8]附录D表D.1中一台SFPSZ9-150000/220变压器，共10个采样点（2005-03-11为基线，2005-05-19起为异常跟踪）；原文记载总烃与氢气超过注意值150μL/L，最大相对产气速率约6.7%/月。构建分工见第2.3节。合成360天时序只作方法演示，不能当作现场实测依据。</w:t>
      </w:r>
    </w:p>
    <w:p w14:paraId="521849BF">
      <w:pPr>
        <w:pStyle w:val="6"/>
        <w:spacing w:before="120" w:after="120" w:line="360" w:lineRule="auto"/>
        <w:ind w:firstLine="0"/>
        <w:jc w:val="left"/>
      </w:pPr>
      <w:bookmarkStart w:id="60" w:name="_Toc1571501404"/>
      <w:bookmarkStart w:id="61" w:name="_Toc640690685"/>
      <w:r>
        <w:rPr>
          <w:rFonts w:ascii="Times New Roman" w:hAnsi="Times New Roman" w:eastAsia="黑体" w:cs="Times New Roman"/>
          <w:sz w:val="24"/>
          <w:szCs w:val="24"/>
        </w:rPr>
        <w:t>2.8.3 运行环境</w:t>
      </w:r>
      <w:bookmarkEnd w:id="60"/>
      <w:bookmarkEnd w:id="61"/>
    </w:p>
    <w:p w14:paraId="5C96CCAE">
      <w:pPr>
        <w:pStyle w:val="3"/>
        <w:spacing w:before="0" w:after="0" w:line="360" w:lineRule="auto"/>
        <w:ind w:firstLine="420"/>
        <w:jc w:val="both"/>
      </w:pPr>
      <w:r>
        <w:rPr>
          <w:rFonts w:ascii="Times New Roman" w:hAnsi="Times New Roman" w:eastAsia="宋体" w:cs="Times New Roman"/>
          <w:sz w:val="24"/>
        </w:rPr>
        <w:t>本章方法验证在本地完成。硬件与软件配置汇总于表2.2。</w:t>
      </w:r>
    </w:p>
    <w:p w14:paraId="3A97F658">
      <w:pPr>
        <w:pStyle w:val="15"/>
        <w:spacing w:before="120" w:after="120" w:line="360" w:lineRule="auto"/>
        <w:ind w:firstLine="0"/>
        <w:jc w:val="center"/>
      </w:pPr>
      <w:r>
        <w:rPr>
          <w:rFonts w:ascii="Times New Roman" w:hAnsi="Times New Roman" w:eastAsia="宋体" w:cs="Times New Roman"/>
          <w:sz w:val="21"/>
          <w:szCs w:val="21"/>
        </w:rPr>
        <w:t>表2.2　实验环境配置</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536"/>
        <w:gridCol w:w="4536"/>
      </w:tblGrid>
      <w:tr w14:paraId="06D50CAC">
        <w:tc>
          <w:tcPr>
            <w:tcW w:w="4536" w:type="dxa"/>
            <w:tcBorders>
              <w:bottom w:val="single" w:color="000000" w:sz="6" w:space="0"/>
            </w:tcBorders>
          </w:tcPr>
          <w:p w14:paraId="4440ED32">
            <w:pPr>
              <w:spacing w:before="40" w:after="40" w:line="276" w:lineRule="auto"/>
              <w:jc w:val="center"/>
            </w:pPr>
            <w:r>
              <w:rPr>
                <w:rFonts w:ascii="Times New Roman" w:hAnsi="Times New Roman" w:eastAsia="宋体" w:cs="Times New Roman"/>
                <w:b/>
                <w:sz w:val="21"/>
              </w:rPr>
              <w:t>项目</w:t>
            </w:r>
          </w:p>
        </w:tc>
        <w:tc>
          <w:tcPr>
            <w:tcW w:w="4536" w:type="dxa"/>
            <w:tcBorders>
              <w:bottom w:val="single" w:color="000000" w:sz="6" w:space="0"/>
            </w:tcBorders>
          </w:tcPr>
          <w:p w14:paraId="10D5A774">
            <w:pPr>
              <w:spacing w:before="40" w:after="40" w:line="276" w:lineRule="auto"/>
              <w:jc w:val="center"/>
            </w:pPr>
            <w:r>
              <w:rPr>
                <w:rFonts w:ascii="Times New Roman" w:hAnsi="Times New Roman" w:eastAsia="宋体" w:cs="Times New Roman"/>
                <w:b/>
                <w:sz w:val="21"/>
              </w:rPr>
              <w:t>配置</w:t>
            </w:r>
          </w:p>
        </w:tc>
      </w:tr>
      <w:tr w14:paraId="70866766">
        <w:tc>
          <w:tcPr>
            <w:tcW w:w="4536" w:type="dxa"/>
          </w:tcPr>
          <w:p w14:paraId="208C6AC4">
            <w:pPr>
              <w:spacing w:before="40" w:after="40" w:line="276" w:lineRule="auto"/>
              <w:jc w:val="center"/>
            </w:pPr>
            <w:r>
              <w:rPr>
                <w:rFonts w:ascii="Times New Roman" w:hAnsi="Times New Roman" w:eastAsia="宋体" w:cs="Times New Roman"/>
                <w:b w:val="0"/>
                <w:sz w:val="21"/>
              </w:rPr>
              <w:t>操作系统</w:t>
            </w:r>
          </w:p>
        </w:tc>
        <w:tc>
          <w:tcPr>
            <w:tcW w:w="4536" w:type="dxa"/>
          </w:tcPr>
          <w:p w14:paraId="633D07E1">
            <w:pPr>
              <w:spacing w:before="40" w:after="40" w:line="276" w:lineRule="auto"/>
              <w:jc w:val="center"/>
            </w:pPr>
            <w:r>
              <w:rPr>
                <w:rFonts w:ascii="Times New Roman" w:hAnsi="Times New Roman" w:eastAsia="宋体" w:cs="Times New Roman"/>
                <w:b w:val="0"/>
                <w:sz w:val="21"/>
              </w:rPr>
              <w:t>macOS 14.7.8</w:t>
            </w:r>
          </w:p>
        </w:tc>
      </w:tr>
      <w:tr w14:paraId="550764BA">
        <w:tc>
          <w:tcPr>
            <w:tcW w:w="4536" w:type="dxa"/>
          </w:tcPr>
          <w:p w14:paraId="5BEF1172">
            <w:pPr>
              <w:spacing w:before="40" w:after="40" w:line="276" w:lineRule="auto"/>
              <w:jc w:val="center"/>
            </w:pPr>
            <w:r>
              <w:rPr>
                <w:rFonts w:ascii="Times New Roman" w:hAnsi="Times New Roman" w:eastAsia="宋体" w:cs="Times New Roman"/>
                <w:b w:val="0"/>
                <w:sz w:val="21"/>
              </w:rPr>
              <w:t>CPU</w:t>
            </w:r>
          </w:p>
        </w:tc>
        <w:tc>
          <w:tcPr>
            <w:tcW w:w="4536" w:type="dxa"/>
          </w:tcPr>
          <w:p w14:paraId="4491269B">
            <w:pPr>
              <w:spacing w:before="40" w:after="40" w:line="276" w:lineRule="auto"/>
              <w:jc w:val="center"/>
            </w:pPr>
            <w:r>
              <w:rPr>
                <w:rFonts w:ascii="Times New Roman" w:hAnsi="Times New Roman" w:eastAsia="宋体" w:cs="Times New Roman"/>
                <w:b w:val="0"/>
                <w:sz w:val="21"/>
              </w:rPr>
              <w:t>Intel Core i7-9750H @ 2.60GHz</w:t>
            </w:r>
          </w:p>
        </w:tc>
      </w:tr>
      <w:tr w14:paraId="18642648">
        <w:tc>
          <w:tcPr>
            <w:tcW w:w="4536" w:type="dxa"/>
          </w:tcPr>
          <w:p w14:paraId="477DD4FC">
            <w:pPr>
              <w:spacing w:before="40" w:after="40" w:line="276" w:lineRule="auto"/>
              <w:jc w:val="center"/>
            </w:pPr>
            <w:r>
              <w:rPr>
                <w:rFonts w:ascii="Times New Roman" w:hAnsi="Times New Roman" w:eastAsia="宋体" w:cs="Times New Roman"/>
                <w:b w:val="0"/>
                <w:sz w:val="21"/>
              </w:rPr>
              <w:t>内存</w:t>
            </w:r>
          </w:p>
        </w:tc>
        <w:tc>
          <w:tcPr>
            <w:tcW w:w="4536" w:type="dxa"/>
          </w:tcPr>
          <w:p w14:paraId="79376749">
            <w:pPr>
              <w:spacing w:before="40" w:after="40" w:line="276" w:lineRule="auto"/>
              <w:jc w:val="center"/>
            </w:pPr>
            <w:r>
              <w:rPr>
                <w:rFonts w:ascii="Times New Roman" w:hAnsi="Times New Roman" w:eastAsia="宋体" w:cs="Times New Roman"/>
                <w:b w:val="0"/>
                <w:sz w:val="21"/>
              </w:rPr>
              <w:t>16GB</w:t>
            </w:r>
          </w:p>
        </w:tc>
      </w:tr>
      <w:tr w14:paraId="3A569676">
        <w:tc>
          <w:tcPr>
            <w:tcW w:w="4536" w:type="dxa"/>
          </w:tcPr>
          <w:p w14:paraId="372DAC39">
            <w:pPr>
              <w:spacing w:before="40" w:after="40" w:line="276" w:lineRule="auto"/>
              <w:jc w:val="center"/>
            </w:pPr>
            <w:r>
              <w:rPr>
                <w:rFonts w:ascii="Times New Roman" w:hAnsi="Times New Roman" w:eastAsia="宋体" w:cs="Times New Roman"/>
                <w:b w:val="0"/>
                <w:sz w:val="21"/>
              </w:rPr>
              <w:t>Python版本</w:t>
            </w:r>
          </w:p>
        </w:tc>
        <w:tc>
          <w:tcPr>
            <w:tcW w:w="4536" w:type="dxa"/>
          </w:tcPr>
          <w:p w14:paraId="09BB1C57">
            <w:pPr>
              <w:spacing w:before="40" w:after="40" w:line="276" w:lineRule="auto"/>
              <w:jc w:val="center"/>
            </w:pPr>
            <w:r>
              <w:rPr>
                <w:rFonts w:ascii="Times New Roman" w:hAnsi="Times New Roman" w:eastAsia="宋体" w:cs="Times New Roman"/>
                <w:b w:val="0"/>
                <w:sz w:val="21"/>
              </w:rPr>
              <w:t>3.11.12</w:t>
            </w:r>
          </w:p>
        </w:tc>
      </w:tr>
    </w:tbl>
    <w:p w14:paraId="73EBA7EB">
      <w:pPr>
        <w:pStyle w:val="6"/>
        <w:spacing w:before="120" w:after="120" w:line="360" w:lineRule="auto"/>
        <w:ind w:firstLine="0"/>
        <w:jc w:val="left"/>
      </w:pPr>
      <w:bookmarkStart w:id="62" w:name="_Toc322722575"/>
      <w:bookmarkStart w:id="63" w:name="_Toc605336737"/>
      <w:r>
        <w:rPr>
          <w:rFonts w:ascii="Times New Roman" w:hAnsi="Times New Roman" w:eastAsia="黑体" w:cs="Times New Roman"/>
          <w:sz w:val="24"/>
          <w:szCs w:val="24"/>
        </w:rPr>
        <w:t>2.8.4 四档分级结果分析</w:t>
      </w:r>
      <w:bookmarkEnd w:id="62"/>
      <w:bookmarkEnd w:id="63"/>
    </w:p>
    <w:p w14:paraId="44B19D79">
      <w:pPr>
        <w:pStyle w:val="3"/>
        <w:spacing w:before="0" w:after="0" w:line="360" w:lineRule="auto"/>
        <w:ind w:firstLine="420"/>
        <w:jc w:val="both"/>
      </w:pPr>
      <w:r>
        <w:rPr>
          <w:rFonts w:ascii="Times New Roman" w:hAnsi="Times New Roman" w:eastAsia="宋体" w:cs="Times New Roman"/>
          <w:sz w:val="24"/>
        </w:rPr>
        <w:t>对DL/T 1685—2017[8]附录D时序逐点做检测分级，结果与原文评价一致：基线日为正常；异常起始日后，各跟踪点总烃约287～425μL/L、氢气约145～189μL/L，检测分级都为注意值2。该附录各点间隔较大，难以按在运参比窗核对绝对增量与相对增长速率（%/周），该真值线主要依据绝对浓度与原文评价对照。关键节点对照如表2.3所示。</w:t>
      </w:r>
    </w:p>
    <w:p w14:paraId="3D65B474">
      <w:pPr>
        <w:pStyle w:val="15"/>
        <w:spacing w:before="120" w:after="120" w:line="360" w:lineRule="auto"/>
        <w:ind w:firstLine="0"/>
        <w:jc w:val="center"/>
      </w:pPr>
      <w:r>
        <w:rPr>
          <w:rFonts w:ascii="Times New Roman" w:hAnsi="Times New Roman" w:eastAsia="宋体" w:cs="Times New Roman"/>
          <w:sz w:val="24"/>
        </w:rPr>
        <w:t>表2.3　DL/T 1685—2017</w:t>
      </w:r>
      <w:r>
        <w:rPr>
          <w:rFonts w:ascii="Times New Roman" w:hAnsi="Times New Roman" w:eastAsia="宋体" w:cs="Times New Roman"/>
          <w:sz w:val="24"/>
          <w:vertAlign w:val="superscript"/>
        </w:rPr>
        <w:t>[8]</w:t>
      </w:r>
      <w:r>
        <w:rPr>
          <w:rFonts w:ascii="Times New Roman" w:hAnsi="Times New Roman" w:eastAsia="宋体" w:cs="Times New Roman"/>
          <w:sz w:val="24"/>
        </w:rPr>
        <w:t>附录D关键节点分级对照</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8"/>
        <w:gridCol w:w="2268"/>
        <w:gridCol w:w="2268"/>
        <w:gridCol w:w="2268"/>
      </w:tblGrid>
      <w:tr w14:paraId="0AFC9460">
        <w:tc>
          <w:tcPr>
            <w:tcW w:w="2268" w:type="dxa"/>
            <w:tcBorders>
              <w:bottom w:val="single" w:color="000000" w:sz="6" w:space="0"/>
            </w:tcBorders>
          </w:tcPr>
          <w:p w14:paraId="78D16479">
            <w:pPr>
              <w:spacing w:before="40" w:after="40" w:line="276" w:lineRule="auto"/>
              <w:jc w:val="center"/>
            </w:pPr>
            <w:r>
              <w:rPr>
                <w:rFonts w:ascii="Times New Roman" w:hAnsi="Times New Roman" w:eastAsia="宋体" w:cs="Times New Roman"/>
                <w:sz w:val="21"/>
                <w:szCs w:val="21"/>
              </w:rPr>
              <w:t>节点</w:t>
            </w:r>
          </w:p>
        </w:tc>
        <w:tc>
          <w:tcPr>
            <w:tcW w:w="2268" w:type="dxa"/>
            <w:tcBorders>
              <w:bottom w:val="single" w:color="000000" w:sz="6" w:space="0"/>
            </w:tcBorders>
          </w:tcPr>
          <w:p w14:paraId="66362CC3">
            <w:pPr>
              <w:spacing w:before="40" w:after="40" w:line="276" w:lineRule="auto"/>
              <w:jc w:val="center"/>
            </w:pPr>
            <w:r>
              <w:rPr>
                <w:rFonts w:ascii="Times New Roman" w:hAnsi="Times New Roman" w:eastAsia="宋体" w:cs="Times New Roman"/>
                <w:sz w:val="21"/>
                <w:szCs w:val="21"/>
              </w:rPr>
              <w:t>原文评价口径</w:t>
            </w:r>
          </w:p>
        </w:tc>
        <w:tc>
          <w:tcPr>
            <w:tcW w:w="2268" w:type="dxa"/>
            <w:tcBorders>
              <w:bottom w:val="single" w:color="000000" w:sz="6" w:space="0"/>
            </w:tcBorders>
          </w:tcPr>
          <w:p w14:paraId="57119821">
            <w:pPr>
              <w:spacing w:before="40" w:after="40" w:line="276" w:lineRule="auto"/>
              <w:jc w:val="center"/>
            </w:pPr>
            <w:r>
              <w:rPr>
                <w:rFonts w:ascii="Times New Roman" w:hAnsi="Times New Roman" w:eastAsia="宋体" w:cs="Times New Roman"/>
                <w:sz w:val="21"/>
                <w:szCs w:val="21"/>
              </w:rPr>
              <w:t>本章方法检测分级</w:t>
            </w:r>
          </w:p>
        </w:tc>
        <w:tc>
          <w:tcPr>
            <w:tcW w:w="2268" w:type="dxa"/>
            <w:tcBorders>
              <w:bottom w:val="single" w:color="000000" w:sz="6" w:space="0"/>
            </w:tcBorders>
          </w:tcPr>
          <w:p w14:paraId="2130A212">
            <w:pPr>
              <w:spacing w:before="40" w:after="40" w:line="276" w:lineRule="auto"/>
              <w:jc w:val="center"/>
            </w:pPr>
            <w:r>
              <w:rPr>
                <w:rFonts w:ascii="Times New Roman" w:hAnsi="Times New Roman" w:eastAsia="宋体" w:cs="Times New Roman"/>
                <w:sz w:val="21"/>
                <w:szCs w:val="21"/>
              </w:rPr>
              <w:t>紧急度（按原文速率核算）</w:t>
            </w:r>
          </w:p>
        </w:tc>
      </w:tr>
      <w:tr w14:paraId="7C813FC3">
        <w:tc>
          <w:tcPr>
            <w:tcW w:w="2268" w:type="dxa"/>
          </w:tcPr>
          <w:p w14:paraId="0A695A66">
            <w:pPr>
              <w:spacing w:before="40" w:after="40" w:line="276" w:lineRule="auto"/>
              <w:jc w:val="center"/>
            </w:pPr>
            <w:r>
              <w:rPr>
                <w:rFonts w:ascii="Times New Roman" w:hAnsi="Times New Roman" w:eastAsia="宋体" w:cs="Times New Roman"/>
                <w:sz w:val="21"/>
                <w:szCs w:val="21"/>
              </w:rPr>
              <w:t>2005-03-11 基线</w:t>
            </w:r>
          </w:p>
        </w:tc>
        <w:tc>
          <w:tcPr>
            <w:tcW w:w="2268" w:type="dxa"/>
          </w:tcPr>
          <w:p w14:paraId="196C999D">
            <w:pPr>
              <w:spacing w:before="40" w:after="40" w:line="276" w:lineRule="auto"/>
              <w:jc w:val="center"/>
            </w:pPr>
            <w:r>
              <w:rPr>
                <w:rFonts w:ascii="Times New Roman" w:hAnsi="Times New Roman" w:eastAsia="宋体" w:cs="Times New Roman"/>
                <w:sz w:val="21"/>
                <w:szCs w:val="21"/>
              </w:rPr>
              <w:t>例行未见异常</w:t>
            </w:r>
          </w:p>
        </w:tc>
        <w:tc>
          <w:tcPr>
            <w:tcW w:w="2268" w:type="dxa"/>
          </w:tcPr>
          <w:p w14:paraId="62EAF58A">
            <w:pPr>
              <w:spacing w:before="40" w:after="40" w:line="276" w:lineRule="auto"/>
              <w:jc w:val="center"/>
            </w:pPr>
            <w:r>
              <w:rPr>
                <w:rFonts w:ascii="Times New Roman" w:hAnsi="Times New Roman" w:eastAsia="宋体" w:cs="Times New Roman"/>
                <w:sz w:val="21"/>
                <w:szCs w:val="21"/>
              </w:rPr>
              <w:t>正常</w:t>
            </w:r>
          </w:p>
        </w:tc>
        <w:tc>
          <w:tcPr>
            <w:tcW w:w="2268" w:type="dxa"/>
          </w:tcPr>
          <w:p w14:paraId="3614ABA5">
            <w:pPr>
              <w:spacing w:before="40" w:after="40" w:line="276" w:lineRule="auto"/>
              <w:jc w:val="center"/>
            </w:pPr>
            <w:r>
              <w:rPr>
                <w:rFonts w:ascii="Times New Roman" w:hAnsi="Times New Roman" w:eastAsia="宋体" w:cs="Times New Roman"/>
                <w:sz w:val="21"/>
                <w:szCs w:val="21"/>
              </w:rPr>
              <w:t>—（未达注意值2）</w:t>
            </w:r>
          </w:p>
        </w:tc>
      </w:tr>
      <w:tr w14:paraId="50598AE3">
        <w:tc>
          <w:tcPr>
            <w:tcW w:w="2268" w:type="dxa"/>
          </w:tcPr>
          <w:p w14:paraId="578B44F8">
            <w:pPr>
              <w:spacing w:before="40" w:after="40" w:line="276" w:lineRule="auto"/>
              <w:jc w:val="center"/>
            </w:pPr>
            <w:r>
              <w:rPr>
                <w:rFonts w:ascii="Times New Roman" w:hAnsi="Times New Roman" w:eastAsia="宋体" w:cs="Times New Roman"/>
                <w:sz w:val="21"/>
                <w:szCs w:val="21"/>
              </w:rPr>
              <w:t>异常跟踪日起各点</w:t>
            </w:r>
          </w:p>
        </w:tc>
        <w:tc>
          <w:tcPr>
            <w:tcW w:w="2268" w:type="dxa"/>
          </w:tcPr>
          <w:p w14:paraId="15AEEE0B">
            <w:pPr>
              <w:spacing w:before="40" w:after="40" w:line="276" w:lineRule="auto"/>
              <w:jc w:val="center"/>
            </w:pPr>
            <w:r>
              <w:rPr>
                <w:rFonts w:ascii="Times New Roman" w:hAnsi="Times New Roman" w:eastAsia="宋体" w:cs="Times New Roman"/>
                <w:sz w:val="21"/>
                <w:szCs w:val="21"/>
              </w:rPr>
              <w:t>本体异常；总烃/H</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超注意</w:t>
            </w:r>
          </w:p>
        </w:tc>
        <w:tc>
          <w:tcPr>
            <w:tcW w:w="2268" w:type="dxa"/>
          </w:tcPr>
          <w:p w14:paraId="282E9B77">
            <w:pPr>
              <w:spacing w:before="40" w:after="40" w:line="276" w:lineRule="auto"/>
              <w:jc w:val="center"/>
            </w:pPr>
            <w:r>
              <w:rPr>
                <w:rFonts w:ascii="Times New Roman" w:hAnsi="Times New Roman" w:eastAsia="宋体" w:cs="Times New Roman"/>
                <w:sz w:val="21"/>
                <w:szCs w:val="21"/>
              </w:rPr>
              <w:t>注意值2</w:t>
            </w:r>
          </w:p>
        </w:tc>
        <w:tc>
          <w:tcPr>
            <w:tcW w:w="2268" w:type="dxa"/>
          </w:tcPr>
          <w:p w14:paraId="2EEC7D09">
            <w:pPr>
              <w:spacing w:before="40" w:after="40" w:line="276" w:lineRule="auto"/>
              <w:jc w:val="center"/>
            </w:pPr>
            <w:r>
              <w:rPr>
                <w:rFonts w:ascii="Times New Roman" w:hAnsi="Times New Roman" w:eastAsia="宋体" w:cs="Times New Roman"/>
                <w:sz w:val="21"/>
                <w:szCs w:val="21"/>
              </w:rPr>
              <w:t>中（暂稳，约 6.7%/月＜10%/月）</w:t>
            </w:r>
          </w:p>
        </w:tc>
      </w:tr>
    </w:tbl>
    <w:p w14:paraId="12D5D45B"/>
    <w:p w14:paraId="488FF1F5">
      <w:pPr>
        <w:pStyle w:val="3"/>
        <w:spacing w:before="0" w:after="0" w:line="360" w:lineRule="auto"/>
        <w:ind w:firstLine="420"/>
        <w:jc w:val="both"/>
      </w:pPr>
      <w:r>
        <w:rPr>
          <w:rFonts w:ascii="Times New Roman" w:hAnsi="Times New Roman" w:eastAsia="宋体" w:cs="Times New Roman"/>
          <w:sz w:val="24"/>
        </w:rPr>
        <w:t>在合成360天时序中，检测分级为正常267日（74.2%），注意值1为8日（2.2%），注意值2为18日（5.0%），告警值为67日（18.6%）。注意值2与告警值合计85日，均落在合成时序的两段峰值窗内（约2024-07与2025-03）；其余267日为正常，与合成时序基线段一致。说明按日采样、参比窗完整时，表2.1三组判据能随气体升高给出更高档结果。序列开头14天构不成参比窗，增量和相对增长速率暂不计算并记为正常，检测分级只看绝对浓度，这与在运设备的参比规则一致。</w:t>
      </w:r>
    </w:p>
    <w:p w14:paraId="2AD3DE99">
      <w:pPr>
        <w:pStyle w:val="6"/>
        <w:spacing w:before="120" w:after="120" w:line="360" w:lineRule="auto"/>
        <w:ind w:firstLine="0"/>
        <w:jc w:val="left"/>
      </w:pPr>
      <w:bookmarkStart w:id="64" w:name="_Toc1264502920"/>
      <w:bookmarkStart w:id="65" w:name="_Toc1602109350"/>
      <w:r>
        <w:rPr>
          <w:rFonts w:ascii="Times New Roman" w:hAnsi="Times New Roman" w:eastAsia="黑体" w:cs="Times New Roman"/>
          <w:sz w:val="24"/>
          <w:szCs w:val="24"/>
        </w:rPr>
        <w:t>2.8.5 处置紧急度与涨势预警案例分析</w:t>
      </w:r>
      <w:bookmarkEnd w:id="64"/>
      <w:bookmarkEnd w:id="65"/>
    </w:p>
    <w:p w14:paraId="2B4C589E">
      <w:pPr>
        <w:pStyle w:val="3"/>
        <w:keepNext w:val="0"/>
        <w:keepLines w:val="0"/>
        <w:pageBreakBefore w:val="0"/>
        <w:widowControl w:val="0"/>
        <w:numPr>
          <w:ilvl w:val="0"/>
          <w:numId w:val="7"/>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（1）DL/T 1685—2017[8]附录D：暂稳型紧急度。异常跟踪日紧急度见表2.3，均为中（暂稳）。说明含量已达注意值2时，不会仅据此把紧急度一律标成高。</w:t>
      </w:r>
    </w:p>
    <w:p w14:paraId="4D70367E">
      <w:pPr>
        <w:pStyle w:val="3"/>
        <w:keepNext w:val="0"/>
        <w:keepLines w:val="0"/>
        <w:pageBreakBefore w:val="0"/>
        <w:widowControl w:val="0"/>
        <w:numPr>
          <w:ilvl w:val="0"/>
          <w:numId w:val="7"/>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2）合成时序：涨势预警日。以2024-05-08为例，检测分级为正常，总烃约51.3μL/L，总烃月环比约10.7%/月，已超10%/月注意值，触发涨势预警；未达注意值2，故无紧急度。说明分级仍为正常时，涨势预警仍可单独给出。</w:t>
      </w:r>
    </w:p>
    <w:p w14:paraId="01DE58C3">
      <w:pPr>
        <w:pStyle w:val="3"/>
        <w:keepNext w:val="0"/>
        <w:keepLines w:val="0"/>
        <w:pageBreakBefore w:val="0"/>
        <w:widowControl w:val="0"/>
        <w:numPr>
          <w:ilvl w:val="0"/>
          <w:numId w:val="7"/>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3）合成时序：紧急度中和高。2024-07-02检测分级为注意值2，总烃月环比约9.0%/月，未超注意，紧急度为中。2024-07-05检测分级为告警值，总烃月环比约206%/月，紧急度为高。可见同属注意值2及以上时，紧急度由总烃月环比是否超注意区分暂稳和涨势快，检测分级仍按表2.1不变。典型日对照如表2.4所示。</w:t>
      </w:r>
    </w:p>
    <w:p w14:paraId="382693B4">
      <w:pPr>
        <w:pStyle w:val="15"/>
        <w:spacing w:before="120" w:after="120" w:line="360" w:lineRule="auto"/>
        <w:ind w:firstLine="0"/>
        <w:jc w:val="center"/>
      </w:pPr>
      <w:r>
        <w:rPr>
          <w:rFonts w:ascii="Times New Roman" w:hAnsi="Times New Roman" w:eastAsia="宋体" w:cs="Times New Roman"/>
          <w:sz w:val="24"/>
        </w:rPr>
        <w:t>表2.4　合成时序典型日分级与紧急度、涨势预警对照</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0AA3F206">
        <w:tc>
          <w:tcPr>
            <w:tcW w:w="1512" w:type="dxa"/>
            <w:tcBorders>
              <w:bottom w:val="single" w:color="000000" w:sz="6" w:space="0"/>
            </w:tcBorders>
          </w:tcPr>
          <w:p w14:paraId="6EAB46C3">
            <w:pPr>
              <w:spacing w:before="40" w:after="40" w:line="276" w:lineRule="auto"/>
              <w:jc w:val="center"/>
            </w:pPr>
            <w:r>
              <w:rPr>
                <w:rFonts w:ascii="Times New Roman" w:hAnsi="Times New Roman" w:eastAsia="宋体" w:cs="Times New Roman"/>
                <w:sz w:val="21"/>
                <w:szCs w:val="21"/>
              </w:rPr>
              <w:t>日期</w:t>
            </w:r>
          </w:p>
        </w:tc>
        <w:tc>
          <w:tcPr>
            <w:tcW w:w="1512" w:type="dxa"/>
            <w:tcBorders>
              <w:bottom w:val="single" w:color="000000" w:sz="6" w:space="0"/>
            </w:tcBorders>
          </w:tcPr>
          <w:p w14:paraId="5E42F2C0">
            <w:pPr>
              <w:spacing w:before="40" w:after="40" w:line="276" w:lineRule="auto"/>
              <w:jc w:val="center"/>
            </w:pPr>
            <w:r>
              <w:rPr>
                <w:rFonts w:ascii="Times New Roman" w:hAnsi="Times New Roman" w:eastAsia="宋体" w:cs="Times New Roman"/>
                <w:sz w:val="21"/>
                <w:szCs w:val="21"/>
              </w:rPr>
              <w:t>检测分级</w:t>
            </w:r>
          </w:p>
        </w:tc>
        <w:tc>
          <w:tcPr>
            <w:tcW w:w="1512" w:type="dxa"/>
            <w:tcBorders>
              <w:bottom w:val="single" w:color="000000" w:sz="6" w:space="0"/>
            </w:tcBorders>
          </w:tcPr>
          <w:p w14:paraId="338750F9">
            <w:pPr>
              <w:spacing w:before="40" w:after="40" w:line="276" w:lineRule="auto"/>
              <w:jc w:val="center"/>
            </w:pPr>
            <w:r>
              <w:rPr>
                <w:rFonts w:ascii="Times New Roman" w:hAnsi="Times New Roman" w:eastAsia="宋体" w:cs="Times New Roman"/>
                <w:sz w:val="21"/>
                <w:szCs w:val="21"/>
              </w:rPr>
              <w:t>总烃月环比</w:t>
            </w:r>
          </w:p>
        </w:tc>
        <w:tc>
          <w:tcPr>
            <w:tcW w:w="1512" w:type="dxa"/>
            <w:tcBorders>
              <w:bottom w:val="single" w:color="000000" w:sz="6" w:space="0"/>
            </w:tcBorders>
          </w:tcPr>
          <w:p w14:paraId="5AF4E430">
            <w:pPr>
              <w:spacing w:before="40" w:after="40" w:line="276" w:lineRule="auto"/>
              <w:jc w:val="center"/>
            </w:pPr>
            <w:r>
              <w:rPr>
                <w:rFonts w:ascii="Times New Roman" w:hAnsi="Times New Roman" w:eastAsia="宋体" w:cs="Times New Roman"/>
                <w:sz w:val="21"/>
                <w:szCs w:val="21"/>
              </w:rPr>
              <w:t>涨势预警</w:t>
            </w:r>
          </w:p>
        </w:tc>
        <w:tc>
          <w:tcPr>
            <w:tcW w:w="1512" w:type="dxa"/>
            <w:tcBorders>
              <w:bottom w:val="single" w:color="000000" w:sz="6" w:space="0"/>
            </w:tcBorders>
          </w:tcPr>
          <w:p w14:paraId="3F875D17">
            <w:pPr>
              <w:spacing w:before="40" w:after="40" w:line="276" w:lineRule="auto"/>
              <w:jc w:val="center"/>
            </w:pPr>
            <w:r>
              <w:rPr>
                <w:rFonts w:ascii="Times New Roman" w:hAnsi="Times New Roman" w:eastAsia="宋体" w:cs="Times New Roman"/>
                <w:sz w:val="21"/>
                <w:szCs w:val="21"/>
              </w:rPr>
              <w:t>紧急度</w:t>
            </w:r>
          </w:p>
        </w:tc>
        <w:tc>
          <w:tcPr>
            <w:tcW w:w="1512" w:type="dxa"/>
            <w:tcBorders>
              <w:bottom w:val="single" w:color="000000" w:sz="6" w:space="0"/>
            </w:tcBorders>
          </w:tcPr>
          <w:p w14:paraId="71CB510D">
            <w:pPr>
              <w:spacing w:before="40" w:after="40" w:line="276" w:lineRule="auto"/>
              <w:jc w:val="center"/>
            </w:pPr>
            <w:r>
              <w:rPr>
                <w:rFonts w:ascii="Times New Roman" w:hAnsi="Times New Roman" w:eastAsia="宋体" w:cs="Times New Roman"/>
                <w:sz w:val="21"/>
                <w:szCs w:val="21"/>
              </w:rPr>
              <w:t>说明</w:t>
            </w:r>
          </w:p>
        </w:tc>
      </w:tr>
      <w:tr w14:paraId="3FF305CE">
        <w:tc>
          <w:tcPr>
            <w:tcW w:w="1512" w:type="dxa"/>
          </w:tcPr>
          <w:p w14:paraId="6439B775">
            <w:pPr>
              <w:spacing w:before="40" w:after="40" w:line="276" w:lineRule="auto"/>
              <w:jc w:val="center"/>
            </w:pPr>
            <w:r>
              <w:rPr>
                <w:rFonts w:ascii="Times New Roman" w:hAnsi="Times New Roman" w:eastAsia="宋体" w:cs="Times New Roman"/>
                <w:sz w:val="21"/>
                <w:szCs w:val="21"/>
              </w:rPr>
              <w:t>2024-05-08</w:t>
            </w:r>
          </w:p>
        </w:tc>
        <w:tc>
          <w:tcPr>
            <w:tcW w:w="1512" w:type="dxa"/>
          </w:tcPr>
          <w:p w14:paraId="4846E5AA">
            <w:pPr>
              <w:spacing w:before="40" w:after="40" w:line="276" w:lineRule="auto"/>
              <w:jc w:val="center"/>
            </w:pPr>
            <w:r>
              <w:rPr>
                <w:rFonts w:ascii="Times New Roman" w:hAnsi="Times New Roman" w:eastAsia="宋体" w:cs="Times New Roman"/>
                <w:sz w:val="21"/>
                <w:szCs w:val="21"/>
              </w:rPr>
              <w:t>正常</w:t>
            </w:r>
          </w:p>
        </w:tc>
        <w:tc>
          <w:tcPr>
            <w:tcW w:w="1512" w:type="dxa"/>
          </w:tcPr>
          <w:p w14:paraId="0A3659B6">
            <w:pPr>
              <w:spacing w:before="40" w:after="40" w:line="276" w:lineRule="auto"/>
              <w:jc w:val="center"/>
            </w:pPr>
            <w:r>
              <w:rPr>
                <w:rFonts w:ascii="Times New Roman" w:hAnsi="Times New Roman" w:eastAsia="宋体" w:cs="Times New Roman"/>
                <w:sz w:val="24"/>
              </w:rPr>
              <w:t>约10.7%/月</w:t>
            </w:r>
          </w:p>
        </w:tc>
        <w:tc>
          <w:tcPr>
            <w:tcW w:w="1512" w:type="dxa"/>
          </w:tcPr>
          <w:p w14:paraId="488B0723">
            <w:pPr>
              <w:spacing w:before="40" w:after="40" w:line="276" w:lineRule="auto"/>
              <w:jc w:val="center"/>
            </w:pPr>
            <w:r>
              <w:rPr>
                <w:rFonts w:ascii="Times New Roman" w:hAnsi="Times New Roman" w:eastAsia="宋体" w:cs="Times New Roman"/>
                <w:sz w:val="21"/>
                <w:szCs w:val="21"/>
              </w:rPr>
              <w:t>是</w:t>
            </w:r>
          </w:p>
        </w:tc>
        <w:tc>
          <w:tcPr>
            <w:tcW w:w="1512" w:type="dxa"/>
          </w:tcPr>
          <w:p w14:paraId="3C81E5B6">
            <w:pPr>
              <w:spacing w:before="40" w:after="40" w:line="276" w:lineRule="auto"/>
              <w:jc w:val="center"/>
            </w:pPr>
            <w:r>
              <w:rPr>
                <w:rFonts w:ascii="Times New Roman" w:hAnsi="Times New Roman" w:eastAsia="宋体" w:cs="Times New Roman"/>
                <w:sz w:val="21"/>
                <w:szCs w:val="21"/>
              </w:rPr>
              <w:t>—</w:t>
            </w:r>
          </w:p>
        </w:tc>
        <w:tc>
          <w:tcPr>
            <w:tcW w:w="1512" w:type="dxa"/>
          </w:tcPr>
          <w:p w14:paraId="0BCB0C70">
            <w:pPr>
              <w:spacing w:before="40" w:after="40" w:line="276" w:lineRule="auto"/>
              <w:jc w:val="center"/>
            </w:pPr>
            <w:r>
              <w:rPr>
                <w:rFonts w:ascii="Times New Roman" w:hAnsi="Times New Roman" w:eastAsia="宋体" w:cs="Times New Roman"/>
                <w:sz w:val="24"/>
              </w:rPr>
              <w:t>分级正常但速率已超注意</w:t>
            </w:r>
          </w:p>
        </w:tc>
      </w:tr>
      <w:tr w14:paraId="5590B125">
        <w:tc>
          <w:tcPr>
            <w:tcW w:w="1512" w:type="dxa"/>
          </w:tcPr>
          <w:p w14:paraId="31FA1342">
            <w:pPr>
              <w:spacing w:before="40" w:after="40" w:line="276" w:lineRule="auto"/>
              <w:jc w:val="center"/>
            </w:pPr>
            <w:r>
              <w:rPr>
                <w:rFonts w:ascii="Times New Roman" w:hAnsi="Times New Roman" w:eastAsia="宋体" w:cs="Times New Roman"/>
                <w:sz w:val="21"/>
                <w:szCs w:val="21"/>
              </w:rPr>
              <w:t>2024-06-15</w:t>
            </w:r>
          </w:p>
        </w:tc>
        <w:tc>
          <w:tcPr>
            <w:tcW w:w="1512" w:type="dxa"/>
          </w:tcPr>
          <w:p w14:paraId="51115794">
            <w:pPr>
              <w:spacing w:before="40" w:after="40" w:line="276" w:lineRule="auto"/>
              <w:jc w:val="center"/>
            </w:pPr>
            <w:r>
              <w:rPr>
                <w:rFonts w:ascii="Times New Roman" w:hAnsi="Times New Roman" w:eastAsia="宋体" w:cs="Times New Roman"/>
                <w:sz w:val="21"/>
                <w:szCs w:val="21"/>
              </w:rPr>
              <w:t>注意值1</w:t>
            </w:r>
          </w:p>
        </w:tc>
        <w:tc>
          <w:tcPr>
            <w:tcW w:w="1512" w:type="dxa"/>
          </w:tcPr>
          <w:p w14:paraId="46963AE4">
            <w:pPr>
              <w:spacing w:before="40" w:after="40" w:line="276" w:lineRule="auto"/>
              <w:jc w:val="center"/>
            </w:pPr>
            <w:r>
              <w:rPr>
                <w:rFonts w:ascii="Times New Roman" w:hAnsi="Times New Roman" w:eastAsia="宋体" w:cs="Times New Roman"/>
                <w:sz w:val="24"/>
              </w:rPr>
              <w:t>约6.2%/月</w:t>
            </w:r>
          </w:p>
        </w:tc>
        <w:tc>
          <w:tcPr>
            <w:tcW w:w="1512" w:type="dxa"/>
          </w:tcPr>
          <w:p w14:paraId="56B8D64B">
            <w:pPr>
              <w:spacing w:before="40" w:after="40" w:line="276" w:lineRule="auto"/>
              <w:jc w:val="center"/>
            </w:pPr>
            <w:r>
              <w:rPr>
                <w:rFonts w:ascii="Times New Roman" w:hAnsi="Times New Roman" w:eastAsia="宋体" w:cs="Times New Roman"/>
                <w:sz w:val="21"/>
                <w:szCs w:val="21"/>
              </w:rPr>
              <w:t>否</w:t>
            </w:r>
          </w:p>
        </w:tc>
        <w:tc>
          <w:tcPr>
            <w:tcW w:w="1512" w:type="dxa"/>
          </w:tcPr>
          <w:p w14:paraId="07D7889A">
            <w:pPr>
              <w:spacing w:before="40" w:after="40" w:line="276" w:lineRule="auto"/>
              <w:jc w:val="center"/>
            </w:pPr>
            <w:r>
              <w:rPr>
                <w:rFonts w:ascii="Times New Roman" w:hAnsi="Times New Roman" w:eastAsia="宋体" w:cs="Times New Roman"/>
                <w:sz w:val="21"/>
                <w:szCs w:val="21"/>
              </w:rPr>
              <w:t>—</w:t>
            </w:r>
          </w:p>
        </w:tc>
        <w:tc>
          <w:tcPr>
            <w:tcW w:w="1512" w:type="dxa"/>
          </w:tcPr>
          <w:p w14:paraId="5256F867">
            <w:pPr>
              <w:spacing w:before="40" w:after="40" w:line="276" w:lineRule="auto"/>
              <w:jc w:val="center"/>
            </w:pPr>
            <w:r>
              <w:rPr>
                <w:rFonts w:ascii="Times New Roman" w:hAnsi="Times New Roman" w:eastAsia="宋体" w:cs="Times New Roman"/>
                <w:sz w:val="21"/>
                <w:szCs w:val="21"/>
              </w:rPr>
              <w:t>轻微注意、速率未超</w:t>
            </w:r>
          </w:p>
        </w:tc>
      </w:tr>
      <w:tr w14:paraId="06CAE02B">
        <w:tc>
          <w:tcPr>
            <w:tcW w:w="1512" w:type="dxa"/>
          </w:tcPr>
          <w:p w14:paraId="5EC8CCB0">
            <w:pPr>
              <w:spacing w:before="40" w:after="40" w:line="276" w:lineRule="auto"/>
              <w:jc w:val="center"/>
            </w:pPr>
            <w:r>
              <w:rPr>
                <w:rFonts w:ascii="Times New Roman" w:hAnsi="Times New Roman" w:eastAsia="宋体" w:cs="Times New Roman"/>
                <w:sz w:val="21"/>
                <w:szCs w:val="21"/>
              </w:rPr>
              <w:t>2024-07-02</w:t>
            </w:r>
          </w:p>
        </w:tc>
        <w:tc>
          <w:tcPr>
            <w:tcW w:w="1512" w:type="dxa"/>
          </w:tcPr>
          <w:p w14:paraId="2020C18A">
            <w:pPr>
              <w:spacing w:before="40" w:after="40" w:line="276" w:lineRule="auto"/>
              <w:jc w:val="center"/>
            </w:pPr>
            <w:r>
              <w:rPr>
                <w:rFonts w:ascii="Times New Roman" w:hAnsi="Times New Roman" w:eastAsia="宋体" w:cs="Times New Roman"/>
                <w:sz w:val="21"/>
                <w:szCs w:val="21"/>
              </w:rPr>
              <w:t>注意值2</w:t>
            </w:r>
          </w:p>
        </w:tc>
        <w:tc>
          <w:tcPr>
            <w:tcW w:w="1512" w:type="dxa"/>
          </w:tcPr>
          <w:p w14:paraId="5623EEF9">
            <w:pPr>
              <w:spacing w:before="40" w:after="40" w:line="276" w:lineRule="auto"/>
              <w:jc w:val="center"/>
            </w:pPr>
            <w:r>
              <w:rPr>
                <w:rFonts w:ascii="Times New Roman" w:hAnsi="Times New Roman" w:eastAsia="宋体" w:cs="Times New Roman"/>
                <w:sz w:val="24"/>
              </w:rPr>
              <w:t>约9.0%/月</w:t>
            </w:r>
          </w:p>
        </w:tc>
        <w:tc>
          <w:tcPr>
            <w:tcW w:w="1512" w:type="dxa"/>
          </w:tcPr>
          <w:p w14:paraId="3E7DE471">
            <w:pPr>
              <w:spacing w:before="40" w:after="40" w:line="276" w:lineRule="auto"/>
              <w:jc w:val="center"/>
            </w:pPr>
            <w:r>
              <w:rPr>
                <w:rFonts w:ascii="Times New Roman" w:hAnsi="Times New Roman" w:eastAsia="宋体" w:cs="Times New Roman"/>
                <w:sz w:val="21"/>
                <w:szCs w:val="21"/>
              </w:rPr>
              <w:t>否</w:t>
            </w:r>
          </w:p>
        </w:tc>
        <w:tc>
          <w:tcPr>
            <w:tcW w:w="1512" w:type="dxa"/>
          </w:tcPr>
          <w:p w14:paraId="01A5D3EF">
            <w:pPr>
              <w:spacing w:before="40" w:after="40" w:line="276" w:lineRule="auto"/>
              <w:jc w:val="center"/>
            </w:pPr>
            <w:r>
              <w:rPr>
                <w:rFonts w:ascii="Times New Roman" w:hAnsi="Times New Roman" w:eastAsia="宋体" w:cs="Times New Roman"/>
                <w:sz w:val="21"/>
                <w:szCs w:val="21"/>
              </w:rPr>
              <w:t>中</w:t>
            </w:r>
          </w:p>
        </w:tc>
        <w:tc>
          <w:tcPr>
            <w:tcW w:w="1512" w:type="dxa"/>
          </w:tcPr>
          <w:p w14:paraId="610E6858">
            <w:pPr>
              <w:spacing w:before="40" w:after="40" w:line="276" w:lineRule="auto"/>
              <w:jc w:val="center"/>
            </w:pPr>
            <w:r>
              <w:rPr>
                <w:rFonts w:ascii="Times New Roman" w:hAnsi="Times New Roman" w:eastAsia="宋体" w:cs="Times New Roman"/>
                <w:sz w:val="21"/>
                <w:szCs w:val="21"/>
              </w:rPr>
              <w:t>含量注意、涨势暂稳</w:t>
            </w:r>
          </w:p>
        </w:tc>
      </w:tr>
      <w:tr w14:paraId="1F0BC7EE">
        <w:tc>
          <w:tcPr>
            <w:tcW w:w="1512" w:type="dxa"/>
          </w:tcPr>
          <w:p w14:paraId="7E73F93A">
            <w:pPr>
              <w:spacing w:before="40" w:after="40" w:line="276" w:lineRule="auto"/>
              <w:jc w:val="center"/>
            </w:pPr>
            <w:r>
              <w:rPr>
                <w:rFonts w:ascii="Times New Roman" w:hAnsi="Times New Roman" w:eastAsia="宋体" w:cs="Times New Roman"/>
                <w:sz w:val="21"/>
                <w:szCs w:val="21"/>
              </w:rPr>
              <w:t>2024-07-05</w:t>
            </w:r>
          </w:p>
        </w:tc>
        <w:tc>
          <w:tcPr>
            <w:tcW w:w="1512" w:type="dxa"/>
          </w:tcPr>
          <w:p w14:paraId="03EF187E">
            <w:pPr>
              <w:spacing w:before="40" w:after="40" w:line="276" w:lineRule="auto"/>
              <w:jc w:val="center"/>
            </w:pPr>
            <w:r>
              <w:rPr>
                <w:rFonts w:ascii="Times New Roman" w:hAnsi="Times New Roman" w:eastAsia="宋体" w:cs="Times New Roman"/>
                <w:sz w:val="21"/>
                <w:szCs w:val="21"/>
              </w:rPr>
              <w:t>告警值</w:t>
            </w:r>
          </w:p>
        </w:tc>
        <w:tc>
          <w:tcPr>
            <w:tcW w:w="1512" w:type="dxa"/>
          </w:tcPr>
          <w:p w14:paraId="4E70FAEB">
            <w:pPr>
              <w:spacing w:before="40" w:after="40" w:line="276" w:lineRule="auto"/>
              <w:jc w:val="center"/>
            </w:pPr>
            <w:r>
              <w:rPr>
                <w:rFonts w:ascii="Times New Roman" w:hAnsi="Times New Roman" w:eastAsia="宋体" w:cs="Times New Roman"/>
                <w:sz w:val="24"/>
              </w:rPr>
              <w:t>约206%/月</w:t>
            </w:r>
          </w:p>
        </w:tc>
        <w:tc>
          <w:tcPr>
            <w:tcW w:w="1512" w:type="dxa"/>
          </w:tcPr>
          <w:p w14:paraId="37D9CAEB">
            <w:pPr>
              <w:spacing w:before="40" w:after="40" w:line="276" w:lineRule="auto"/>
              <w:jc w:val="center"/>
            </w:pPr>
            <w:r>
              <w:rPr>
                <w:rFonts w:ascii="Times New Roman" w:hAnsi="Times New Roman" w:eastAsia="宋体" w:cs="Times New Roman"/>
                <w:sz w:val="21"/>
                <w:szCs w:val="21"/>
              </w:rPr>
              <w:t>否</w:t>
            </w:r>
          </w:p>
        </w:tc>
        <w:tc>
          <w:tcPr>
            <w:tcW w:w="1512" w:type="dxa"/>
          </w:tcPr>
          <w:p w14:paraId="2DAD291A">
            <w:pPr>
              <w:spacing w:before="40" w:after="40" w:line="276" w:lineRule="auto"/>
              <w:jc w:val="center"/>
            </w:pPr>
            <w:r>
              <w:rPr>
                <w:rFonts w:ascii="Times New Roman" w:hAnsi="Times New Roman" w:eastAsia="宋体" w:cs="Times New Roman"/>
                <w:sz w:val="21"/>
                <w:szCs w:val="21"/>
              </w:rPr>
              <w:t>高</w:t>
            </w:r>
          </w:p>
        </w:tc>
        <w:tc>
          <w:tcPr>
            <w:tcW w:w="1512" w:type="dxa"/>
          </w:tcPr>
          <w:p w14:paraId="07365DFD">
            <w:pPr>
              <w:spacing w:before="40" w:after="40" w:line="276" w:lineRule="auto"/>
              <w:jc w:val="center"/>
            </w:pPr>
            <w:r>
              <w:rPr>
                <w:rFonts w:ascii="Times New Roman" w:hAnsi="Times New Roman" w:eastAsia="宋体" w:cs="Times New Roman"/>
                <w:sz w:val="21"/>
                <w:szCs w:val="21"/>
              </w:rPr>
              <w:t>含量告警且涨势快</w:t>
            </w:r>
          </w:p>
        </w:tc>
      </w:tr>
    </w:tbl>
    <w:p w14:paraId="0897818A"/>
    <w:p w14:paraId="234B763B">
      <w:pPr>
        <w:pStyle w:val="3"/>
        <w:spacing w:before="0" w:after="0" w:line="360" w:lineRule="auto"/>
        <w:ind w:firstLine="420"/>
        <w:jc w:val="both"/>
      </w:pPr>
      <w:r>
        <w:rPr>
          <w:rFonts w:ascii="Times New Roman" w:hAnsi="Times New Roman" w:eastAsia="宋体" w:cs="Times New Roman"/>
          <w:sz w:val="24"/>
        </w:rPr>
        <w:t>在合成360天时序中统计：总烃月环比超注意共132日，其中涨势预警51日；检测分级为注意值2及以上共85日，其中紧急度高81日、中4日。本演示数据未出现“仅氢气超标且速率未超”的低紧急度样本，该分支规则见第2.5节。</w:t>
      </w:r>
    </w:p>
    <w:p w14:paraId="4254161B">
      <w:pPr>
        <w:pStyle w:val="4"/>
        <w:spacing w:before="156" w:beforeLines="50" w:after="156" w:afterLines="50" w:line="360" w:lineRule="auto"/>
        <w:ind w:left="0"/>
        <w:jc w:val="both"/>
        <w:rPr>
          <w:rFonts w:hint="eastAsia" w:eastAsia="黑体"/>
          <w:b w:val="0"/>
          <w:bCs/>
          <w:sz w:val="24"/>
          <w:szCs w:val="18"/>
        </w:rPr>
      </w:pPr>
      <w:bookmarkStart w:id="66" w:name="_Toc1002405728"/>
      <w:bookmarkStart w:id="67" w:name="_Toc1501879364"/>
      <w:r>
        <w:rPr>
          <w:rFonts w:hint="eastAsia" w:eastAsia="黑体"/>
          <w:b w:val="0"/>
          <w:bCs/>
          <w:sz w:val="24"/>
          <w:szCs w:val="18"/>
        </w:rPr>
        <w:t>2.9 本章小结</w:t>
      </w:r>
      <w:bookmarkEnd w:id="66"/>
      <w:bookmarkEnd w:id="67"/>
    </w:p>
    <w:p w14:paraId="55A3A2B5">
      <w:pPr>
        <w:pStyle w:val="3"/>
        <w:spacing w:before="0" w:after="0" w:line="360" w:lineRule="auto"/>
        <w:ind w:firstLine="420"/>
        <w:jc w:val="both"/>
      </w:pPr>
      <w:r>
        <w:rPr>
          <w:rFonts w:ascii="Times New Roman" w:hAnsi="Times New Roman" w:eastAsia="宋体" w:cs="Times New Roman"/>
          <w:b w:val="0"/>
          <w:sz w:val="24"/>
        </w:rPr>
        <w:t>本章主要处理三个问题：两套相对速率容易混用、告警理由不易核对，以及气体含量尚未明显升高时早期涨势容易漏掉。本文按DL/T 1498.2—2025表A.3逐项判定，再以各项中的最高一档作为当日检测分级，并保留可核对的指标明细；按DL/T 722—2014总烃月环比给出处置紧急度和涨势预警。即使检测分级仍为正常或注意值1，只要总烃月环比超注意，仍给出涨势预警。DL/T 1685—2017[8]附录D核对表明，检测分级和暂稳型紧急度与原文一致；在合成360天时序上，也能分出正常、涨势预警、暂稳和涨势快等情形。序列开头14天构不成参比窗时，增量和相对增长速率暂不计算，这是按在运设备参比规则处理的。本章结果供后续故障类型判断和智能体工作流使用。</w:t>
      </w:r>
    </w:p>
    <w:p w14:paraId="3E7CF3D3">
      <w:r>
        <w:rPr>
          <w:rFonts w:ascii="Times New Roman" w:hAnsi="Times New Roman" w:eastAsia="宋体" w:cs="Times New Roman"/>
          <w:b w:val="0"/>
          <w:sz w:val="24"/>
          <w:szCs w:val="24"/>
        </w:rPr>
        <w:br w:type="page"/>
      </w:r>
    </w:p>
    <w:p w14:paraId="47E7C29C">
      <w:pPr>
        <w:pStyle w:val="2"/>
        <w:spacing w:before="480" w:after="360" w:line="360" w:lineRule="auto"/>
        <w:ind w:firstLine="0"/>
        <w:jc w:val="center"/>
      </w:pPr>
      <w:bookmarkStart w:id="68" w:name="_Toc423859781"/>
      <w:bookmarkStart w:id="69" w:name="_Toc563683910"/>
      <w:r>
        <w:rPr>
          <w:rFonts w:ascii="Times New Roman" w:hAnsi="Times New Roman" w:eastAsia="黑体" w:cs="Times New Roman"/>
          <w:sz w:val="32"/>
          <w:szCs w:val="32"/>
        </w:rPr>
        <w:t>3  基于多规则协同的变压器油中溶解气体故障类型智能判断技术</w:t>
      </w:r>
      <w:bookmarkEnd w:id="68"/>
      <w:bookmarkEnd w:id="69"/>
    </w:p>
    <w:p w14:paraId="288BFC7D">
      <w:pPr>
        <w:pStyle w:val="4"/>
        <w:spacing w:before="156" w:beforeLines="50" w:after="156" w:afterLines="50" w:line="360" w:lineRule="auto"/>
        <w:ind w:left="0"/>
        <w:jc w:val="both"/>
        <w:rPr>
          <w:rFonts w:hint="eastAsia" w:eastAsia="黑体"/>
          <w:b w:val="0"/>
          <w:bCs/>
          <w:sz w:val="24"/>
          <w:szCs w:val="18"/>
        </w:rPr>
      </w:pPr>
      <w:bookmarkStart w:id="70" w:name="_Toc1285108453"/>
      <w:bookmarkStart w:id="71" w:name="_Toc608082168"/>
      <w:r>
        <w:rPr>
          <w:rFonts w:hint="eastAsia" w:eastAsia="黑体"/>
          <w:b w:val="0"/>
          <w:bCs/>
          <w:sz w:val="24"/>
          <w:szCs w:val="18"/>
        </w:rPr>
        <w:t>3.1 引言</w:t>
      </w:r>
      <w:bookmarkEnd w:id="70"/>
      <w:bookmarkEnd w:id="71"/>
    </w:p>
    <w:p w14:paraId="5259F0E5">
      <w:pPr>
        <w:pStyle w:val="3"/>
        <w:spacing w:before="0" w:after="0" w:line="360" w:lineRule="auto"/>
        <w:ind w:firstLine="420"/>
        <w:jc w:val="both"/>
      </w:pPr>
      <w:r>
        <w:rPr>
          <w:rFonts w:ascii="Times New Roman" w:hAnsi="Times New Roman" w:eastAsia="宋体" w:cs="Times New Roman"/>
          <w:sz w:val="24"/>
        </w:rPr>
        <w:t>第2章已给出检测分级、总烃月环比和涨势预警。气体含量达到注意值，或产气速率明显加快时，还须判断可能的故障类型，并给出进一步试验建议。按DL/T 722—2014[6]第10.3条，应先将检测结果与含量注意值、产气速率注意值比较；当认为设备内部存在故障时，再用第10.1条、第10.2条所述方法，并参考该标准附录A、附录B和附录C，对故障类型进行判断；同条还指出，可结合该标准附录D给出的其他试验项目作后续安排。</w:t>
      </w:r>
    </w:p>
    <w:p w14:paraId="32E24E6F">
      <w:pPr>
        <w:pStyle w:val="3"/>
        <w:spacing w:before="0" w:after="0" w:line="360" w:lineRule="auto"/>
        <w:ind w:firstLine="420"/>
        <w:jc w:val="both"/>
      </w:pPr>
      <w:r>
        <w:rPr>
          <w:rFonts w:ascii="Times New Roman" w:hAnsi="Times New Roman" w:eastAsia="宋体" w:cs="Times New Roman"/>
          <w:sz w:val="24"/>
        </w:rPr>
        <w:t>本章在此基础上研究多规则协同的故障类型智能判断。用双门槛衔接第2章结果：检测分级达到注意值2或告警，或总烃月环比超注意（含涨势预警），即可进入判型。同时采用特征气体法、三比值法与大卫三角形法，经交叉研判按优先级确定主结论，并完成性质核对和可信度标注。试验建议按该标准附录D表D.1整理，细项再按DL/T 1685—2017[8]附录B补充，形成可核对的清单。</w:t>
      </w:r>
    </w:p>
    <w:p w14:paraId="2946C31F">
      <w:pPr>
        <w:pStyle w:val="4"/>
        <w:spacing w:before="156" w:beforeLines="50" w:after="156" w:afterLines="50" w:line="360" w:lineRule="auto"/>
        <w:ind w:left="0"/>
        <w:jc w:val="both"/>
        <w:rPr>
          <w:rFonts w:hint="eastAsia" w:eastAsia="黑体"/>
          <w:b w:val="0"/>
          <w:bCs/>
          <w:sz w:val="24"/>
          <w:szCs w:val="18"/>
        </w:rPr>
      </w:pPr>
      <w:bookmarkStart w:id="72" w:name="_Toc1574731692"/>
      <w:bookmarkStart w:id="73" w:name="_Toc162321503"/>
      <w:r>
        <w:rPr>
          <w:rFonts w:hint="eastAsia" w:eastAsia="黑体"/>
          <w:b w:val="0"/>
          <w:bCs/>
          <w:sz w:val="24"/>
          <w:szCs w:val="18"/>
        </w:rPr>
        <w:t>3.2 相关研究与问题分析</w:t>
      </w:r>
      <w:bookmarkEnd w:id="72"/>
      <w:bookmarkEnd w:id="73"/>
    </w:p>
    <w:p w14:paraId="2A2652EF">
      <w:pPr>
        <w:pStyle w:val="3"/>
        <w:spacing w:before="0" w:after="0" w:line="360" w:lineRule="auto"/>
        <w:ind w:firstLine="420"/>
        <w:jc w:val="both"/>
      </w:pPr>
      <w:r>
        <w:rPr>
          <w:rFonts w:ascii="Times New Roman" w:hAnsi="Times New Roman" w:eastAsia="宋体" w:cs="Times New Roman"/>
          <w:sz w:val="24"/>
        </w:rPr>
        <w:t>传统规则方法仍是油中溶解气体故障类型判断的常用判据。三比值法用编码查表，做法直观；大卫三角形法按平面分区判断，可补上三比值法部分无对应编码的情形；特征气体法则根据主要气体、次要气体组合，给出过热或放电一类定性判断</w:t>
      </w:r>
      <w:r>
        <w:rPr>
          <w:rFonts w:ascii="Times New Roman" w:hAnsi="Times New Roman" w:eastAsia="宋体" w:cs="Times New Roman"/>
          <w:sz w:val="24"/>
          <w:vertAlign w:val="superscript"/>
        </w:rPr>
        <w:t>[13][35]</w:t>
      </w:r>
      <w:r>
        <w:rPr>
          <w:rFonts w:ascii="Times New Roman" w:hAnsi="Times New Roman" w:eastAsia="宋体" w:cs="Times New Roman"/>
          <w:sz w:val="24"/>
        </w:rPr>
        <w:t>。有综述指出，只用一种方法时，边界样本上可能判错，实际工作中往往要几种方法一起看</w:t>
      </w:r>
      <w:r>
        <w:rPr>
          <w:rFonts w:ascii="Times New Roman" w:hAnsi="Times New Roman" w:eastAsia="宋体" w:cs="Times New Roman"/>
          <w:sz w:val="24"/>
          <w:vertAlign w:val="superscript"/>
        </w:rPr>
        <w:t>[13]</w:t>
      </w:r>
      <w:r>
        <w:rPr>
          <w:rFonts w:ascii="Times New Roman" w:hAnsi="Times New Roman" w:eastAsia="宋体" w:cs="Times New Roman"/>
          <w:sz w:val="24"/>
        </w:rPr>
        <w:t>。尹琦琳在220kV变压器油色谱异常处置中写明：先用含量注意值与产气速率判断法作故障识别，再结合特征气体法、改良三比值法、大卫三角形图示法与比值判断法作故障类型与趋势综合诊断</w:t>
      </w:r>
      <w:r>
        <w:rPr>
          <w:rFonts w:ascii="Times New Roman" w:hAnsi="Times New Roman" w:eastAsia="宋体" w:cs="Times New Roman"/>
          <w:sz w:val="24"/>
          <w:vertAlign w:val="superscript"/>
        </w:rPr>
        <w:t>[23]</w:t>
      </w:r>
      <w:r>
        <w:rPr>
          <w:rFonts w:ascii="Times New Roman" w:hAnsi="Times New Roman" w:eastAsia="宋体" w:cs="Times New Roman"/>
          <w:sz w:val="24"/>
        </w:rPr>
        <w:t>。</w:t>
      </w:r>
    </w:p>
    <w:p w14:paraId="7A42164F">
      <w:pPr>
        <w:pStyle w:val="3"/>
        <w:spacing w:before="0" w:after="0" w:line="360" w:lineRule="auto"/>
        <w:ind w:firstLine="420"/>
        <w:jc w:val="both"/>
      </w:pPr>
      <w:r>
        <w:rPr>
          <w:rFonts w:ascii="Times New Roman" w:hAnsi="Times New Roman" w:eastAsia="宋体" w:cs="Times New Roman"/>
          <w:sz w:val="24"/>
        </w:rPr>
        <w:t>结合现有系统实现和实际使用情况，仍存在以下三点不足。</w:t>
      </w:r>
    </w:p>
    <w:p w14:paraId="50BC0AD5">
      <w:pPr>
        <w:pStyle w:val="3"/>
        <w:keepNext w:val="0"/>
        <w:keepLines w:val="0"/>
        <w:pageBreakBefore w:val="0"/>
        <w:widowControl w:val="0"/>
        <w:numPr>
          <w:ilvl w:val="0"/>
          <w:numId w:val="8"/>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触发判型条件不合理。只凭当日检测分级触发判型，会漏掉涨势预警对应的早期速率异常；若气体含量正常、也无增长趋势时仍频繁做比值判型，结论往往没有意义。DL/T 722—2014要求判型一般出现在注意值或增长趋势之后，自动化实现需要把这一原则落成可计算的门槛。</w:t>
      </w:r>
    </w:p>
    <w:p w14:paraId="301FEB72">
      <w:pPr>
        <w:pStyle w:val="3"/>
        <w:keepNext w:val="0"/>
        <w:keepLines w:val="0"/>
        <w:pageBreakBefore w:val="0"/>
        <w:widowControl w:val="0"/>
        <w:numPr>
          <w:ilvl w:val="0"/>
          <w:numId w:val="8"/>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多方法协同不足。特征气体法、三比值法与大卫三角形法有时会给出不同结论。只用一种方法，在边界样本和混合故障上容易判错</w:t>
      </w:r>
      <w:r>
        <w:rPr>
          <w:rFonts w:ascii="Times New Roman" w:hAnsi="Times New Roman" w:eastAsia="宋体" w:cs="Times New Roman"/>
          <w:sz w:val="24"/>
          <w:vertAlign w:val="superscript"/>
        </w:rPr>
        <w:t>[13]</w:t>
      </w:r>
      <w:r>
        <w:rPr>
          <w:rFonts w:ascii="Times New Roman" w:hAnsi="Times New Roman" w:eastAsia="宋体" w:cs="Times New Roman"/>
          <w:sz w:val="24"/>
        </w:rPr>
        <w:t>。几种方法结论对不上时，还须给出可信度，否则就不知道该信哪一个。</w:t>
      </w:r>
    </w:p>
    <w:p w14:paraId="7C8A2E73">
      <w:pPr>
        <w:pStyle w:val="3"/>
        <w:keepNext w:val="0"/>
        <w:keepLines w:val="0"/>
        <w:pageBreakBefore w:val="0"/>
        <w:widowControl w:val="0"/>
        <w:numPr>
          <w:ilvl w:val="0"/>
          <w:numId w:val="8"/>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试验建议难落到项目。DL/T 722—2014</w:t>
      </w:r>
      <w:r>
        <w:rPr>
          <w:rFonts w:ascii="Times New Roman" w:hAnsi="Times New Roman" w:eastAsia="宋体" w:cs="Times New Roman"/>
          <w:sz w:val="24"/>
          <w:vertAlign w:val="superscript"/>
        </w:rPr>
        <w:t>[6]</w:t>
      </w:r>
      <w:r>
        <w:rPr>
          <w:rFonts w:ascii="Times New Roman" w:hAnsi="Times New Roman" w:eastAsia="宋体" w:cs="Times New Roman"/>
          <w:sz w:val="24"/>
        </w:rPr>
        <w:t>附录D表D.1与DL/T 1685—2017</w:t>
      </w:r>
      <w:r>
        <w:rPr>
          <w:rFonts w:ascii="Times New Roman" w:hAnsi="Times New Roman" w:eastAsia="宋体" w:cs="Times New Roman"/>
          <w:sz w:val="24"/>
          <w:vertAlign w:val="superscript"/>
        </w:rPr>
        <w:t>[8]</w:t>
      </w:r>
      <w:r>
        <w:rPr>
          <w:rFonts w:ascii="Times New Roman" w:hAnsi="Times New Roman" w:eastAsia="宋体" w:cs="Times New Roman"/>
          <w:sz w:val="24"/>
        </w:rPr>
        <w:t>附录B已列出可安排的试验项目；若输出只写“建议进一步试验”一类笼统说法，不对应到上述项目，判出类型之后仍不清楚该做哪些试验。</w:t>
      </w:r>
    </w:p>
    <w:p w14:paraId="64898D32">
      <w:pPr>
        <w:pStyle w:val="3"/>
        <w:spacing w:before="0" w:after="0" w:line="360" w:lineRule="auto"/>
        <w:ind w:firstLine="420"/>
        <w:jc w:val="both"/>
      </w:pPr>
      <w:r>
        <w:rPr>
          <w:rFonts w:ascii="Times New Roman" w:hAnsi="Times New Roman" w:eastAsia="宋体" w:cs="Times New Roman"/>
          <w:sz w:val="24"/>
        </w:rPr>
        <w:t>针对上述不足，本章提出以下改进：</w:t>
      </w:r>
    </w:p>
    <w:p w14:paraId="0E404B67">
      <w:pPr>
        <w:pStyle w:val="3"/>
        <w:keepNext w:val="0"/>
        <w:keepLines w:val="0"/>
        <w:pageBreakBefore w:val="0"/>
        <w:widowControl w:val="0"/>
        <w:numPr>
          <w:ilvl w:val="0"/>
          <w:numId w:val="9"/>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提出双门槛触发判型条件。以检测分级达到注意值2或告警，或总烃月环比超注意（含涨势预警）作为进入判型的条件；气体含量正常且无增长趋势时不做比值判型。该门槛对应DL/T 722—2014</w:t>
      </w:r>
      <w:r>
        <w:rPr>
          <w:rFonts w:hint="default" w:ascii="Times New Roman" w:hAnsi="Times New Roman" w:eastAsia="宋体" w:cs="Times New Roman"/>
          <w:sz w:val="24"/>
          <w:szCs w:val="24"/>
          <w:vertAlign w:val="superscript"/>
          <w:lang w:val="en-US"/>
        </w:rPr>
        <w:t>[6]</w:t>
      </w:r>
      <w:r>
        <w:rPr>
          <w:rFonts w:ascii="Times New Roman" w:hAnsi="Times New Roman" w:eastAsia="宋体" w:cs="Times New Roman"/>
          <w:sz w:val="24"/>
        </w:rPr>
        <w:t>第10.2.4条a）与第10.3条，并与第2章涨势预警衔接。</w:t>
      </w:r>
    </w:p>
    <w:p w14:paraId="64DBE71E">
      <w:pPr>
        <w:pStyle w:val="3"/>
        <w:keepNext w:val="0"/>
        <w:keepLines w:val="0"/>
        <w:pageBreakBefore w:val="0"/>
        <w:widowControl w:val="0"/>
        <w:numPr>
          <w:ilvl w:val="0"/>
          <w:numId w:val="9"/>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构建多规则协同的故障类型判断方法。同时采用特征气体法、三比值法与大卫三角形法，按优先级确定主结论，并给出可信度，避免只给出单一方法结果、看不出该信哪一个。</w:t>
      </w:r>
    </w:p>
    <w:p w14:paraId="6DA3659A">
      <w:pPr>
        <w:pStyle w:val="3"/>
        <w:keepNext w:val="0"/>
        <w:keepLines w:val="0"/>
        <w:pageBreakBefore w:val="0"/>
        <w:widowControl w:val="0"/>
        <w:numPr>
          <w:ilvl w:val="0"/>
          <w:numId w:val="9"/>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建立对应标准附录的试验建议输出。按DL/T 722—2014</w:t>
      </w:r>
      <w:r>
        <w:rPr>
          <w:rFonts w:hint="default" w:ascii="Times New Roman" w:hAnsi="Times New Roman" w:eastAsia="宋体" w:cs="Times New Roman"/>
          <w:sz w:val="24"/>
          <w:szCs w:val="24"/>
          <w:vertAlign w:val="superscript"/>
          <w:lang w:val="en-US"/>
        </w:rPr>
        <w:t>[6]</w:t>
      </w:r>
      <w:r>
        <w:rPr>
          <w:rFonts w:ascii="Times New Roman" w:hAnsi="Times New Roman" w:eastAsia="宋体" w:cs="Times New Roman"/>
          <w:sz w:val="24"/>
        </w:rPr>
        <w:t>附录D表D.1与DL/T 1685—2017</w:t>
      </w:r>
      <w:r>
        <w:rPr>
          <w:rFonts w:hint="default" w:ascii="Times New Roman" w:hAnsi="Times New Roman" w:eastAsia="宋体" w:cs="Times New Roman"/>
          <w:sz w:val="24"/>
          <w:szCs w:val="24"/>
          <w:vertAlign w:val="superscript"/>
          <w:lang w:val="en-US"/>
        </w:rPr>
        <w:t>[8]</w:t>
      </w:r>
      <w:r>
        <w:rPr>
          <w:rFonts w:ascii="Times New Roman" w:hAnsi="Times New Roman" w:eastAsia="宋体" w:cs="Times New Roman"/>
          <w:sz w:val="24"/>
        </w:rPr>
        <w:t>附录B列出具体试验项目，不写“建议进一步试验”一类笼统说法。</w:t>
      </w:r>
    </w:p>
    <w:p w14:paraId="7DB8464B">
      <w:pPr>
        <w:pStyle w:val="3"/>
        <w:spacing w:before="0" w:after="0" w:line="360" w:lineRule="auto"/>
        <w:ind w:firstLine="420"/>
        <w:jc w:val="both"/>
      </w:pPr>
      <w:r>
        <w:rPr>
          <w:rFonts w:ascii="Times New Roman" w:hAnsi="Times New Roman" w:eastAsia="宋体" w:cs="Times New Roman"/>
          <w:sz w:val="24"/>
          <w:szCs w:val="24"/>
        </w:rPr>
        <w:t>整体流程如图3.1所示。</w:t>
      </w:r>
    </w:p>
    <w:p w14:paraId="1AD73737">
      <w:pPr>
        <w:spacing w:before="120" w:after="60"/>
        <w:ind w:firstLine="0"/>
        <w:jc w:val="center"/>
        <w:rPr>
          <w:rFonts w:hint="eastAsia" w:eastAsia="宋体"/>
          <w:lang w:eastAsia="zh-CN"/>
        </w:rPr>
      </w:pPr>
      <w:r>
        <w:rPr>
          <w:rFonts w:hint="eastAsia" w:eastAsia="宋体"/>
          <w:lang w:eastAsia="zh-CN"/>
        </w:rPr>
        <w:drawing>
          <wp:inline distT="0" distB="0" distL="114300" distR="114300">
            <wp:extent cx="4310380" cy="4429125"/>
            <wp:effectExtent l="0" t="0" r="7620" b="15875"/>
            <wp:docPr id="23" name="图片 23" descr="178568837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785688376968"/>
                    <pic:cNvPicPr>
                      <a:picLocks noChangeAspect="1"/>
                    </pic:cNvPicPr>
                  </pic:nvPicPr>
                  <pic:blipFill>
                    <a:blip r:embed="rId28"/>
                    <a:stretch>
                      <a:fillRect/>
                    </a:stretch>
                  </pic:blipFill>
                  <pic:spPr>
                    <a:xfrm>
                      <a:off x="0" y="0"/>
                      <a:ext cx="4310380" cy="4429125"/>
                    </a:xfrm>
                    <a:prstGeom prst="rect">
                      <a:avLst/>
                    </a:prstGeom>
                  </pic:spPr>
                </pic:pic>
              </a:graphicData>
            </a:graphic>
          </wp:inline>
        </w:drawing>
      </w:r>
    </w:p>
    <w:p w14:paraId="7155105E">
      <w:pPr>
        <w:pStyle w:val="15"/>
        <w:spacing w:before="120" w:after="120" w:line="360" w:lineRule="auto"/>
        <w:ind w:firstLine="0"/>
        <w:jc w:val="center"/>
      </w:pPr>
      <w:r>
        <w:rPr>
          <w:rFonts w:ascii="Times New Roman" w:hAnsi="Times New Roman" w:eastAsia="宋体" w:cs="Times New Roman"/>
          <w:sz w:val="21"/>
          <w:szCs w:val="21"/>
        </w:rPr>
        <w:t>图3.1 多规则协同故障类型判断流程</w:t>
      </w:r>
    </w:p>
    <w:p w14:paraId="097C10C3">
      <w:pPr>
        <w:pStyle w:val="4"/>
        <w:spacing w:before="156" w:beforeLines="50" w:after="156" w:afterLines="50" w:line="360" w:lineRule="auto"/>
        <w:ind w:left="0"/>
        <w:jc w:val="both"/>
        <w:rPr>
          <w:rFonts w:hint="eastAsia" w:eastAsia="黑体"/>
          <w:b w:val="0"/>
          <w:bCs/>
          <w:sz w:val="24"/>
          <w:szCs w:val="18"/>
        </w:rPr>
      </w:pPr>
      <w:bookmarkStart w:id="74" w:name="_Toc833269231"/>
      <w:bookmarkStart w:id="75" w:name="_Toc927081816"/>
      <w:r>
        <w:rPr>
          <w:rFonts w:hint="eastAsia" w:eastAsia="黑体"/>
          <w:b w:val="0"/>
          <w:bCs/>
          <w:sz w:val="24"/>
          <w:szCs w:val="18"/>
        </w:rPr>
        <w:t>3.3 故障类型判断触发条件与适用边界</w:t>
      </w:r>
      <w:bookmarkEnd w:id="74"/>
      <w:bookmarkEnd w:id="75"/>
    </w:p>
    <w:p w14:paraId="3D16969B">
      <w:pPr>
        <w:pStyle w:val="3"/>
        <w:keepNext w:val="0"/>
        <w:keepLines w:val="0"/>
        <w:pageBreakBefore w:val="0"/>
        <w:widowControl w:val="0"/>
        <w:numPr>
          <w:ilvl w:val="0"/>
          <w:numId w:val="10"/>
        </w:numPr>
        <w:kinsoku/>
        <w:wordWrap/>
        <w:overflowPunct/>
        <w:topLinePunct w:val="0"/>
        <w:autoSpaceDE/>
        <w:autoSpaceDN/>
        <w:bidi w:val="0"/>
        <w:adjustRightInd/>
        <w:snapToGrid/>
        <w:spacing w:before="0" w:after="0" w:line="360" w:lineRule="auto"/>
        <w:ind w:left="0" w:leftChars="0" w:firstLine="425" w:firstLineChars="0"/>
        <w:jc w:val="both"/>
        <w:textAlignment w:val="auto"/>
        <w:rPr>
          <w:rFonts w:ascii="Times New Roman" w:hAnsi="Times New Roman" w:eastAsia="宋体" w:cs="Times New Roman"/>
          <w:sz w:val="24"/>
          <w:szCs w:val="24"/>
        </w:rPr>
      </w:pPr>
      <w:r>
        <w:rPr>
          <w:rFonts w:ascii="Times New Roman" w:hAnsi="Times New Roman" w:eastAsia="宋体" w:cs="Times New Roman"/>
          <w:sz w:val="24"/>
        </w:rPr>
        <w:t>双门槛条件见第3.2节。这里只区分两套规则：能不能做故障类型判断，和给不给处置紧急度。本文所称“相对产气速率超注意”即第2.6节涨势预警对应的判据，二者同源；判型门槛与涨势预警门槛在算法上是同一次比较。总烃月环比超注意（含涨势预警）时，即使检测分级还是正常或注意值1，也可以进入判型；但处置紧急度仍只在检测分级达到注意值2或告警时才给出。因此可能出现“已可判型、尚无紧急度”的情况；进入判型也不会改写紧急度结果。</w:t>
      </w:r>
    </w:p>
    <w:p w14:paraId="0E4E1067">
      <w:pPr>
        <w:pStyle w:val="4"/>
        <w:spacing w:before="156" w:beforeLines="50" w:after="156" w:afterLines="50" w:line="360" w:lineRule="auto"/>
        <w:ind w:left="0"/>
        <w:jc w:val="both"/>
        <w:rPr>
          <w:rFonts w:hint="eastAsia" w:eastAsia="黑体"/>
          <w:b w:val="0"/>
          <w:bCs/>
          <w:sz w:val="24"/>
          <w:szCs w:val="18"/>
        </w:rPr>
      </w:pPr>
      <w:bookmarkStart w:id="76" w:name="_Toc1470222527"/>
      <w:bookmarkStart w:id="77" w:name="_Toc1015103330"/>
      <w:r>
        <w:rPr>
          <w:rFonts w:hint="eastAsia" w:eastAsia="黑体"/>
          <w:b w:val="0"/>
          <w:bCs/>
          <w:sz w:val="24"/>
          <w:szCs w:val="18"/>
        </w:rPr>
        <w:t>3.4 基于特征气体法的故障类型判断方法</w:t>
      </w:r>
      <w:bookmarkEnd w:id="76"/>
      <w:bookmarkEnd w:id="77"/>
    </w:p>
    <w:p w14:paraId="1EBF8DBB">
      <w:pPr>
        <w:pStyle w:val="3"/>
        <w:spacing w:before="0" w:after="0" w:line="360" w:lineRule="auto"/>
        <w:ind w:firstLine="420"/>
        <w:jc w:val="both"/>
      </w:pPr>
      <w:r>
        <w:rPr>
          <w:rFonts w:ascii="Times New Roman" w:hAnsi="Times New Roman" w:eastAsia="宋体" w:cs="Times New Roman"/>
          <w:sz w:val="24"/>
        </w:rPr>
        <w:t>特征气体法按DL/T 722—2014</w:t>
      </w:r>
      <w:r>
        <w:rPr>
          <w:rFonts w:ascii="Times New Roman" w:hAnsi="Times New Roman" w:eastAsia="宋体" w:cs="Times New Roman"/>
          <w:sz w:val="24"/>
          <w:vertAlign w:val="superscript"/>
        </w:rPr>
        <w:t>[6]</w:t>
      </w:r>
      <w:r>
        <w:rPr>
          <w:rFonts w:ascii="Times New Roman" w:hAnsi="Times New Roman" w:eastAsia="宋体" w:cs="Times New Roman"/>
          <w:sz w:val="24"/>
        </w:rPr>
        <w:t>第10.1条。按该标准第4章关于油中溶解气体产生的基本原则，不同故障类型的主要特征气体与次要特征气体归纳为该标准表5，可据此推断故障类型。该标准表5整理如表3.1所示。</w:t>
      </w:r>
    </w:p>
    <w:p w14:paraId="049CC71B">
      <w:pPr>
        <w:pStyle w:val="15"/>
        <w:spacing w:before="120" w:after="120" w:line="360" w:lineRule="auto"/>
        <w:ind w:firstLine="0"/>
        <w:jc w:val="center"/>
      </w:pPr>
      <w:r>
        <w:rPr>
          <w:rFonts w:ascii="Times New Roman" w:hAnsi="Times New Roman" w:eastAsia="黑体" w:cs="Times New Roman"/>
          <w:b/>
          <w:bCs/>
          <w:sz w:val="21"/>
          <w:szCs w:val="21"/>
        </w:rPr>
        <w:t>表3.1 DL/T 722—2014</w:t>
      </w:r>
      <w:r>
        <w:rPr>
          <w:rFonts w:hint="default" w:ascii="Times New Roman" w:hAnsi="Times New Roman" w:eastAsia="宋体" w:cs="Times New Roman"/>
          <w:sz w:val="24"/>
          <w:szCs w:val="24"/>
          <w:vertAlign w:val="superscript"/>
          <w:lang w:val="en-US"/>
        </w:rPr>
        <w:fldChar w:fldCharType="begin"/>
      </w:r>
      <w:r>
        <w:instrText xml:space="preserve"> REF _Ref348373302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[6]</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黑体" w:cs="Times New Roman"/>
          <w:b/>
          <w:bCs/>
          <w:sz w:val="21"/>
          <w:szCs w:val="21"/>
        </w:rPr>
        <w:t xml:space="preserve"> 表5 不同故障类型产生的气体</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24"/>
        <w:gridCol w:w="3024"/>
        <w:gridCol w:w="3024"/>
      </w:tblGrid>
      <w:tr w14:paraId="672F6FDE">
        <w:tc>
          <w:tcPr>
            <w:tcW w:w="3024" w:type="dxa"/>
            <w:tcBorders>
              <w:bottom w:val="single" w:color="000000" w:sz="6" w:space="0"/>
            </w:tcBorders>
          </w:tcPr>
          <w:p w14:paraId="25159A23">
            <w:pPr>
              <w:spacing w:before="40" w:after="40" w:line="276" w:lineRule="auto"/>
              <w:jc w:val="center"/>
            </w:pPr>
            <w:r>
              <w:rPr>
                <w:rFonts w:ascii="Times New Roman" w:hAnsi="Times New Roman" w:eastAsia="宋体" w:cs="Times New Roman"/>
                <w:sz w:val="21"/>
                <w:szCs w:val="21"/>
              </w:rPr>
              <w:t>故障类型</w:t>
            </w:r>
          </w:p>
        </w:tc>
        <w:tc>
          <w:tcPr>
            <w:tcW w:w="3024" w:type="dxa"/>
            <w:tcBorders>
              <w:bottom w:val="single" w:color="000000" w:sz="6" w:space="0"/>
            </w:tcBorders>
          </w:tcPr>
          <w:p w14:paraId="354EDAF2">
            <w:pPr>
              <w:spacing w:before="40" w:after="40" w:line="276" w:lineRule="auto"/>
              <w:jc w:val="center"/>
            </w:pPr>
            <w:r>
              <w:rPr>
                <w:rFonts w:ascii="Times New Roman" w:hAnsi="Times New Roman" w:eastAsia="宋体" w:cs="Times New Roman"/>
                <w:sz w:val="21"/>
                <w:szCs w:val="21"/>
              </w:rPr>
              <w:t>主要特征气体</w:t>
            </w:r>
          </w:p>
        </w:tc>
        <w:tc>
          <w:tcPr>
            <w:tcW w:w="3024" w:type="dxa"/>
            <w:tcBorders>
              <w:bottom w:val="single" w:color="000000" w:sz="6" w:space="0"/>
            </w:tcBorders>
          </w:tcPr>
          <w:p w14:paraId="4E610CFD">
            <w:pPr>
              <w:spacing w:before="40" w:after="40" w:line="276" w:lineRule="auto"/>
              <w:jc w:val="center"/>
            </w:pPr>
            <w:r>
              <w:rPr>
                <w:rFonts w:ascii="Times New Roman" w:hAnsi="Times New Roman" w:eastAsia="宋体" w:cs="Times New Roman"/>
                <w:sz w:val="21"/>
                <w:szCs w:val="21"/>
              </w:rPr>
              <w:t>次要特征气体</w:t>
            </w:r>
          </w:p>
        </w:tc>
      </w:tr>
      <w:tr w14:paraId="3CBF25A2">
        <w:tc>
          <w:tcPr>
            <w:tcW w:w="3024" w:type="dxa"/>
          </w:tcPr>
          <w:p w14:paraId="5BB71AF8">
            <w:pPr>
              <w:spacing w:before="40" w:after="40" w:line="276" w:lineRule="auto"/>
              <w:jc w:val="center"/>
            </w:pPr>
            <w:r>
              <w:rPr>
                <w:rFonts w:ascii="Times New Roman" w:hAnsi="Times New Roman" w:eastAsia="宋体" w:cs="Times New Roman"/>
                <w:sz w:val="21"/>
                <w:szCs w:val="21"/>
              </w:rPr>
              <w:t>油过热</w:t>
            </w:r>
          </w:p>
        </w:tc>
        <w:tc>
          <w:tcPr>
            <w:tcW w:w="3024" w:type="dxa"/>
          </w:tcPr>
          <w:p w14:paraId="290C1438">
            <w:pPr>
              <w:spacing w:before="40" w:after="40" w:line="276" w:lineRule="auto"/>
              <w:jc w:val="center"/>
            </w:pPr>
            <w:r>
              <w:rPr>
                <w:rFonts w:ascii="Times New Roman" w:hAnsi="Times New Roman" w:eastAsia="宋体" w:cs="Times New Roman"/>
                <w:sz w:val="21"/>
                <w:szCs w:val="21"/>
              </w:rPr>
              <w:t>CH</w:t>
            </w:r>
            <w:r>
              <w:rPr>
                <w:rFonts w:hint="eastAsia" w:cs="Times New Roman"/>
                <w:sz w:val="21"/>
                <w:szCs w:val="21"/>
                <w:vertAlign w:val="subscript"/>
                <w:lang w:val="en-US" w:eastAsia="zh-CN"/>
              </w:rPr>
              <w:t>4</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4</w:t>
            </w:r>
          </w:p>
        </w:tc>
        <w:tc>
          <w:tcPr>
            <w:tcW w:w="3024" w:type="dxa"/>
          </w:tcPr>
          <w:p w14:paraId="5C3B0C9A">
            <w:pPr>
              <w:spacing w:before="40" w:after="40" w:line="276" w:lineRule="auto"/>
              <w:jc w:val="center"/>
              <w:rPr>
                <w:rFonts w:hint="eastAsia" w:eastAsia="宋体"/>
                <w:lang w:eastAsia="zh-CN"/>
              </w:rPr>
            </w:pPr>
            <w:r>
              <w:rPr>
                <w:rFonts w:ascii="Times New Roman" w:hAnsi="Times New Roman" w:eastAsia="宋体" w:cs="Times New Roman"/>
                <w:sz w:val="21"/>
                <w:szCs w:val="21"/>
              </w:rPr>
              <w:t>H</w:t>
            </w:r>
            <w:r>
              <w:rPr>
                <w:rFonts w:hint="eastAsia" w:cs="Times New Roman"/>
                <w:sz w:val="21"/>
                <w:szCs w:val="21"/>
                <w:vertAlign w:val="subscript"/>
                <w:lang w:val="en-US" w:eastAsia="zh-CN"/>
              </w:rPr>
              <w:t>2</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6</w:t>
            </w:r>
          </w:p>
        </w:tc>
      </w:tr>
      <w:tr w14:paraId="07568128">
        <w:tc>
          <w:tcPr>
            <w:tcW w:w="3024" w:type="dxa"/>
          </w:tcPr>
          <w:p w14:paraId="3E2A91C8">
            <w:pPr>
              <w:spacing w:before="40" w:after="40" w:line="276" w:lineRule="auto"/>
              <w:jc w:val="center"/>
            </w:pPr>
            <w:r>
              <w:rPr>
                <w:rFonts w:ascii="Times New Roman" w:hAnsi="Times New Roman" w:eastAsia="宋体" w:cs="Times New Roman"/>
                <w:sz w:val="21"/>
                <w:szCs w:val="21"/>
              </w:rPr>
              <w:t>油和纸过热</w:t>
            </w:r>
          </w:p>
        </w:tc>
        <w:tc>
          <w:tcPr>
            <w:tcW w:w="3024" w:type="dxa"/>
          </w:tcPr>
          <w:p w14:paraId="4AB5101E">
            <w:pPr>
              <w:spacing w:before="40" w:after="40" w:line="276" w:lineRule="auto"/>
              <w:jc w:val="center"/>
            </w:pPr>
            <w:r>
              <w:rPr>
                <w:rFonts w:ascii="Times New Roman" w:hAnsi="Times New Roman" w:eastAsia="宋体" w:cs="Times New Roman"/>
                <w:sz w:val="21"/>
                <w:szCs w:val="21"/>
              </w:rPr>
              <w:t>CH</w:t>
            </w:r>
            <w:r>
              <w:rPr>
                <w:rFonts w:hint="eastAsia" w:cs="Times New Roman"/>
                <w:sz w:val="21"/>
                <w:szCs w:val="21"/>
                <w:vertAlign w:val="subscript"/>
                <w:lang w:val="en-US" w:eastAsia="zh-CN"/>
              </w:rPr>
              <w:t>4</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4</w:t>
            </w:r>
            <w:r>
              <w:rPr>
                <w:rFonts w:ascii="Times New Roman" w:hAnsi="Times New Roman" w:eastAsia="宋体" w:cs="Times New Roman"/>
                <w:sz w:val="21"/>
                <w:szCs w:val="21"/>
              </w:rPr>
              <w:t>、CO</w:t>
            </w:r>
          </w:p>
        </w:tc>
        <w:tc>
          <w:tcPr>
            <w:tcW w:w="3024" w:type="dxa"/>
          </w:tcPr>
          <w:p w14:paraId="78105EBF">
            <w:pPr>
              <w:spacing w:before="40" w:after="40" w:line="276" w:lineRule="auto"/>
              <w:jc w:val="center"/>
            </w:pPr>
            <w:r>
              <w:rPr>
                <w:rFonts w:ascii="Times New Roman" w:hAnsi="Times New Roman" w:eastAsia="宋体" w:cs="Times New Roman"/>
                <w:sz w:val="21"/>
                <w:szCs w:val="21"/>
              </w:rPr>
              <w:t>H</w:t>
            </w:r>
            <w:r>
              <w:rPr>
                <w:rFonts w:hint="eastAsia" w:cs="Times New Roman"/>
                <w:sz w:val="21"/>
                <w:szCs w:val="21"/>
                <w:vertAlign w:val="subscript"/>
                <w:lang w:val="en-US" w:eastAsia="zh-CN"/>
              </w:rPr>
              <w:t>2</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6</w:t>
            </w:r>
            <w:r>
              <w:rPr>
                <w:rFonts w:ascii="Times New Roman" w:hAnsi="Times New Roman" w:eastAsia="宋体" w:cs="Times New Roman"/>
                <w:sz w:val="21"/>
                <w:szCs w:val="21"/>
              </w:rPr>
              <w:t>、CO</w:t>
            </w:r>
            <w:r>
              <w:rPr>
                <w:rFonts w:hint="eastAsia" w:cs="Times New Roman"/>
                <w:sz w:val="21"/>
                <w:szCs w:val="21"/>
                <w:vertAlign w:val="subscript"/>
                <w:lang w:val="en-US" w:eastAsia="zh-CN"/>
              </w:rPr>
              <w:t>2</w:t>
            </w:r>
          </w:p>
        </w:tc>
      </w:tr>
      <w:tr w14:paraId="367F947A">
        <w:tc>
          <w:tcPr>
            <w:tcW w:w="3024" w:type="dxa"/>
          </w:tcPr>
          <w:p w14:paraId="0BA19709">
            <w:pPr>
              <w:spacing w:before="40" w:after="40" w:line="276" w:lineRule="auto"/>
              <w:jc w:val="center"/>
            </w:pPr>
            <w:r>
              <w:rPr>
                <w:rFonts w:ascii="Times New Roman" w:hAnsi="Times New Roman" w:eastAsia="宋体" w:cs="Times New Roman"/>
                <w:sz w:val="21"/>
                <w:szCs w:val="21"/>
              </w:rPr>
              <w:t>油纸绝缘中局部放电</w:t>
            </w:r>
          </w:p>
        </w:tc>
        <w:tc>
          <w:tcPr>
            <w:tcW w:w="3024" w:type="dxa"/>
          </w:tcPr>
          <w:p w14:paraId="4A9A440E">
            <w:pPr>
              <w:spacing w:before="40" w:after="40" w:line="276" w:lineRule="auto"/>
              <w:jc w:val="center"/>
            </w:pPr>
            <w:r>
              <w:rPr>
                <w:rFonts w:ascii="Times New Roman" w:hAnsi="Times New Roman" w:eastAsia="宋体" w:cs="Times New Roman"/>
                <w:sz w:val="21"/>
                <w:szCs w:val="21"/>
              </w:rPr>
              <w:t>H</w:t>
            </w:r>
            <w:r>
              <w:rPr>
                <w:rFonts w:hint="eastAsia" w:cs="Times New Roman"/>
                <w:sz w:val="21"/>
                <w:szCs w:val="21"/>
                <w:vertAlign w:val="subscript"/>
                <w:lang w:val="en-US" w:eastAsia="zh-CN"/>
              </w:rPr>
              <w:t>2</w:t>
            </w:r>
            <w:r>
              <w:rPr>
                <w:rFonts w:ascii="Times New Roman" w:hAnsi="Times New Roman" w:eastAsia="宋体" w:cs="Times New Roman"/>
                <w:sz w:val="21"/>
                <w:szCs w:val="21"/>
              </w:rPr>
              <w:t>、CH</w:t>
            </w:r>
            <w:r>
              <w:rPr>
                <w:rFonts w:hint="eastAsia" w:cs="Times New Roman"/>
                <w:sz w:val="21"/>
                <w:szCs w:val="21"/>
                <w:vertAlign w:val="subscript"/>
                <w:lang w:val="en-US" w:eastAsia="zh-CN"/>
              </w:rPr>
              <w:t>4</w:t>
            </w:r>
            <w:r>
              <w:rPr>
                <w:rFonts w:ascii="Times New Roman" w:hAnsi="Times New Roman" w:eastAsia="宋体" w:cs="Times New Roman"/>
                <w:sz w:val="21"/>
                <w:szCs w:val="21"/>
              </w:rPr>
              <w:t>、CO</w:t>
            </w:r>
          </w:p>
        </w:tc>
        <w:tc>
          <w:tcPr>
            <w:tcW w:w="3024" w:type="dxa"/>
          </w:tcPr>
          <w:p w14:paraId="51BBEFDD">
            <w:pPr>
              <w:spacing w:before="40" w:after="40" w:line="276" w:lineRule="auto"/>
              <w:jc w:val="center"/>
            </w:pP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4</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6</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2</w:t>
            </w:r>
          </w:p>
        </w:tc>
      </w:tr>
      <w:tr w14:paraId="39F3E0FB">
        <w:tc>
          <w:tcPr>
            <w:tcW w:w="3024" w:type="dxa"/>
          </w:tcPr>
          <w:p w14:paraId="7626F025">
            <w:pPr>
              <w:spacing w:before="40" w:after="40" w:line="276" w:lineRule="auto"/>
              <w:jc w:val="center"/>
            </w:pPr>
            <w:r>
              <w:rPr>
                <w:rFonts w:ascii="Times New Roman" w:hAnsi="Times New Roman" w:eastAsia="宋体" w:cs="Times New Roman"/>
                <w:sz w:val="21"/>
                <w:szCs w:val="21"/>
              </w:rPr>
              <w:t>油中火花放电</w:t>
            </w:r>
          </w:p>
        </w:tc>
        <w:tc>
          <w:tcPr>
            <w:tcW w:w="3024" w:type="dxa"/>
          </w:tcPr>
          <w:p w14:paraId="1FE23AC1">
            <w:pPr>
              <w:spacing w:before="40" w:after="40" w:line="276" w:lineRule="auto"/>
              <w:jc w:val="center"/>
            </w:pPr>
            <w:r>
              <w:rPr>
                <w:rFonts w:ascii="Times New Roman" w:hAnsi="Times New Roman" w:eastAsia="宋体" w:cs="Times New Roman"/>
                <w:sz w:val="21"/>
                <w:szCs w:val="21"/>
              </w:rPr>
              <w:t>H</w:t>
            </w:r>
            <w:r>
              <w:rPr>
                <w:rFonts w:hint="eastAsia" w:cs="Times New Roman"/>
                <w:sz w:val="21"/>
                <w:szCs w:val="21"/>
                <w:vertAlign w:val="subscript"/>
                <w:lang w:val="en-US" w:eastAsia="zh-CN"/>
              </w:rPr>
              <w:t>2</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2</w:t>
            </w:r>
          </w:p>
        </w:tc>
        <w:tc>
          <w:tcPr>
            <w:tcW w:w="3024" w:type="dxa"/>
          </w:tcPr>
          <w:p w14:paraId="64D63A90">
            <w:pPr>
              <w:spacing w:before="40" w:after="40" w:line="276" w:lineRule="auto"/>
              <w:jc w:val="center"/>
            </w:pPr>
          </w:p>
        </w:tc>
      </w:tr>
      <w:tr w14:paraId="7DFDD459">
        <w:tc>
          <w:tcPr>
            <w:tcW w:w="3024" w:type="dxa"/>
          </w:tcPr>
          <w:p w14:paraId="1FDC4862">
            <w:pPr>
              <w:spacing w:before="40" w:after="40" w:line="276" w:lineRule="auto"/>
              <w:jc w:val="center"/>
            </w:pPr>
            <w:r>
              <w:rPr>
                <w:rFonts w:ascii="Times New Roman" w:hAnsi="Times New Roman" w:eastAsia="宋体" w:cs="Times New Roman"/>
                <w:sz w:val="21"/>
                <w:szCs w:val="21"/>
              </w:rPr>
              <w:t>油中电弧</w:t>
            </w:r>
          </w:p>
        </w:tc>
        <w:tc>
          <w:tcPr>
            <w:tcW w:w="3024" w:type="dxa"/>
          </w:tcPr>
          <w:p w14:paraId="37884811">
            <w:pPr>
              <w:spacing w:before="40" w:after="40" w:line="276" w:lineRule="auto"/>
              <w:jc w:val="center"/>
            </w:pPr>
            <w:r>
              <w:rPr>
                <w:rFonts w:ascii="Times New Roman" w:hAnsi="Times New Roman" w:eastAsia="宋体" w:cs="Times New Roman"/>
                <w:sz w:val="21"/>
                <w:szCs w:val="21"/>
              </w:rPr>
              <w:t>H</w:t>
            </w:r>
            <w:r>
              <w:rPr>
                <w:rFonts w:hint="eastAsia" w:cs="Times New Roman"/>
                <w:sz w:val="21"/>
                <w:szCs w:val="21"/>
                <w:vertAlign w:val="subscript"/>
                <w:lang w:val="en-US" w:eastAsia="zh-CN"/>
              </w:rPr>
              <w:t>2</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2</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4</w:t>
            </w:r>
          </w:p>
        </w:tc>
        <w:tc>
          <w:tcPr>
            <w:tcW w:w="3024" w:type="dxa"/>
          </w:tcPr>
          <w:p w14:paraId="397097DB">
            <w:pPr>
              <w:spacing w:before="40" w:after="40" w:line="276" w:lineRule="auto"/>
              <w:jc w:val="center"/>
            </w:pPr>
            <w:r>
              <w:rPr>
                <w:rFonts w:ascii="Times New Roman" w:hAnsi="Times New Roman" w:eastAsia="宋体" w:cs="Times New Roman"/>
                <w:sz w:val="21"/>
                <w:szCs w:val="21"/>
              </w:rPr>
              <w:t>CH</w:t>
            </w:r>
            <w:r>
              <w:rPr>
                <w:rFonts w:hint="eastAsia" w:cs="Times New Roman"/>
                <w:sz w:val="21"/>
                <w:szCs w:val="21"/>
                <w:vertAlign w:val="subscript"/>
                <w:lang w:val="en-US" w:eastAsia="zh-CN"/>
              </w:rPr>
              <w:t>4</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6</w:t>
            </w:r>
          </w:p>
        </w:tc>
      </w:tr>
      <w:tr w14:paraId="1F509BB2">
        <w:tc>
          <w:tcPr>
            <w:tcW w:w="3024" w:type="dxa"/>
          </w:tcPr>
          <w:p w14:paraId="1CACB497">
            <w:pPr>
              <w:spacing w:before="40" w:after="40" w:line="276" w:lineRule="auto"/>
              <w:jc w:val="center"/>
            </w:pPr>
            <w:r>
              <w:rPr>
                <w:rFonts w:ascii="Times New Roman" w:hAnsi="Times New Roman" w:eastAsia="宋体" w:cs="Times New Roman"/>
                <w:sz w:val="21"/>
                <w:szCs w:val="21"/>
              </w:rPr>
              <w:t>油和纸中电弧</w:t>
            </w:r>
          </w:p>
        </w:tc>
        <w:tc>
          <w:tcPr>
            <w:tcW w:w="3024" w:type="dxa"/>
          </w:tcPr>
          <w:p w14:paraId="20E4B10C">
            <w:pPr>
              <w:spacing w:before="40" w:after="40" w:line="276" w:lineRule="auto"/>
              <w:jc w:val="center"/>
            </w:pPr>
            <w:r>
              <w:rPr>
                <w:rFonts w:ascii="Times New Roman" w:hAnsi="Times New Roman" w:eastAsia="宋体" w:cs="Times New Roman"/>
                <w:sz w:val="21"/>
                <w:szCs w:val="21"/>
              </w:rPr>
              <w:t>H</w:t>
            </w:r>
            <w:r>
              <w:rPr>
                <w:rFonts w:hint="eastAsia" w:cs="Times New Roman"/>
                <w:sz w:val="21"/>
                <w:szCs w:val="21"/>
                <w:vertAlign w:val="subscript"/>
                <w:lang w:val="en-US" w:eastAsia="zh-CN"/>
              </w:rPr>
              <w:t>2</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2</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4</w:t>
            </w:r>
            <w:r>
              <w:rPr>
                <w:rFonts w:ascii="Times New Roman" w:hAnsi="Times New Roman" w:eastAsia="宋体" w:cs="Times New Roman"/>
                <w:sz w:val="21"/>
                <w:szCs w:val="21"/>
              </w:rPr>
              <w:t>、CO</w:t>
            </w:r>
          </w:p>
        </w:tc>
        <w:tc>
          <w:tcPr>
            <w:tcW w:w="3024" w:type="dxa"/>
          </w:tcPr>
          <w:p w14:paraId="41A26044">
            <w:pPr>
              <w:spacing w:before="40" w:after="40" w:line="276" w:lineRule="auto"/>
              <w:jc w:val="center"/>
            </w:pPr>
            <w:r>
              <w:rPr>
                <w:rFonts w:ascii="Times New Roman" w:hAnsi="Times New Roman" w:eastAsia="宋体" w:cs="Times New Roman"/>
                <w:sz w:val="21"/>
                <w:szCs w:val="21"/>
              </w:rPr>
              <w:t>CH</w:t>
            </w:r>
            <w:r>
              <w:rPr>
                <w:rFonts w:hint="eastAsia" w:cs="Times New Roman"/>
                <w:sz w:val="21"/>
                <w:szCs w:val="21"/>
                <w:vertAlign w:val="subscript"/>
                <w:lang w:val="en-US" w:eastAsia="zh-CN"/>
              </w:rPr>
              <w:t>4</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6</w:t>
            </w:r>
            <w:r>
              <w:rPr>
                <w:rFonts w:ascii="Times New Roman" w:hAnsi="Times New Roman" w:eastAsia="宋体" w:cs="Times New Roman"/>
                <w:sz w:val="21"/>
                <w:szCs w:val="21"/>
              </w:rPr>
              <w:t>、CO</w:t>
            </w:r>
            <w:r>
              <w:rPr>
                <w:rFonts w:hint="eastAsia" w:cs="Times New Roman"/>
                <w:sz w:val="21"/>
                <w:szCs w:val="21"/>
                <w:vertAlign w:val="subscript"/>
                <w:lang w:val="en-US" w:eastAsia="zh-CN"/>
              </w:rPr>
              <w:t>2</w:t>
            </w:r>
          </w:p>
        </w:tc>
      </w:tr>
    </w:tbl>
    <w:p w14:paraId="777E0072"/>
    <w:p w14:paraId="4B7CA6A7">
      <w:pPr>
        <w:pStyle w:val="3"/>
        <w:spacing w:before="0" w:after="0" w:line="360" w:lineRule="auto"/>
        <w:ind w:firstLine="420"/>
        <w:jc w:val="both"/>
      </w:pPr>
      <w:r>
        <w:rPr>
          <w:rFonts w:ascii="Times New Roman" w:hAnsi="Times New Roman" w:eastAsia="宋体" w:cs="Times New Roman"/>
          <w:sz w:val="24"/>
        </w:rPr>
        <w:t>该标准表5注1～注5为行业标准给出的定性细则，与表5正文一并使用，要点如下。</w:t>
      </w:r>
    </w:p>
    <w:p w14:paraId="4C9856F1">
      <w:pPr>
        <w:pStyle w:val="3"/>
        <w:spacing w:before="0" w:after="0" w:line="360" w:lineRule="auto"/>
        <w:ind w:firstLine="420"/>
        <w:jc w:val="both"/>
      </w:pPr>
      <w:r>
        <w:rPr>
          <w:rFonts w:ascii="Times New Roman" w:hAnsi="Times New Roman" w:eastAsia="宋体" w:cs="Times New Roman"/>
          <w:sz w:val="24"/>
        </w:rPr>
        <w:t>注1：过热故障还可按温区进一步细分（细分类别见该标准表7）。</w:t>
      </w:r>
    </w:p>
    <w:p w14:paraId="26E119DB">
      <w:pPr>
        <w:pStyle w:val="3"/>
        <w:spacing w:before="0" w:after="0" w:line="360" w:lineRule="auto"/>
        <w:ind w:firstLine="420"/>
        <w:jc w:val="both"/>
      </w:pPr>
      <w:r>
        <w:rPr>
          <w:rFonts w:ascii="Times New Roman" w:hAnsi="Times New Roman" w:eastAsia="宋体" w:cs="Times New Roman"/>
          <w:sz w:val="24"/>
        </w:rPr>
        <w:t>注2：出现一氧化碳、二氧化碳时，可能涉及固体绝缘材料。</w:t>
      </w:r>
    </w:p>
    <w:p w14:paraId="43298C49">
      <w:pPr>
        <w:pStyle w:val="3"/>
        <w:spacing w:before="0" w:after="0" w:line="360" w:lineRule="auto"/>
        <w:ind w:firstLine="420"/>
        <w:jc w:val="both"/>
      </w:pPr>
      <w:r>
        <w:rPr>
          <w:rFonts w:ascii="Times New Roman" w:hAnsi="Times New Roman" w:eastAsia="宋体" w:cs="Times New Roman"/>
          <w:sz w:val="24"/>
        </w:rPr>
        <w:t>注3：局部放电通常少产或不产乙炔。</w:t>
      </w:r>
    </w:p>
    <w:p w14:paraId="7FCED996">
      <w:pPr>
        <w:pStyle w:val="3"/>
        <w:spacing w:before="0" w:after="0" w:line="360" w:lineRule="auto"/>
        <w:ind w:firstLine="420"/>
        <w:jc w:val="both"/>
      </w:pPr>
      <w:r>
        <w:rPr>
          <w:rFonts w:ascii="Times New Roman" w:hAnsi="Times New Roman" w:eastAsia="宋体" w:cs="Times New Roman"/>
          <w:sz w:val="24"/>
        </w:rPr>
        <w:t>注4：火花放电时乙炔往往增长较快，但总烃一般不高。</w:t>
      </w:r>
    </w:p>
    <w:p w14:paraId="2D584E03">
      <w:pPr>
        <w:pStyle w:val="3"/>
        <w:spacing w:before="0" w:after="0" w:line="360" w:lineRule="auto"/>
        <w:ind w:firstLine="420"/>
        <w:jc w:val="both"/>
      </w:pPr>
      <w:r>
        <w:rPr>
          <w:rFonts w:ascii="Times New Roman" w:hAnsi="Times New Roman" w:eastAsia="宋体" w:cs="Times New Roman"/>
          <w:sz w:val="24"/>
        </w:rPr>
        <w:t>注5：电弧属于高能放电。</w:t>
      </w:r>
    </w:p>
    <w:p w14:paraId="196CED5F">
      <w:pPr>
        <w:pStyle w:val="3"/>
        <w:spacing w:before="0" w:after="0" w:line="360" w:lineRule="auto"/>
        <w:ind w:firstLine="420"/>
        <w:jc w:val="both"/>
      </w:pPr>
      <w:r>
        <w:rPr>
          <w:rFonts w:ascii="Times New Roman" w:hAnsi="Times New Roman" w:eastAsia="宋体" w:cs="Times New Roman"/>
          <w:sz w:val="24"/>
        </w:rPr>
        <w:t>乙炔常用来区分过热与放电：高温过热也可能出现少量乙炔，但放电时乙炔通常更突出；氢气升高则不一定是放电，受潮或油中气泡也可能引起。</w:t>
      </w:r>
    </w:p>
    <w:p w14:paraId="3BAB54EB">
      <w:pPr>
        <w:pStyle w:val="3"/>
        <w:spacing w:before="0" w:after="0" w:line="360" w:lineRule="auto"/>
        <w:ind w:firstLine="420"/>
        <w:jc w:val="both"/>
      </w:pPr>
      <w:r>
        <w:rPr>
          <w:rFonts w:ascii="Times New Roman" w:hAnsi="Times New Roman" w:eastAsia="宋体" w:cs="Times New Roman"/>
          <w:sz w:val="24"/>
        </w:rPr>
        <w:t>本文按该标准表5做定性匹配。输入为当日气体浓度。氢气、甲烷、乙烯、乙烷、乙炔中，若测到的不足三种，则判为数据不足，不再匹配。该标准表5只列出各故障对应的主要、次要气体，没有规定浓度要多高才算出现；匹配时，主气中除一氧化碳、二氧化碳外，浓度大于0即参加比较；一氧化碳、二氧化碳是否参加比较由所在行是否为油纸相关故障决定（见下句）。油和纸过热、油纸局部放电、油和纸中电弧等行还含固体绝缘相关气体，另按DL/T 722—2014[6]第10.2.3.1条，要求二氧化碳与一氧化碳比值小于3。乙炔已达该标准表3注意值时，不采用局部放电行（注3）；总烃已达该标准表3注意值时，不采用火花放电行（注4）。该标准表3注意值在此只作排除用，与第2章表2.1落档阈值分开。多行都满足时，先看次气匹配多少，再看主气个数，择优一行。输出故障名称、性质大类（过热或放电）、是否匹配成功，以及注1～注5相关附注。</w:t>
      </w:r>
    </w:p>
    <w:p w14:paraId="4CE11BAE">
      <w:pPr>
        <w:pStyle w:val="4"/>
        <w:spacing w:before="156" w:beforeLines="50" w:after="156" w:afterLines="50" w:line="360" w:lineRule="auto"/>
        <w:ind w:left="0"/>
        <w:jc w:val="both"/>
        <w:rPr>
          <w:rFonts w:hint="eastAsia" w:eastAsia="黑体"/>
          <w:b w:val="0"/>
          <w:bCs/>
          <w:sz w:val="24"/>
          <w:szCs w:val="18"/>
        </w:rPr>
      </w:pPr>
      <w:bookmarkStart w:id="78" w:name="_Toc1231575542"/>
      <w:bookmarkStart w:id="79" w:name="_Toc1083168907"/>
      <w:r>
        <w:rPr>
          <w:rFonts w:hint="eastAsia" w:eastAsia="黑体"/>
          <w:b w:val="0"/>
          <w:bCs/>
          <w:sz w:val="24"/>
          <w:szCs w:val="18"/>
        </w:rPr>
        <w:t>3.5 基于三比值法的故障类型判断方法</w:t>
      </w:r>
      <w:bookmarkEnd w:id="78"/>
      <w:bookmarkEnd w:id="79"/>
    </w:p>
    <w:p w14:paraId="18758113">
      <w:pPr>
        <w:pStyle w:val="3"/>
        <w:spacing w:before="0" w:after="0" w:line="360" w:lineRule="auto"/>
        <w:ind w:firstLine="420"/>
        <w:jc w:val="both"/>
      </w:pPr>
      <w:r>
        <w:rPr>
          <w:rFonts w:ascii="Times New Roman" w:hAnsi="Times New Roman" w:eastAsia="宋体" w:cs="Times New Roman"/>
          <w:sz w:val="24"/>
        </w:rPr>
        <w:t>三比值法按DL/T 722—2014</w:t>
      </w:r>
      <w:r>
        <w:rPr>
          <w:rFonts w:ascii="Times New Roman" w:hAnsi="Times New Roman" w:eastAsia="宋体" w:cs="Times New Roman"/>
          <w:sz w:val="24"/>
          <w:vertAlign w:val="superscript"/>
        </w:rPr>
        <w:t>[6]</w:t>
      </w:r>
      <w:r>
        <w:rPr>
          <w:rFonts w:ascii="Times New Roman" w:hAnsi="Times New Roman" w:eastAsia="宋体" w:cs="Times New Roman"/>
          <w:sz w:val="24"/>
        </w:rPr>
        <w:t>第10.2.1条。该方法利用故障下油与绝缘材料裂解产气时，组分相对浓度随温度变化的关系：从五种特征气体中选取溶解度和扩散系数相近的气体，组成三对比值并编码，再按编码查表判断故障性质。它是在IEC 60599基础上，结合国内实践经验改良得到的。三对比值为C</w:t>
      </w:r>
      <w:r>
        <w:rPr>
          <w:rFonts w:ascii="Times New Roman" w:hAnsi="Times New Roman" w:eastAsia="宋体" w:cs="Times New Roman"/>
          <w:sz w:val="24"/>
          <w:vertAlign w:val="subscript"/>
        </w:rPr>
        <w:t>2</w:t>
      </w:r>
      <w:r>
        <w:rPr>
          <w:rFonts w:ascii="Times New Roman" w:hAnsi="Times New Roman" w:eastAsia="宋体" w:cs="Times New Roman"/>
          <w:sz w:val="24"/>
        </w:rPr>
        <w:t>H</w:t>
      </w:r>
      <w:r>
        <w:rPr>
          <w:rFonts w:ascii="Times New Roman" w:hAnsi="Times New Roman" w:eastAsia="宋体" w:cs="Times New Roman"/>
          <w:sz w:val="24"/>
          <w:vertAlign w:val="subscript"/>
        </w:rPr>
        <w:t>2</w:t>
      </w:r>
      <w:r>
        <w:rPr>
          <w:rFonts w:ascii="Times New Roman" w:hAnsi="Times New Roman" w:eastAsia="宋体" w:cs="Times New Roman"/>
          <w:sz w:val="24"/>
        </w:rPr>
        <w:t>/C</w:t>
      </w:r>
      <w:r>
        <w:rPr>
          <w:rFonts w:ascii="Times New Roman" w:hAnsi="Times New Roman" w:eastAsia="宋体" w:cs="Times New Roman"/>
          <w:sz w:val="24"/>
          <w:vertAlign w:val="subscript"/>
        </w:rPr>
        <w:t>2</w:t>
      </w:r>
      <w:r>
        <w:rPr>
          <w:rFonts w:ascii="Times New Roman" w:hAnsi="Times New Roman" w:eastAsia="宋体" w:cs="Times New Roman"/>
          <w:sz w:val="24"/>
        </w:rPr>
        <w:t>H</w:t>
      </w:r>
      <w:r>
        <w:rPr>
          <w:rFonts w:ascii="Times New Roman" w:hAnsi="Times New Roman" w:eastAsia="宋体" w:cs="Times New Roman"/>
          <w:sz w:val="24"/>
          <w:vertAlign w:val="subscript"/>
        </w:rPr>
        <w:t>4</w:t>
      </w:r>
      <w:r>
        <w:rPr>
          <w:rFonts w:ascii="Times New Roman" w:hAnsi="Times New Roman" w:eastAsia="宋体" w:cs="Times New Roman"/>
          <w:sz w:val="24"/>
        </w:rPr>
        <w:t>、CH</w:t>
      </w:r>
      <w:r>
        <w:rPr>
          <w:rFonts w:ascii="Times New Roman" w:hAnsi="Times New Roman" w:eastAsia="宋体" w:cs="Times New Roman"/>
          <w:sz w:val="24"/>
          <w:vertAlign w:val="subscript"/>
        </w:rPr>
        <w:t>4</w:t>
      </w:r>
      <w:r>
        <w:rPr>
          <w:rFonts w:ascii="Times New Roman" w:hAnsi="Times New Roman" w:eastAsia="宋体" w:cs="Times New Roman"/>
          <w:sz w:val="24"/>
        </w:rPr>
        <w:t>/H</w:t>
      </w:r>
      <w:r>
        <w:rPr>
          <w:rFonts w:ascii="Times New Roman" w:hAnsi="Times New Roman" w:eastAsia="宋体" w:cs="Times New Roman"/>
          <w:sz w:val="24"/>
          <w:vertAlign w:val="subscript"/>
        </w:rPr>
        <w:t>2</w:t>
      </w:r>
      <w:r>
        <w:rPr>
          <w:rFonts w:ascii="Times New Roman" w:hAnsi="Times New Roman" w:eastAsia="宋体" w:cs="Times New Roman"/>
          <w:sz w:val="24"/>
        </w:rPr>
        <w:t>、C</w:t>
      </w:r>
      <w:r>
        <w:rPr>
          <w:rFonts w:ascii="Times New Roman" w:hAnsi="Times New Roman" w:eastAsia="宋体" w:cs="Times New Roman"/>
          <w:sz w:val="24"/>
          <w:vertAlign w:val="subscript"/>
        </w:rPr>
        <w:t>2</w:t>
      </w:r>
      <w:r>
        <w:rPr>
          <w:rFonts w:ascii="Times New Roman" w:hAnsi="Times New Roman" w:eastAsia="宋体" w:cs="Times New Roman"/>
          <w:sz w:val="24"/>
        </w:rPr>
        <w:t>H</w:t>
      </w:r>
      <w:r>
        <w:rPr>
          <w:rFonts w:ascii="Times New Roman" w:hAnsi="Times New Roman" w:eastAsia="宋体" w:cs="Times New Roman"/>
          <w:sz w:val="24"/>
          <w:vertAlign w:val="subscript"/>
        </w:rPr>
        <w:t>4</w:t>
      </w:r>
      <w:r>
        <w:rPr>
          <w:rFonts w:ascii="Times New Roman" w:hAnsi="Times New Roman" w:eastAsia="宋体" w:cs="Times New Roman"/>
          <w:sz w:val="24"/>
        </w:rPr>
        <w:t>/C</w:t>
      </w:r>
      <w:r>
        <w:rPr>
          <w:rFonts w:ascii="Times New Roman" w:hAnsi="Times New Roman" w:eastAsia="宋体" w:cs="Times New Roman"/>
          <w:sz w:val="24"/>
          <w:vertAlign w:val="subscript"/>
        </w:rPr>
        <w:t>2</w:t>
      </w:r>
      <w:r>
        <w:rPr>
          <w:rFonts w:ascii="Times New Roman" w:hAnsi="Times New Roman" w:eastAsia="宋体" w:cs="Times New Roman"/>
          <w:sz w:val="24"/>
        </w:rPr>
        <w:t>H</w:t>
      </w:r>
      <w:r>
        <w:rPr>
          <w:rFonts w:ascii="Times New Roman" w:hAnsi="Times New Roman" w:eastAsia="宋体" w:cs="Times New Roman"/>
          <w:sz w:val="24"/>
          <w:vertAlign w:val="subscript"/>
        </w:rPr>
        <w:t>6</w:t>
      </w:r>
      <w:r>
        <w:rPr>
          <w:rFonts w:ascii="Times New Roman" w:hAnsi="Times New Roman" w:eastAsia="宋体" w:cs="Times New Roman"/>
          <w:sz w:val="24"/>
        </w:rPr>
        <w:t>；编码规则与故障类型判断方法分别见该标准表6、表7，本文整理为表3.2和表3.3。编码组合有限，部分故障类型无法直接对应，实践中需与其他方法一起使用</w:t>
      </w:r>
      <w:r>
        <w:rPr>
          <w:rFonts w:ascii="Times New Roman" w:hAnsi="Times New Roman" w:eastAsia="宋体" w:cs="Times New Roman"/>
          <w:sz w:val="24"/>
          <w:vertAlign w:val="superscript"/>
        </w:rPr>
        <w:t>[13]</w:t>
      </w:r>
      <w:r>
        <w:rPr>
          <w:rFonts w:ascii="Times New Roman" w:hAnsi="Times New Roman" w:eastAsia="宋体" w:cs="Times New Roman"/>
          <w:sz w:val="24"/>
        </w:rPr>
        <w:t>。</w:t>
      </w:r>
    </w:p>
    <w:p w14:paraId="02CECC2F">
      <w:pPr>
        <w:pStyle w:val="3"/>
        <w:spacing w:before="0" w:after="0" w:line="360" w:lineRule="auto"/>
        <w:ind w:firstLine="420"/>
        <w:jc w:val="both"/>
      </w:pPr>
      <w:r>
        <w:rPr>
          <w:rFonts w:ascii="Times New Roman" w:hAnsi="Times New Roman" w:eastAsia="宋体" w:cs="Times New Roman"/>
          <w:sz w:val="24"/>
        </w:rPr>
        <w:t>该标准表6的编码规则整理如表3.2所示。其中CH</w:t>
      </w:r>
      <w:r>
        <w:rPr>
          <w:rFonts w:ascii="Times New Roman" w:hAnsi="Times New Roman" w:eastAsia="宋体" w:cs="Times New Roman"/>
          <w:sz w:val="24"/>
          <w:vertAlign w:val="subscript"/>
        </w:rPr>
        <w:t>4</w:t>
      </w:r>
      <w:r>
        <w:rPr>
          <w:rFonts w:ascii="Times New Roman" w:hAnsi="Times New Roman" w:eastAsia="宋体" w:cs="Times New Roman"/>
          <w:sz w:val="24"/>
        </w:rPr>
        <w:t>/H</w:t>
      </w:r>
      <w:r>
        <w:rPr>
          <w:rFonts w:ascii="Times New Roman" w:hAnsi="Times New Roman" w:eastAsia="宋体" w:cs="Times New Roman"/>
          <w:sz w:val="24"/>
          <w:vertAlign w:val="subscript"/>
        </w:rPr>
        <w:t>2</w:t>
      </w:r>
      <w:r>
        <w:rPr>
          <w:rFonts w:ascii="Times New Roman" w:hAnsi="Times New Roman" w:eastAsia="宋体" w:cs="Times New Roman"/>
          <w:sz w:val="24"/>
        </w:rPr>
        <w:t>一列与另两列不同：比值由小到大时，编码依次为1、0、2，并不是随比值增大而单调升高。</w:t>
      </w:r>
    </w:p>
    <w:p w14:paraId="3E675FB8">
      <w:pPr>
        <w:pStyle w:val="15"/>
        <w:spacing w:before="120" w:after="120" w:line="360" w:lineRule="auto"/>
        <w:ind w:firstLine="0"/>
        <w:jc w:val="center"/>
      </w:pPr>
      <w:r>
        <w:rPr>
          <w:rFonts w:ascii="Times New Roman" w:hAnsi="Times New Roman" w:eastAsia="黑体" w:cs="Times New Roman"/>
          <w:b/>
          <w:bCs/>
          <w:sz w:val="21"/>
          <w:szCs w:val="21"/>
        </w:rPr>
        <w:t>表3.2 DL/T 722—2014</w:t>
      </w:r>
      <w:r>
        <w:rPr>
          <w:rFonts w:hint="default" w:ascii="Times New Roman" w:hAnsi="Times New Roman" w:eastAsia="宋体" w:cs="Times New Roman"/>
          <w:sz w:val="24"/>
          <w:szCs w:val="24"/>
          <w:vertAlign w:val="superscript"/>
          <w:lang w:val="en-US"/>
        </w:rPr>
        <w:fldChar w:fldCharType="begin"/>
      </w:r>
      <w:r>
        <w:instrText xml:space="preserve"> REF _Ref348373302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[6]</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黑体" w:cs="Times New Roman"/>
          <w:b/>
          <w:bCs/>
          <w:sz w:val="21"/>
          <w:szCs w:val="21"/>
        </w:rPr>
        <w:t xml:space="preserve"> 表 6 三比值法编码规则</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8"/>
        <w:gridCol w:w="2268"/>
        <w:gridCol w:w="2268"/>
        <w:gridCol w:w="2268"/>
      </w:tblGrid>
      <w:tr w14:paraId="74E55371">
        <w:tc>
          <w:tcPr>
            <w:tcW w:w="2268" w:type="dxa"/>
            <w:tcBorders>
              <w:bottom w:val="single" w:color="000000" w:sz="6" w:space="0"/>
            </w:tcBorders>
          </w:tcPr>
          <w:p w14:paraId="0F90596E">
            <w:pPr>
              <w:spacing w:before="40" w:after="40" w:line="276" w:lineRule="auto"/>
              <w:jc w:val="center"/>
            </w:pPr>
            <w:r>
              <w:rPr>
                <w:rFonts w:ascii="Times New Roman" w:hAnsi="Times New Roman" w:eastAsia="宋体" w:cs="Times New Roman"/>
                <w:sz w:val="21"/>
                <w:szCs w:val="21"/>
              </w:rPr>
              <w:t>气体比值范围</w:t>
            </w:r>
          </w:p>
        </w:tc>
        <w:tc>
          <w:tcPr>
            <w:tcW w:w="2268" w:type="dxa"/>
            <w:tcBorders>
              <w:bottom w:val="single" w:color="000000" w:sz="6" w:space="0"/>
            </w:tcBorders>
          </w:tcPr>
          <w:p w14:paraId="5CE4808E">
            <w:pPr>
              <w:spacing w:before="40" w:after="40" w:line="276" w:lineRule="auto"/>
              <w:jc w:val="center"/>
            </w:pP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2</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4</w:t>
            </w:r>
            <w:r>
              <w:rPr>
                <w:rFonts w:ascii="Times New Roman" w:hAnsi="Times New Roman" w:eastAsia="宋体" w:cs="Times New Roman"/>
                <w:sz w:val="21"/>
                <w:szCs w:val="21"/>
              </w:rPr>
              <w:t xml:space="preserve"> 编码</w:t>
            </w:r>
          </w:p>
        </w:tc>
        <w:tc>
          <w:tcPr>
            <w:tcW w:w="2268" w:type="dxa"/>
            <w:tcBorders>
              <w:bottom w:val="single" w:color="000000" w:sz="6" w:space="0"/>
            </w:tcBorders>
          </w:tcPr>
          <w:p w14:paraId="09D16951">
            <w:pPr>
              <w:spacing w:before="40" w:after="40" w:line="276" w:lineRule="auto"/>
              <w:jc w:val="center"/>
            </w:pPr>
            <w:r>
              <w:rPr>
                <w:rFonts w:ascii="Times New Roman" w:hAnsi="Times New Roman" w:eastAsia="宋体" w:cs="Times New Roman"/>
                <w:sz w:val="21"/>
                <w:szCs w:val="21"/>
              </w:rPr>
              <w:t>CH</w:t>
            </w:r>
            <w:r>
              <w:rPr>
                <w:rFonts w:hint="eastAsia" w:cs="Times New Roman"/>
                <w:sz w:val="21"/>
                <w:szCs w:val="21"/>
                <w:vertAlign w:val="subscript"/>
                <w:lang w:val="en-US" w:eastAsia="zh-CN"/>
              </w:rPr>
              <w:t>4</w:t>
            </w:r>
            <w:r>
              <w:rPr>
                <w:rFonts w:ascii="Times New Roman" w:hAnsi="Times New Roman" w:eastAsia="宋体" w:cs="Times New Roman"/>
                <w:sz w:val="21"/>
                <w:szCs w:val="21"/>
              </w:rPr>
              <w:t>/H</w:t>
            </w:r>
            <w:r>
              <w:rPr>
                <w:rFonts w:hint="eastAsia" w:cs="Times New Roman"/>
                <w:sz w:val="21"/>
                <w:szCs w:val="21"/>
                <w:vertAlign w:val="subscript"/>
                <w:lang w:val="en-US" w:eastAsia="zh-CN"/>
              </w:rPr>
              <w:t>2</w:t>
            </w:r>
            <w:r>
              <w:rPr>
                <w:rFonts w:ascii="Times New Roman" w:hAnsi="Times New Roman" w:eastAsia="宋体" w:cs="Times New Roman"/>
                <w:sz w:val="21"/>
                <w:szCs w:val="21"/>
              </w:rPr>
              <w:t xml:space="preserve"> 编码</w:t>
            </w:r>
          </w:p>
        </w:tc>
        <w:tc>
          <w:tcPr>
            <w:tcW w:w="2268" w:type="dxa"/>
            <w:tcBorders>
              <w:bottom w:val="single" w:color="000000" w:sz="6" w:space="0"/>
            </w:tcBorders>
          </w:tcPr>
          <w:p w14:paraId="3E5382ED">
            <w:pPr>
              <w:spacing w:before="40" w:after="40" w:line="276" w:lineRule="auto"/>
              <w:jc w:val="center"/>
            </w:pP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4</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6</w:t>
            </w:r>
            <w:r>
              <w:rPr>
                <w:rFonts w:ascii="Times New Roman" w:hAnsi="Times New Roman" w:eastAsia="宋体" w:cs="Times New Roman"/>
                <w:sz w:val="21"/>
                <w:szCs w:val="21"/>
              </w:rPr>
              <w:t xml:space="preserve"> 编码</w:t>
            </w:r>
          </w:p>
        </w:tc>
      </w:tr>
      <w:tr w14:paraId="6EEB60B7">
        <w:tc>
          <w:tcPr>
            <w:tcW w:w="2268" w:type="dxa"/>
          </w:tcPr>
          <w:p w14:paraId="0529DF80">
            <w:pPr>
              <w:spacing w:before="40" w:after="40" w:line="276" w:lineRule="auto"/>
              <w:jc w:val="center"/>
            </w:pPr>
            <w:r>
              <w:rPr>
                <w:rFonts w:ascii="Times New Roman" w:hAnsi="Times New Roman" w:eastAsia="宋体" w:cs="Times New Roman"/>
                <w:sz w:val="21"/>
                <w:szCs w:val="21"/>
              </w:rPr>
              <w:t>＜0.1</w:t>
            </w:r>
          </w:p>
        </w:tc>
        <w:tc>
          <w:tcPr>
            <w:tcW w:w="2268" w:type="dxa"/>
          </w:tcPr>
          <w:p w14:paraId="215D4CA2">
            <w:pPr>
              <w:spacing w:before="40" w:after="40" w:line="276" w:lineRule="auto"/>
              <w:jc w:val="center"/>
            </w:pPr>
            <w:r>
              <w:rPr>
                <w:rFonts w:ascii="Times New Roman" w:hAnsi="Times New Roman" w:eastAsia="宋体" w:cs="Times New Roman"/>
                <w:sz w:val="21"/>
                <w:szCs w:val="21"/>
              </w:rPr>
              <w:t>0</w:t>
            </w:r>
          </w:p>
        </w:tc>
        <w:tc>
          <w:tcPr>
            <w:tcW w:w="2268" w:type="dxa"/>
          </w:tcPr>
          <w:p w14:paraId="2888540E">
            <w:pPr>
              <w:spacing w:before="40" w:after="40" w:line="276" w:lineRule="auto"/>
              <w:jc w:val="center"/>
            </w:pPr>
            <w:r>
              <w:rPr>
                <w:rFonts w:ascii="Times New Roman" w:hAnsi="Times New Roman" w:eastAsia="宋体" w:cs="Times New Roman"/>
                <w:sz w:val="21"/>
                <w:szCs w:val="21"/>
              </w:rPr>
              <w:t>1</w:t>
            </w:r>
          </w:p>
        </w:tc>
        <w:tc>
          <w:tcPr>
            <w:tcW w:w="2268" w:type="dxa"/>
          </w:tcPr>
          <w:p w14:paraId="68F94612">
            <w:pPr>
              <w:spacing w:before="40" w:after="40" w:line="276" w:lineRule="auto"/>
              <w:jc w:val="center"/>
            </w:pPr>
            <w:r>
              <w:rPr>
                <w:rFonts w:ascii="Times New Roman" w:hAnsi="Times New Roman" w:eastAsia="宋体" w:cs="Times New Roman"/>
                <w:sz w:val="21"/>
                <w:szCs w:val="21"/>
              </w:rPr>
              <w:t>0</w:t>
            </w:r>
          </w:p>
        </w:tc>
      </w:tr>
      <w:tr w14:paraId="422A1306">
        <w:tc>
          <w:tcPr>
            <w:tcW w:w="2268" w:type="dxa"/>
          </w:tcPr>
          <w:p w14:paraId="53BFC188">
            <w:pPr>
              <w:spacing w:before="40" w:after="40" w:line="276" w:lineRule="auto"/>
              <w:jc w:val="center"/>
            </w:pPr>
            <w:r>
              <w:rPr>
                <w:rFonts w:ascii="Times New Roman" w:hAnsi="Times New Roman" w:eastAsia="宋体" w:cs="Times New Roman"/>
                <w:sz w:val="21"/>
                <w:szCs w:val="21"/>
              </w:rPr>
              <w:t>≥0.1～＜1</w:t>
            </w:r>
          </w:p>
        </w:tc>
        <w:tc>
          <w:tcPr>
            <w:tcW w:w="2268" w:type="dxa"/>
          </w:tcPr>
          <w:p w14:paraId="7AF5C71D">
            <w:pPr>
              <w:spacing w:before="40" w:after="40" w:line="276" w:lineRule="auto"/>
              <w:jc w:val="center"/>
            </w:pPr>
            <w:r>
              <w:rPr>
                <w:rFonts w:ascii="Times New Roman" w:hAnsi="Times New Roman" w:eastAsia="宋体" w:cs="Times New Roman"/>
                <w:sz w:val="21"/>
                <w:szCs w:val="21"/>
              </w:rPr>
              <w:t>1</w:t>
            </w:r>
          </w:p>
        </w:tc>
        <w:tc>
          <w:tcPr>
            <w:tcW w:w="2268" w:type="dxa"/>
          </w:tcPr>
          <w:p w14:paraId="5EC58591">
            <w:pPr>
              <w:spacing w:before="40" w:after="40" w:line="276" w:lineRule="auto"/>
              <w:jc w:val="center"/>
            </w:pPr>
            <w:r>
              <w:rPr>
                <w:rFonts w:ascii="Times New Roman" w:hAnsi="Times New Roman" w:eastAsia="宋体" w:cs="Times New Roman"/>
                <w:sz w:val="21"/>
                <w:szCs w:val="21"/>
              </w:rPr>
              <w:t>0</w:t>
            </w:r>
          </w:p>
        </w:tc>
        <w:tc>
          <w:tcPr>
            <w:tcW w:w="2268" w:type="dxa"/>
          </w:tcPr>
          <w:p w14:paraId="4E1CFF3B">
            <w:pPr>
              <w:spacing w:before="40" w:after="40" w:line="276" w:lineRule="auto"/>
              <w:jc w:val="center"/>
            </w:pPr>
            <w:r>
              <w:rPr>
                <w:rFonts w:ascii="Times New Roman" w:hAnsi="Times New Roman" w:eastAsia="宋体" w:cs="Times New Roman"/>
                <w:sz w:val="21"/>
                <w:szCs w:val="21"/>
              </w:rPr>
              <w:t>0</w:t>
            </w:r>
          </w:p>
        </w:tc>
      </w:tr>
      <w:tr w14:paraId="7D2CF8FF">
        <w:tc>
          <w:tcPr>
            <w:tcW w:w="2268" w:type="dxa"/>
          </w:tcPr>
          <w:p w14:paraId="12011066">
            <w:pPr>
              <w:spacing w:before="40" w:after="40" w:line="276" w:lineRule="auto"/>
              <w:jc w:val="center"/>
            </w:pPr>
            <w:r>
              <w:rPr>
                <w:rFonts w:ascii="Times New Roman" w:hAnsi="Times New Roman" w:eastAsia="宋体" w:cs="Times New Roman"/>
                <w:sz w:val="21"/>
                <w:szCs w:val="21"/>
              </w:rPr>
              <w:t>≥1～＜3</w:t>
            </w:r>
          </w:p>
        </w:tc>
        <w:tc>
          <w:tcPr>
            <w:tcW w:w="2268" w:type="dxa"/>
          </w:tcPr>
          <w:p w14:paraId="1A6A4139">
            <w:pPr>
              <w:spacing w:before="40" w:after="40" w:line="276" w:lineRule="auto"/>
              <w:jc w:val="center"/>
            </w:pPr>
            <w:r>
              <w:rPr>
                <w:rFonts w:ascii="Times New Roman" w:hAnsi="Times New Roman" w:eastAsia="宋体" w:cs="Times New Roman"/>
                <w:sz w:val="21"/>
                <w:szCs w:val="21"/>
              </w:rPr>
              <w:t>1</w:t>
            </w:r>
          </w:p>
        </w:tc>
        <w:tc>
          <w:tcPr>
            <w:tcW w:w="2268" w:type="dxa"/>
          </w:tcPr>
          <w:p w14:paraId="599C3F3A">
            <w:pPr>
              <w:spacing w:before="40" w:after="40" w:line="276" w:lineRule="auto"/>
              <w:jc w:val="center"/>
            </w:pPr>
            <w:r>
              <w:rPr>
                <w:rFonts w:ascii="Times New Roman" w:hAnsi="Times New Roman" w:eastAsia="宋体" w:cs="Times New Roman"/>
                <w:sz w:val="21"/>
                <w:szCs w:val="21"/>
              </w:rPr>
              <w:t>2</w:t>
            </w:r>
          </w:p>
        </w:tc>
        <w:tc>
          <w:tcPr>
            <w:tcW w:w="2268" w:type="dxa"/>
          </w:tcPr>
          <w:p w14:paraId="3F60FF4A">
            <w:pPr>
              <w:spacing w:before="40" w:after="40" w:line="276" w:lineRule="auto"/>
              <w:jc w:val="center"/>
            </w:pPr>
            <w:r>
              <w:rPr>
                <w:rFonts w:ascii="Times New Roman" w:hAnsi="Times New Roman" w:eastAsia="宋体" w:cs="Times New Roman"/>
                <w:sz w:val="21"/>
                <w:szCs w:val="21"/>
              </w:rPr>
              <w:t>1</w:t>
            </w:r>
          </w:p>
        </w:tc>
      </w:tr>
      <w:tr w14:paraId="4F23D46D">
        <w:tc>
          <w:tcPr>
            <w:tcW w:w="2268" w:type="dxa"/>
          </w:tcPr>
          <w:p w14:paraId="17A45306">
            <w:pPr>
              <w:spacing w:before="40" w:after="40" w:line="276" w:lineRule="auto"/>
              <w:jc w:val="center"/>
            </w:pPr>
            <w:r>
              <w:rPr>
                <w:rFonts w:ascii="Times New Roman" w:hAnsi="Times New Roman" w:eastAsia="宋体" w:cs="Times New Roman"/>
                <w:sz w:val="21"/>
                <w:szCs w:val="21"/>
              </w:rPr>
              <w:t>≥3</w:t>
            </w:r>
          </w:p>
        </w:tc>
        <w:tc>
          <w:tcPr>
            <w:tcW w:w="2268" w:type="dxa"/>
          </w:tcPr>
          <w:p w14:paraId="337A25D3">
            <w:pPr>
              <w:spacing w:before="40" w:after="40" w:line="276" w:lineRule="auto"/>
              <w:jc w:val="center"/>
            </w:pPr>
            <w:r>
              <w:rPr>
                <w:rFonts w:ascii="Times New Roman" w:hAnsi="Times New Roman" w:eastAsia="宋体" w:cs="Times New Roman"/>
                <w:sz w:val="21"/>
                <w:szCs w:val="21"/>
              </w:rPr>
              <w:t>2</w:t>
            </w:r>
          </w:p>
        </w:tc>
        <w:tc>
          <w:tcPr>
            <w:tcW w:w="2268" w:type="dxa"/>
          </w:tcPr>
          <w:p w14:paraId="232B0F11">
            <w:pPr>
              <w:spacing w:before="40" w:after="40" w:line="276" w:lineRule="auto"/>
              <w:jc w:val="center"/>
            </w:pPr>
            <w:r>
              <w:rPr>
                <w:rFonts w:ascii="Times New Roman" w:hAnsi="Times New Roman" w:eastAsia="宋体" w:cs="Times New Roman"/>
                <w:sz w:val="21"/>
                <w:szCs w:val="21"/>
              </w:rPr>
              <w:t>2</w:t>
            </w:r>
          </w:p>
        </w:tc>
        <w:tc>
          <w:tcPr>
            <w:tcW w:w="2268" w:type="dxa"/>
          </w:tcPr>
          <w:p w14:paraId="1C8C22AB">
            <w:pPr>
              <w:spacing w:before="40" w:after="40" w:line="276" w:lineRule="auto"/>
              <w:jc w:val="center"/>
            </w:pPr>
            <w:r>
              <w:rPr>
                <w:rFonts w:ascii="Times New Roman" w:hAnsi="Times New Roman" w:eastAsia="宋体" w:cs="Times New Roman"/>
                <w:sz w:val="21"/>
                <w:szCs w:val="21"/>
              </w:rPr>
              <w:t>2</w:t>
            </w:r>
          </w:p>
        </w:tc>
      </w:tr>
    </w:tbl>
    <w:p w14:paraId="07562D6D"/>
    <w:p w14:paraId="35B1DDD7">
      <w:pPr>
        <w:pStyle w:val="3"/>
        <w:spacing w:before="0" w:after="0" w:line="360" w:lineRule="auto"/>
        <w:ind w:firstLine="420"/>
        <w:jc w:val="both"/>
      </w:pPr>
      <w:r>
        <w:rPr>
          <w:rFonts w:ascii="Times New Roman" w:hAnsi="Times New Roman" w:eastAsia="宋体" w:cs="Times New Roman"/>
          <w:sz w:val="24"/>
        </w:rPr>
        <w:t>该标准表7的故障类型判断方法整理如表3.3所示。表中未列出的编码组合判定为“无对应编码”，说明单靠三比值法不能覆盖全部情形，因此还需要结合大卫三角形法等其他方法。</w:t>
      </w:r>
    </w:p>
    <w:p w14:paraId="5F11B7DE">
      <w:pPr>
        <w:pStyle w:val="15"/>
        <w:spacing w:before="120" w:after="120" w:line="360" w:lineRule="auto"/>
        <w:ind w:firstLine="0"/>
        <w:jc w:val="center"/>
      </w:pPr>
      <w:r>
        <w:rPr>
          <w:rFonts w:ascii="Times New Roman" w:hAnsi="Times New Roman" w:eastAsia="黑体" w:cs="Times New Roman"/>
          <w:b/>
          <w:bCs/>
          <w:sz w:val="21"/>
          <w:szCs w:val="21"/>
        </w:rPr>
        <w:t>表3.3 DL/T 722—2014</w:t>
      </w:r>
      <w:r>
        <w:rPr>
          <w:rFonts w:hint="default" w:ascii="Times New Roman" w:hAnsi="Times New Roman" w:eastAsia="宋体" w:cs="Times New Roman"/>
          <w:sz w:val="24"/>
          <w:szCs w:val="24"/>
          <w:vertAlign w:val="superscript"/>
          <w:lang w:val="en-US"/>
        </w:rPr>
        <w:fldChar w:fldCharType="begin"/>
      </w:r>
      <w:r>
        <w:instrText xml:space="preserve"> REF _Ref348373302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[6]</w:t>
      </w:r>
      <w:r>
        <w:rPr>
          <w:rFonts w:hint="default" w:ascii="Times New Roman" w:hAnsi="Times New Roman" w:eastAsia="宋体" w:cs="Times New Roman"/>
          <w:sz w:val="24"/>
          <w:szCs w:val="24"/>
          <w:vertAlign w:val="superscript"/>
          <w:lang w:val="en-US"/>
        </w:rPr>
        <w:fldChar w:fldCharType="end"/>
      </w:r>
      <w:r>
        <w:rPr>
          <w:rFonts w:ascii="Times New Roman" w:hAnsi="Times New Roman" w:eastAsia="黑体" w:cs="Times New Roman"/>
          <w:b/>
          <w:bCs/>
          <w:sz w:val="21"/>
          <w:szCs w:val="21"/>
        </w:rPr>
        <w:t xml:space="preserve"> 表7 故障类型判断方法</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8"/>
        <w:gridCol w:w="2268"/>
        <w:gridCol w:w="1899"/>
        <w:gridCol w:w="2637"/>
      </w:tblGrid>
      <w:tr w14:paraId="51F3BBC5">
        <w:tc>
          <w:tcPr>
            <w:tcW w:w="2268" w:type="dxa"/>
            <w:tcBorders>
              <w:bottom w:val="single" w:color="000000" w:sz="6" w:space="0"/>
            </w:tcBorders>
          </w:tcPr>
          <w:p w14:paraId="15DEE9A6">
            <w:pPr>
              <w:spacing w:before="40" w:after="40" w:line="276" w:lineRule="auto"/>
              <w:jc w:val="center"/>
            </w:pP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2</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4</w:t>
            </w:r>
          </w:p>
        </w:tc>
        <w:tc>
          <w:tcPr>
            <w:tcW w:w="2268" w:type="dxa"/>
            <w:tcBorders>
              <w:bottom w:val="single" w:color="000000" w:sz="6" w:space="0"/>
            </w:tcBorders>
          </w:tcPr>
          <w:p w14:paraId="4895AE1A">
            <w:pPr>
              <w:spacing w:before="40" w:after="40" w:line="276" w:lineRule="auto"/>
              <w:jc w:val="center"/>
            </w:pPr>
            <w:r>
              <w:rPr>
                <w:rFonts w:ascii="Times New Roman" w:hAnsi="Times New Roman" w:eastAsia="宋体" w:cs="Times New Roman"/>
                <w:sz w:val="21"/>
                <w:szCs w:val="21"/>
              </w:rPr>
              <w:t>CH</w:t>
            </w:r>
            <w:r>
              <w:rPr>
                <w:rFonts w:hint="eastAsia" w:cs="Times New Roman"/>
                <w:sz w:val="21"/>
                <w:szCs w:val="21"/>
                <w:vertAlign w:val="subscript"/>
                <w:lang w:val="en-US" w:eastAsia="zh-CN"/>
              </w:rPr>
              <w:t>4</w:t>
            </w:r>
            <w:r>
              <w:rPr>
                <w:rFonts w:ascii="Times New Roman" w:hAnsi="Times New Roman" w:eastAsia="宋体" w:cs="Times New Roman"/>
                <w:sz w:val="21"/>
                <w:szCs w:val="21"/>
              </w:rPr>
              <w:t>/H</w:t>
            </w:r>
            <w:r>
              <w:rPr>
                <w:rFonts w:hint="eastAsia" w:cs="Times New Roman"/>
                <w:sz w:val="21"/>
                <w:szCs w:val="21"/>
                <w:vertAlign w:val="subscript"/>
                <w:lang w:val="en-US" w:eastAsia="zh-CN"/>
              </w:rPr>
              <w:t>2</w:t>
            </w:r>
          </w:p>
        </w:tc>
        <w:tc>
          <w:tcPr>
            <w:tcW w:w="1899" w:type="dxa"/>
            <w:tcBorders>
              <w:bottom w:val="single" w:color="000000" w:sz="6" w:space="0"/>
            </w:tcBorders>
          </w:tcPr>
          <w:p w14:paraId="4CB1CD5F">
            <w:pPr>
              <w:spacing w:before="40" w:after="40" w:line="276" w:lineRule="auto"/>
              <w:jc w:val="center"/>
            </w:pP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4</w:t>
            </w:r>
            <w:r>
              <w:rPr>
                <w:rFonts w:ascii="Times New Roman" w:hAnsi="Times New Roman" w:eastAsia="宋体" w:cs="Times New Roman"/>
                <w:sz w:val="21"/>
                <w:szCs w:val="21"/>
              </w:rPr>
              <w:t>/C</w:t>
            </w:r>
            <w:r>
              <w:rPr>
                <w:rFonts w:hint="eastAsia" w:cs="Times New Roman"/>
                <w:sz w:val="21"/>
                <w:szCs w:val="21"/>
                <w:vertAlign w:val="subscript"/>
                <w:lang w:val="en-US" w:eastAsia="zh-CN"/>
              </w:rPr>
              <w:t>2</w:t>
            </w:r>
            <w:r>
              <w:rPr>
                <w:rFonts w:ascii="Times New Roman" w:hAnsi="Times New Roman" w:eastAsia="宋体" w:cs="Times New Roman"/>
                <w:sz w:val="21"/>
                <w:szCs w:val="21"/>
              </w:rPr>
              <w:t>H</w:t>
            </w:r>
            <w:r>
              <w:rPr>
                <w:rFonts w:hint="eastAsia" w:cs="Times New Roman"/>
                <w:sz w:val="21"/>
                <w:szCs w:val="21"/>
                <w:vertAlign w:val="subscript"/>
                <w:lang w:val="en-US" w:eastAsia="zh-CN"/>
              </w:rPr>
              <w:t>6</w:t>
            </w:r>
            <w:r>
              <w:rPr>
                <w:rFonts w:ascii="Times New Roman" w:hAnsi="Times New Roman" w:eastAsia="宋体" w:cs="Times New Roman"/>
                <w:sz w:val="21"/>
                <w:szCs w:val="21"/>
              </w:rPr>
              <w:t xml:space="preserve"> </w:t>
            </w:r>
          </w:p>
        </w:tc>
        <w:tc>
          <w:tcPr>
            <w:tcW w:w="2637" w:type="dxa"/>
            <w:tcBorders>
              <w:bottom w:val="single" w:color="000000" w:sz="6" w:space="0"/>
            </w:tcBorders>
          </w:tcPr>
          <w:p w14:paraId="570F010D">
            <w:pPr>
              <w:spacing w:before="40" w:after="40" w:line="276" w:lineRule="auto"/>
              <w:jc w:val="center"/>
            </w:pPr>
            <w:r>
              <w:rPr>
                <w:rFonts w:ascii="Times New Roman" w:hAnsi="Times New Roman" w:eastAsia="宋体" w:cs="Times New Roman"/>
                <w:sz w:val="21"/>
                <w:szCs w:val="21"/>
              </w:rPr>
              <w:t>故障类型判断</w:t>
            </w:r>
          </w:p>
        </w:tc>
      </w:tr>
      <w:tr w14:paraId="40A31C23">
        <w:tc>
          <w:tcPr>
            <w:tcW w:w="2268" w:type="dxa"/>
          </w:tcPr>
          <w:p w14:paraId="3BAC8661">
            <w:pPr>
              <w:spacing w:before="40" w:after="40" w:line="276" w:lineRule="auto"/>
              <w:jc w:val="center"/>
            </w:pPr>
            <w:r>
              <w:rPr>
                <w:rFonts w:ascii="Times New Roman" w:hAnsi="Times New Roman" w:eastAsia="宋体" w:cs="Times New Roman"/>
                <w:sz w:val="21"/>
                <w:szCs w:val="21"/>
              </w:rPr>
              <w:t>0</w:t>
            </w:r>
          </w:p>
        </w:tc>
        <w:tc>
          <w:tcPr>
            <w:tcW w:w="2268" w:type="dxa"/>
          </w:tcPr>
          <w:p w14:paraId="78409618">
            <w:pPr>
              <w:spacing w:before="40" w:after="40" w:line="276" w:lineRule="auto"/>
              <w:jc w:val="center"/>
            </w:pPr>
            <w:r>
              <w:rPr>
                <w:rFonts w:ascii="Times New Roman" w:hAnsi="Times New Roman" w:eastAsia="宋体" w:cs="Times New Roman"/>
                <w:sz w:val="21"/>
                <w:szCs w:val="21"/>
              </w:rPr>
              <w:t>0</w:t>
            </w:r>
          </w:p>
        </w:tc>
        <w:tc>
          <w:tcPr>
            <w:tcW w:w="1899" w:type="dxa"/>
          </w:tcPr>
          <w:p w14:paraId="4EDDABB6">
            <w:pPr>
              <w:spacing w:before="40" w:after="40" w:line="276" w:lineRule="auto"/>
              <w:jc w:val="center"/>
            </w:pPr>
            <w:r>
              <w:rPr>
                <w:rFonts w:ascii="Times New Roman" w:hAnsi="Times New Roman" w:eastAsia="宋体" w:cs="Times New Roman"/>
                <w:sz w:val="21"/>
                <w:szCs w:val="21"/>
              </w:rPr>
              <w:t>1</w:t>
            </w:r>
          </w:p>
        </w:tc>
        <w:tc>
          <w:tcPr>
            <w:tcW w:w="2637" w:type="dxa"/>
          </w:tcPr>
          <w:p w14:paraId="2F69F13B">
            <w:pPr>
              <w:spacing w:before="40" w:after="40" w:line="276" w:lineRule="auto"/>
              <w:jc w:val="center"/>
            </w:pPr>
            <w:r>
              <w:rPr>
                <w:rFonts w:ascii="Times New Roman" w:hAnsi="Times New Roman" w:eastAsia="宋体" w:cs="Times New Roman"/>
                <w:sz w:val="21"/>
                <w:szCs w:val="21"/>
              </w:rPr>
              <w:t>低温过热（＜150℃）</w:t>
            </w:r>
          </w:p>
        </w:tc>
      </w:tr>
      <w:tr w14:paraId="784DB2DC">
        <w:tc>
          <w:tcPr>
            <w:tcW w:w="2268" w:type="dxa"/>
          </w:tcPr>
          <w:p w14:paraId="632B25DD">
            <w:pPr>
              <w:spacing w:before="40" w:after="40" w:line="276" w:lineRule="auto"/>
              <w:jc w:val="center"/>
            </w:pPr>
            <w:r>
              <w:rPr>
                <w:rFonts w:ascii="Times New Roman" w:hAnsi="Times New Roman" w:eastAsia="宋体" w:cs="Times New Roman"/>
                <w:sz w:val="21"/>
                <w:szCs w:val="21"/>
              </w:rPr>
              <w:t>0</w:t>
            </w:r>
          </w:p>
        </w:tc>
        <w:tc>
          <w:tcPr>
            <w:tcW w:w="2268" w:type="dxa"/>
          </w:tcPr>
          <w:p w14:paraId="33AE14A2">
            <w:pPr>
              <w:spacing w:before="40" w:after="40" w:line="276" w:lineRule="auto"/>
              <w:jc w:val="center"/>
            </w:pPr>
            <w:r>
              <w:rPr>
                <w:rFonts w:ascii="Times New Roman" w:hAnsi="Times New Roman" w:eastAsia="宋体" w:cs="Times New Roman"/>
                <w:sz w:val="21"/>
                <w:szCs w:val="21"/>
              </w:rPr>
              <w:t>2</w:t>
            </w:r>
          </w:p>
        </w:tc>
        <w:tc>
          <w:tcPr>
            <w:tcW w:w="1899" w:type="dxa"/>
          </w:tcPr>
          <w:p w14:paraId="38359B1E">
            <w:pPr>
              <w:spacing w:before="40" w:after="40" w:line="276" w:lineRule="auto"/>
              <w:jc w:val="center"/>
            </w:pPr>
            <w:r>
              <w:rPr>
                <w:rFonts w:ascii="Times New Roman" w:hAnsi="Times New Roman" w:eastAsia="宋体" w:cs="Times New Roman"/>
                <w:sz w:val="21"/>
                <w:szCs w:val="21"/>
              </w:rPr>
              <w:t>0</w:t>
            </w:r>
          </w:p>
        </w:tc>
        <w:tc>
          <w:tcPr>
            <w:tcW w:w="2637" w:type="dxa"/>
          </w:tcPr>
          <w:p w14:paraId="3F26846C">
            <w:pPr>
              <w:spacing w:before="40" w:after="40" w:line="276" w:lineRule="auto"/>
              <w:jc w:val="center"/>
            </w:pPr>
            <w:r>
              <w:rPr>
                <w:rFonts w:ascii="Times New Roman" w:hAnsi="Times New Roman" w:eastAsia="宋体" w:cs="Times New Roman"/>
                <w:sz w:val="21"/>
                <w:szCs w:val="21"/>
              </w:rPr>
              <w:t>低温过热（150℃～300℃）</w:t>
            </w:r>
          </w:p>
        </w:tc>
      </w:tr>
      <w:tr w14:paraId="090F9456">
        <w:tc>
          <w:tcPr>
            <w:tcW w:w="2268" w:type="dxa"/>
          </w:tcPr>
          <w:p w14:paraId="713D642F">
            <w:pPr>
              <w:spacing w:before="40" w:after="40" w:line="276" w:lineRule="auto"/>
              <w:jc w:val="center"/>
            </w:pPr>
            <w:r>
              <w:rPr>
                <w:rFonts w:ascii="Times New Roman" w:hAnsi="Times New Roman" w:eastAsia="宋体" w:cs="Times New Roman"/>
                <w:sz w:val="21"/>
                <w:szCs w:val="21"/>
              </w:rPr>
              <w:t>0</w:t>
            </w:r>
          </w:p>
        </w:tc>
        <w:tc>
          <w:tcPr>
            <w:tcW w:w="2268" w:type="dxa"/>
          </w:tcPr>
          <w:p w14:paraId="338873AA">
            <w:pPr>
              <w:spacing w:before="40" w:after="40" w:line="276" w:lineRule="auto"/>
              <w:jc w:val="center"/>
            </w:pPr>
            <w:r>
              <w:rPr>
                <w:rFonts w:ascii="Times New Roman" w:hAnsi="Times New Roman" w:eastAsia="宋体" w:cs="Times New Roman"/>
                <w:sz w:val="21"/>
                <w:szCs w:val="21"/>
              </w:rPr>
              <w:t>2</w:t>
            </w:r>
          </w:p>
        </w:tc>
        <w:tc>
          <w:tcPr>
            <w:tcW w:w="1899" w:type="dxa"/>
          </w:tcPr>
          <w:p w14:paraId="6133B23F">
            <w:pPr>
              <w:spacing w:before="40" w:after="40" w:line="276" w:lineRule="auto"/>
              <w:jc w:val="center"/>
            </w:pPr>
            <w:r>
              <w:rPr>
                <w:rFonts w:ascii="Times New Roman" w:hAnsi="Times New Roman" w:eastAsia="宋体" w:cs="Times New Roman"/>
                <w:sz w:val="21"/>
                <w:szCs w:val="21"/>
              </w:rPr>
              <w:t>1</w:t>
            </w:r>
          </w:p>
        </w:tc>
        <w:tc>
          <w:tcPr>
            <w:tcW w:w="2637" w:type="dxa"/>
          </w:tcPr>
          <w:p w14:paraId="573A6CC7">
            <w:pPr>
              <w:spacing w:before="40" w:after="40" w:line="276" w:lineRule="auto"/>
              <w:jc w:val="center"/>
            </w:pPr>
            <w:r>
              <w:rPr>
                <w:rFonts w:ascii="Times New Roman" w:hAnsi="Times New Roman" w:eastAsia="宋体" w:cs="Times New Roman"/>
                <w:sz w:val="21"/>
                <w:szCs w:val="21"/>
              </w:rPr>
              <w:t>中温过热（300℃～700℃）</w:t>
            </w:r>
          </w:p>
        </w:tc>
      </w:tr>
      <w:tr w14:paraId="2CF0B6A9">
        <w:tc>
          <w:tcPr>
            <w:tcW w:w="2268" w:type="dxa"/>
          </w:tcPr>
          <w:p w14:paraId="28132BD4">
            <w:pPr>
              <w:spacing w:before="40" w:after="40" w:line="276" w:lineRule="auto"/>
              <w:jc w:val="center"/>
            </w:pPr>
            <w:r>
              <w:rPr>
                <w:rFonts w:ascii="Times New Roman" w:hAnsi="Times New Roman" w:eastAsia="宋体" w:cs="Times New Roman"/>
                <w:sz w:val="21"/>
                <w:szCs w:val="21"/>
              </w:rPr>
              <w:t>0</w:t>
            </w:r>
          </w:p>
        </w:tc>
        <w:tc>
          <w:tcPr>
            <w:tcW w:w="2268" w:type="dxa"/>
          </w:tcPr>
          <w:p w14:paraId="1766F24F">
            <w:pPr>
              <w:spacing w:before="40" w:after="40" w:line="276" w:lineRule="auto"/>
              <w:jc w:val="center"/>
            </w:pPr>
            <w:r>
              <w:rPr>
                <w:rFonts w:ascii="Times New Roman" w:hAnsi="Times New Roman" w:eastAsia="宋体" w:cs="Times New Roman"/>
                <w:sz w:val="21"/>
                <w:szCs w:val="21"/>
              </w:rPr>
              <w:t>0, 1, 2</w:t>
            </w:r>
          </w:p>
        </w:tc>
        <w:tc>
          <w:tcPr>
            <w:tcW w:w="1899" w:type="dxa"/>
          </w:tcPr>
          <w:p w14:paraId="362E3F51">
            <w:pPr>
              <w:spacing w:before="40" w:after="40" w:line="276" w:lineRule="auto"/>
              <w:jc w:val="center"/>
            </w:pPr>
            <w:r>
              <w:rPr>
                <w:rFonts w:ascii="Times New Roman" w:hAnsi="Times New Roman" w:eastAsia="宋体" w:cs="Times New Roman"/>
                <w:sz w:val="21"/>
                <w:szCs w:val="21"/>
              </w:rPr>
              <w:t>2</w:t>
            </w:r>
          </w:p>
        </w:tc>
        <w:tc>
          <w:tcPr>
            <w:tcW w:w="2637" w:type="dxa"/>
          </w:tcPr>
          <w:p w14:paraId="5876B761">
            <w:pPr>
              <w:spacing w:before="40" w:after="40" w:line="276" w:lineRule="auto"/>
              <w:jc w:val="center"/>
            </w:pPr>
            <w:r>
              <w:rPr>
                <w:rFonts w:ascii="Times New Roman" w:hAnsi="Times New Roman" w:eastAsia="宋体" w:cs="Times New Roman"/>
                <w:sz w:val="21"/>
                <w:szCs w:val="21"/>
              </w:rPr>
              <w:t>高温过热（＞700℃）</w:t>
            </w:r>
          </w:p>
        </w:tc>
      </w:tr>
      <w:tr w14:paraId="227C6879">
        <w:tc>
          <w:tcPr>
            <w:tcW w:w="2268" w:type="dxa"/>
          </w:tcPr>
          <w:p w14:paraId="58E8BB14">
            <w:pPr>
              <w:spacing w:before="40" w:after="40" w:line="276" w:lineRule="auto"/>
              <w:jc w:val="center"/>
            </w:pPr>
            <w:r>
              <w:rPr>
                <w:rFonts w:ascii="Times New Roman" w:hAnsi="Times New Roman" w:eastAsia="宋体" w:cs="Times New Roman"/>
                <w:sz w:val="21"/>
                <w:szCs w:val="21"/>
              </w:rPr>
              <w:t>0</w:t>
            </w:r>
          </w:p>
        </w:tc>
        <w:tc>
          <w:tcPr>
            <w:tcW w:w="2268" w:type="dxa"/>
          </w:tcPr>
          <w:p w14:paraId="0A72A1A2">
            <w:pPr>
              <w:spacing w:before="40" w:after="40" w:line="276" w:lineRule="auto"/>
              <w:jc w:val="center"/>
            </w:pPr>
            <w:r>
              <w:rPr>
                <w:rFonts w:ascii="Times New Roman" w:hAnsi="Times New Roman" w:eastAsia="宋体" w:cs="Times New Roman"/>
                <w:sz w:val="21"/>
                <w:szCs w:val="21"/>
              </w:rPr>
              <w:t>1</w:t>
            </w:r>
          </w:p>
        </w:tc>
        <w:tc>
          <w:tcPr>
            <w:tcW w:w="1899" w:type="dxa"/>
          </w:tcPr>
          <w:p w14:paraId="513C980B">
            <w:pPr>
              <w:spacing w:before="40" w:after="40" w:line="276" w:lineRule="auto"/>
              <w:jc w:val="center"/>
            </w:pPr>
            <w:r>
              <w:rPr>
                <w:rFonts w:ascii="Times New Roman" w:hAnsi="Times New Roman" w:eastAsia="宋体" w:cs="Times New Roman"/>
                <w:sz w:val="21"/>
                <w:szCs w:val="21"/>
              </w:rPr>
              <w:t>0</w:t>
            </w:r>
          </w:p>
        </w:tc>
        <w:tc>
          <w:tcPr>
            <w:tcW w:w="2637" w:type="dxa"/>
          </w:tcPr>
          <w:p w14:paraId="69B1352B">
            <w:pPr>
              <w:spacing w:before="40" w:after="40" w:line="276" w:lineRule="auto"/>
              <w:jc w:val="center"/>
            </w:pPr>
            <w:r>
              <w:rPr>
                <w:rFonts w:ascii="Times New Roman" w:hAnsi="Times New Roman" w:eastAsia="宋体" w:cs="Times New Roman"/>
                <w:sz w:val="21"/>
                <w:szCs w:val="21"/>
              </w:rPr>
              <w:t>局部放电</w:t>
            </w:r>
          </w:p>
        </w:tc>
      </w:tr>
      <w:tr w14:paraId="60C2941B">
        <w:tc>
          <w:tcPr>
            <w:tcW w:w="2268" w:type="dxa"/>
          </w:tcPr>
          <w:p w14:paraId="2C980465">
            <w:pPr>
              <w:spacing w:before="40" w:after="40" w:line="276" w:lineRule="auto"/>
              <w:jc w:val="center"/>
            </w:pPr>
            <w:r>
              <w:rPr>
                <w:rFonts w:ascii="Times New Roman" w:hAnsi="Times New Roman" w:eastAsia="宋体" w:cs="Times New Roman"/>
                <w:sz w:val="21"/>
                <w:szCs w:val="21"/>
              </w:rPr>
              <w:t>2</w:t>
            </w:r>
          </w:p>
        </w:tc>
        <w:tc>
          <w:tcPr>
            <w:tcW w:w="2268" w:type="dxa"/>
          </w:tcPr>
          <w:p w14:paraId="72CAEB5F">
            <w:pPr>
              <w:spacing w:before="40" w:after="40" w:line="276" w:lineRule="auto"/>
              <w:jc w:val="center"/>
            </w:pPr>
            <w:r>
              <w:rPr>
                <w:rFonts w:ascii="Times New Roman" w:hAnsi="Times New Roman" w:eastAsia="宋体" w:cs="Times New Roman"/>
                <w:sz w:val="21"/>
                <w:szCs w:val="21"/>
              </w:rPr>
              <w:t>0, 1</w:t>
            </w:r>
          </w:p>
        </w:tc>
        <w:tc>
          <w:tcPr>
            <w:tcW w:w="1899" w:type="dxa"/>
          </w:tcPr>
          <w:p w14:paraId="5488723A">
            <w:pPr>
              <w:spacing w:before="40" w:after="40" w:line="276" w:lineRule="auto"/>
              <w:jc w:val="center"/>
            </w:pPr>
            <w:r>
              <w:rPr>
                <w:rFonts w:ascii="Times New Roman" w:hAnsi="Times New Roman" w:eastAsia="宋体" w:cs="Times New Roman"/>
                <w:sz w:val="21"/>
                <w:szCs w:val="21"/>
              </w:rPr>
              <w:t>0, 1, 2</w:t>
            </w:r>
          </w:p>
        </w:tc>
        <w:tc>
          <w:tcPr>
            <w:tcW w:w="2637" w:type="dxa"/>
          </w:tcPr>
          <w:p w14:paraId="06AA7242">
            <w:pPr>
              <w:spacing w:before="40" w:after="40" w:line="276" w:lineRule="auto"/>
              <w:jc w:val="center"/>
            </w:pPr>
            <w:r>
              <w:rPr>
                <w:rFonts w:ascii="Times New Roman" w:hAnsi="Times New Roman" w:eastAsia="宋体" w:cs="Times New Roman"/>
                <w:sz w:val="21"/>
                <w:szCs w:val="21"/>
              </w:rPr>
              <w:t>低能放电</w:t>
            </w:r>
          </w:p>
        </w:tc>
      </w:tr>
      <w:tr w14:paraId="7A38BD9C">
        <w:tc>
          <w:tcPr>
            <w:tcW w:w="2268" w:type="dxa"/>
          </w:tcPr>
          <w:p w14:paraId="062E29F3">
            <w:pPr>
              <w:spacing w:before="40" w:after="40" w:line="276" w:lineRule="auto"/>
              <w:jc w:val="center"/>
            </w:pPr>
            <w:r>
              <w:rPr>
                <w:rFonts w:ascii="Times New Roman" w:hAnsi="Times New Roman" w:eastAsia="宋体" w:cs="Times New Roman"/>
                <w:sz w:val="21"/>
                <w:szCs w:val="21"/>
              </w:rPr>
              <w:t>2</w:t>
            </w:r>
          </w:p>
        </w:tc>
        <w:tc>
          <w:tcPr>
            <w:tcW w:w="2268" w:type="dxa"/>
          </w:tcPr>
          <w:p w14:paraId="5061D4FB">
            <w:pPr>
              <w:spacing w:before="40" w:after="40" w:line="276" w:lineRule="auto"/>
              <w:jc w:val="center"/>
            </w:pPr>
            <w:r>
              <w:rPr>
                <w:rFonts w:ascii="Times New Roman" w:hAnsi="Times New Roman" w:eastAsia="宋体" w:cs="Times New Roman"/>
                <w:sz w:val="21"/>
                <w:szCs w:val="21"/>
              </w:rPr>
              <w:t>2</w:t>
            </w:r>
          </w:p>
        </w:tc>
        <w:tc>
          <w:tcPr>
            <w:tcW w:w="1899" w:type="dxa"/>
          </w:tcPr>
          <w:p w14:paraId="6B7E7BEE">
            <w:pPr>
              <w:spacing w:before="40" w:after="40" w:line="276" w:lineRule="auto"/>
              <w:jc w:val="center"/>
            </w:pPr>
            <w:r>
              <w:rPr>
                <w:rFonts w:ascii="Times New Roman" w:hAnsi="Times New Roman" w:eastAsia="宋体" w:cs="Times New Roman"/>
                <w:sz w:val="21"/>
                <w:szCs w:val="21"/>
              </w:rPr>
              <w:t>0, 1, 2</w:t>
            </w:r>
          </w:p>
        </w:tc>
        <w:tc>
          <w:tcPr>
            <w:tcW w:w="2637" w:type="dxa"/>
          </w:tcPr>
          <w:p w14:paraId="05DCB046">
            <w:pPr>
              <w:spacing w:before="40" w:after="40" w:line="276" w:lineRule="auto"/>
              <w:jc w:val="center"/>
            </w:pPr>
            <w:r>
              <w:rPr>
                <w:rFonts w:ascii="Times New Roman" w:hAnsi="Times New Roman" w:eastAsia="宋体" w:cs="Times New Roman"/>
                <w:sz w:val="21"/>
                <w:szCs w:val="21"/>
              </w:rPr>
              <w:t>低能放电兼过热</w:t>
            </w:r>
          </w:p>
        </w:tc>
      </w:tr>
      <w:tr w14:paraId="7F4F0BE4">
        <w:tc>
          <w:tcPr>
            <w:tcW w:w="2268" w:type="dxa"/>
          </w:tcPr>
          <w:p w14:paraId="1C2D1CBF">
            <w:pPr>
              <w:spacing w:before="40" w:after="40" w:line="276" w:lineRule="auto"/>
              <w:jc w:val="center"/>
            </w:pPr>
            <w:r>
              <w:rPr>
                <w:rFonts w:ascii="Times New Roman" w:hAnsi="Times New Roman" w:eastAsia="宋体" w:cs="Times New Roman"/>
                <w:sz w:val="21"/>
                <w:szCs w:val="21"/>
              </w:rPr>
              <w:t>1</w:t>
            </w:r>
          </w:p>
        </w:tc>
        <w:tc>
          <w:tcPr>
            <w:tcW w:w="2268" w:type="dxa"/>
          </w:tcPr>
          <w:p w14:paraId="355D08E6">
            <w:pPr>
              <w:spacing w:before="40" w:after="40" w:line="276" w:lineRule="auto"/>
              <w:jc w:val="center"/>
            </w:pPr>
            <w:r>
              <w:rPr>
                <w:rFonts w:ascii="Times New Roman" w:hAnsi="Times New Roman" w:eastAsia="宋体" w:cs="Times New Roman"/>
                <w:sz w:val="21"/>
                <w:szCs w:val="21"/>
              </w:rPr>
              <w:t>0, 1</w:t>
            </w:r>
          </w:p>
        </w:tc>
        <w:tc>
          <w:tcPr>
            <w:tcW w:w="1899" w:type="dxa"/>
          </w:tcPr>
          <w:p w14:paraId="2F9277E1">
            <w:pPr>
              <w:spacing w:before="40" w:after="40" w:line="276" w:lineRule="auto"/>
              <w:jc w:val="center"/>
            </w:pPr>
            <w:r>
              <w:rPr>
                <w:rFonts w:ascii="Times New Roman" w:hAnsi="Times New Roman" w:eastAsia="宋体" w:cs="Times New Roman"/>
                <w:sz w:val="21"/>
                <w:szCs w:val="21"/>
              </w:rPr>
              <w:t>0, 1, 2</w:t>
            </w:r>
          </w:p>
        </w:tc>
        <w:tc>
          <w:tcPr>
            <w:tcW w:w="2637" w:type="dxa"/>
          </w:tcPr>
          <w:p w14:paraId="5E0D6AAD">
            <w:pPr>
              <w:spacing w:before="40" w:after="40" w:line="276" w:lineRule="auto"/>
              <w:jc w:val="center"/>
            </w:pPr>
            <w:r>
              <w:rPr>
                <w:rFonts w:ascii="Times New Roman" w:hAnsi="Times New Roman" w:eastAsia="宋体" w:cs="Times New Roman"/>
                <w:sz w:val="21"/>
                <w:szCs w:val="21"/>
              </w:rPr>
              <w:t>电弧放电</w:t>
            </w:r>
          </w:p>
        </w:tc>
      </w:tr>
      <w:tr w14:paraId="48F0984F">
        <w:tc>
          <w:tcPr>
            <w:tcW w:w="2268" w:type="dxa"/>
          </w:tcPr>
          <w:p w14:paraId="2ACA8CED">
            <w:pPr>
              <w:spacing w:before="40" w:after="40" w:line="276" w:lineRule="auto"/>
              <w:jc w:val="center"/>
            </w:pPr>
            <w:r>
              <w:rPr>
                <w:rFonts w:ascii="Times New Roman" w:hAnsi="Times New Roman" w:eastAsia="宋体" w:cs="Times New Roman"/>
                <w:sz w:val="21"/>
                <w:szCs w:val="21"/>
              </w:rPr>
              <w:t>1</w:t>
            </w:r>
          </w:p>
        </w:tc>
        <w:tc>
          <w:tcPr>
            <w:tcW w:w="2268" w:type="dxa"/>
          </w:tcPr>
          <w:p w14:paraId="11797B0D">
            <w:pPr>
              <w:spacing w:before="40" w:after="40" w:line="276" w:lineRule="auto"/>
              <w:jc w:val="center"/>
            </w:pPr>
            <w:r>
              <w:rPr>
                <w:rFonts w:ascii="Times New Roman" w:hAnsi="Times New Roman" w:eastAsia="宋体" w:cs="Times New Roman"/>
                <w:sz w:val="21"/>
                <w:szCs w:val="21"/>
              </w:rPr>
              <w:t>2</w:t>
            </w:r>
          </w:p>
        </w:tc>
        <w:tc>
          <w:tcPr>
            <w:tcW w:w="1899" w:type="dxa"/>
          </w:tcPr>
          <w:p w14:paraId="49EF0D73">
            <w:pPr>
              <w:spacing w:before="40" w:after="40" w:line="276" w:lineRule="auto"/>
              <w:jc w:val="center"/>
            </w:pPr>
            <w:r>
              <w:rPr>
                <w:rFonts w:ascii="Times New Roman" w:hAnsi="Times New Roman" w:eastAsia="宋体" w:cs="Times New Roman"/>
                <w:sz w:val="21"/>
                <w:szCs w:val="21"/>
              </w:rPr>
              <w:t>0, 1, 2</w:t>
            </w:r>
          </w:p>
        </w:tc>
        <w:tc>
          <w:tcPr>
            <w:tcW w:w="2637" w:type="dxa"/>
          </w:tcPr>
          <w:p w14:paraId="095771C7">
            <w:pPr>
              <w:spacing w:before="40" w:after="40" w:line="276" w:lineRule="auto"/>
              <w:jc w:val="center"/>
            </w:pPr>
            <w:r>
              <w:rPr>
                <w:rFonts w:ascii="Times New Roman" w:hAnsi="Times New Roman" w:eastAsia="宋体" w:cs="Times New Roman"/>
                <w:sz w:val="21"/>
                <w:szCs w:val="21"/>
              </w:rPr>
              <w:t>电弧放电兼过热</w:t>
            </w:r>
          </w:p>
        </w:tc>
      </w:tr>
    </w:tbl>
    <w:p w14:paraId="6492AECC"/>
    <w:p w14:paraId="153F0C79">
      <w:pPr>
        <w:pStyle w:val="3"/>
        <w:spacing w:before="0" w:after="0" w:line="360" w:lineRule="auto"/>
        <w:ind w:firstLine="420"/>
        <w:jc w:val="both"/>
      </w:pPr>
      <w:r>
        <w:rPr>
          <w:rFonts w:ascii="Times New Roman" w:hAnsi="Times New Roman" w:eastAsia="宋体" w:cs="Times New Roman"/>
          <w:sz w:val="24"/>
        </w:rPr>
        <w:t>输入为氢气、甲烷、乙烯、乙烷、乙炔五种气体。DL/T 722—2014[6]第10.2.4条c）指出，气体浓度低于10 μL/L时，比值精确度会迅速降低。五种气体都小于10 μL/L时，不再计算比值，判为数据不足。任一比值分母过小无法计算时，判为无对应编码。为与大卫三角形法对照，还将该标准表7故障类型对应到六代码（低温过热为T1，中温过热为T2，高温过热为T3，局部放电为PD，低能放电为D1，电弧放电为D2）；该对应只用于方法间核对，对外展示仍用该标准表7原文故障名称与三元组编码。</w:t>
      </w:r>
    </w:p>
    <w:p w14:paraId="71747613">
      <w:pPr>
        <w:pStyle w:val="4"/>
        <w:spacing w:before="156" w:beforeLines="50" w:after="156" w:afterLines="50" w:line="360" w:lineRule="auto"/>
        <w:ind w:left="0"/>
        <w:jc w:val="both"/>
        <w:rPr>
          <w:rFonts w:hint="eastAsia" w:eastAsia="黑体"/>
          <w:b w:val="0"/>
          <w:bCs/>
          <w:sz w:val="24"/>
          <w:szCs w:val="18"/>
        </w:rPr>
      </w:pPr>
      <w:bookmarkStart w:id="80" w:name="_Toc600944330"/>
      <w:bookmarkStart w:id="81" w:name="_Toc1642744608"/>
      <w:r>
        <w:rPr>
          <w:rFonts w:hint="eastAsia" w:eastAsia="黑体"/>
          <w:b w:val="0"/>
          <w:bCs/>
          <w:sz w:val="24"/>
          <w:szCs w:val="18"/>
        </w:rPr>
        <w:t>3.6 基于大卫三角形法的故障类型判断方法</w:t>
      </w:r>
      <w:bookmarkEnd w:id="80"/>
      <w:bookmarkEnd w:id="81"/>
    </w:p>
    <w:p w14:paraId="7ED042BF">
      <w:pPr>
        <w:pStyle w:val="3"/>
        <w:spacing w:before="0" w:after="0" w:line="360" w:lineRule="auto"/>
        <w:ind w:firstLine="420"/>
        <w:jc w:val="both"/>
      </w:pPr>
      <w:r>
        <w:rPr>
          <w:rFonts w:ascii="Times New Roman" w:hAnsi="Times New Roman" w:eastAsia="宋体" w:cs="Times New Roman"/>
          <w:sz w:val="24"/>
        </w:rPr>
        <w:t>大卫三角形法按DL/T 722—2014</w:t>
      </w:r>
      <w:r>
        <w:rPr>
          <w:rFonts w:ascii="Times New Roman" w:hAnsi="Times New Roman" w:eastAsia="宋体" w:cs="Times New Roman"/>
          <w:sz w:val="24"/>
          <w:vertAlign w:val="superscript"/>
        </w:rPr>
        <w:t>[6]</w:t>
      </w:r>
      <w:r>
        <w:rPr>
          <w:rFonts w:ascii="Times New Roman" w:hAnsi="Times New Roman" w:eastAsia="宋体" w:cs="Times New Roman"/>
          <w:sz w:val="24"/>
        </w:rPr>
        <w:t>附录C。取甲烷、乙烯、乙炔三种气体，按该标准附录C公式（C.1）至（C.3）换算为百分比坐标，再按该标准附录C图C.2在平面三角形中分区判定故障类型。该方法不依赖三比值编码表，对该标准表7未列出的编码组合仍可给出分区结果。</w:t>
      </w:r>
    </w:p>
    <w:p w14:paraId="5AE6B1E5">
      <w:pPr>
        <w:pStyle w:val="3"/>
        <w:spacing w:before="0" w:after="0" w:line="360" w:lineRule="auto"/>
        <w:ind w:firstLine="420"/>
        <w:jc w:val="both"/>
      </w:pPr>
      <w:r>
        <w:rPr>
          <w:rFonts w:ascii="Times New Roman" w:hAnsi="Times New Roman" w:eastAsia="宋体"/>
          <w:sz w:val="24"/>
          <w:szCs w:val="24"/>
        </w:rPr>
        <w:t>百分比坐标按该标准附录C下列公式计算：</w:t>
      </w:r>
    </w:p>
    <w:p w14:paraId="17F61B85">
      <w:pPr>
        <w:pStyle w:val="3"/>
        <w:tabs>
          <w:tab w:val="center" w:pos="4535"/>
          <w:tab w:val="right" w:pos="9071"/>
        </w:tabs>
        <w:spacing w:before="120" w:after="120" w:line="360" w:lineRule="auto"/>
        <w:jc w:val="left"/>
      </w:pPr>
      <w:r>
        <w:tab/>
      </w:r>
      <m:oMath>
        <m:box>
          <m:boxPr/>
          <m:e>
            <m:r>
              <m:rPr>
                <m:sty m:val="p"/>
              </m:rPr>
              <w:rPr>
                <w:rFonts w:ascii="Times New Roman" w:hAnsi="Times New Roman" w:cs="Times New Roman"/>
                <w:sz w:val="24"/>
                <w:szCs w:val="24"/>
              </w:rPr>
              <m:t>%</m:t>
            </m:r>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2</m:t>
                    </m:r>
                  </m:e>
                </m:box>
              </m:sub>
            </m:sSub>
            <m:sSub>
              <m:sSubPr/>
              <m:e>
                <m:r>
                  <m:rPr>
                    <m:sty m:val="p"/>
                  </m:rPr>
                  <w:rPr>
                    <w:rFonts w:ascii="Times New Roman" w:hAnsi="Times New Roman" w:cs="Times New Roman"/>
                    <w:sz w:val="24"/>
                    <w:szCs w:val="24"/>
                  </w:rPr>
                  <m:t>H</m:t>
                </m:r>
              </m:e>
              <m:sub>
                <m:box>
                  <m:boxPr/>
                  <m:e>
                    <m:r>
                      <m:rPr>
                        <m:sty m:val="p"/>
                      </m:rPr>
                      <w:rPr>
                        <w:rFonts w:ascii="Times New Roman" w:hAnsi="Times New Roman" w:cs="Times New Roman"/>
                        <w:sz w:val="24"/>
                        <w:szCs w:val="24"/>
                      </w:rPr>
                      <m:t>2</m:t>
                    </m:r>
                  </m:e>
                </m:box>
              </m:sub>
            </m:sSub>
            <m:r>
              <m:rPr>
                <m:sty m:val="p"/>
              </m:rPr>
              <w:rPr>
                <w:rFonts w:ascii="Times New Roman" w:hAnsi="Times New Roman" w:cs="Times New Roman"/>
                <w:sz w:val="24"/>
                <w:szCs w:val="24"/>
              </w:rPr>
              <m:t>=</m:t>
            </m:r>
            <m:f>
              <m:fPr/>
              <m:num>
                <m:box>
                  <m:boxPr/>
                  <m:e>
                    <m:r>
                      <m:rPr>
                        <m:sty m:val="p"/>
                      </m:rPr>
                      <w:rPr>
                        <w:rFonts w:ascii="Times New Roman" w:hAnsi="Times New Roman" w:cs="Times New Roman"/>
                        <w:sz w:val="34"/>
                        <w:szCs w:val="34"/>
                      </w:rPr>
                      <m:t>100X</m:t>
                    </m:r>
                  </m:e>
                </m:box>
              </m:num>
              <m:den>
                <m:box>
                  <m:boxPr/>
                  <m:e>
                    <m:r>
                      <m:rPr>
                        <m:sty m:val="p"/>
                      </m:rPr>
                      <w:rPr>
                        <w:rFonts w:ascii="Times New Roman" w:hAnsi="Times New Roman" w:cs="Times New Roman"/>
                        <w:sz w:val="34"/>
                        <w:szCs w:val="34"/>
                      </w:rPr>
                      <m:t>X+Y+Z</m:t>
                    </m:r>
                  </m:e>
                </m:box>
              </m:den>
            </m:f>
          </m:e>
        </m:box>
      </m:oMath>
      <w:r>
        <w:tab/>
      </w:r>
      <w:r>
        <w:rPr>
          <w:rFonts w:ascii="Times New Roman" w:hAnsi="Times New Roman" w:eastAsia="宋体"/>
          <w:sz w:val="24"/>
          <w:szCs w:val="24"/>
        </w:rPr>
        <w:t>（C.1）</w:t>
      </w:r>
    </w:p>
    <w:p w14:paraId="61C21B0B">
      <w:pPr>
        <w:pStyle w:val="3"/>
        <w:tabs>
          <w:tab w:val="center" w:pos="4535"/>
          <w:tab w:val="right" w:pos="9071"/>
        </w:tabs>
        <w:spacing w:before="120" w:after="120" w:line="360" w:lineRule="auto"/>
        <w:jc w:val="left"/>
      </w:pPr>
      <w:r>
        <w:tab/>
      </w:r>
      <m:oMath>
        <m:box>
          <m:boxPr/>
          <m:e>
            <m:r>
              <m:rPr>
                <m:sty m:val="p"/>
              </m:rPr>
              <w:rPr>
                <w:rFonts w:ascii="Times New Roman" w:hAnsi="Times New Roman" w:cs="Times New Roman"/>
                <w:sz w:val="24"/>
                <w:szCs w:val="24"/>
              </w:rPr>
              <m:t>%</m:t>
            </m:r>
            <m:sSub>
              <m:sSubPr/>
              <m:e>
                <m:r>
                  <m:rPr>
                    <m:sty m:val="p"/>
                  </m:rPr>
                  <w:rPr>
                    <w:rFonts w:ascii="Times New Roman" w:hAnsi="Times New Roman" w:cs="Times New Roman"/>
                    <w:sz w:val="24"/>
                    <w:szCs w:val="24"/>
                  </w:rPr>
                  <m:t>C</m:t>
                </m:r>
              </m:e>
              <m:sub>
                <m:box>
                  <m:boxPr/>
                  <m:e>
                    <m:r>
                      <m:rPr>
                        <m:sty m:val="p"/>
                      </m:rPr>
                      <w:rPr>
                        <w:rFonts w:ascii="Times New Roman" w:hAnsi="Times New Roman" w:cs="Times New Roman"/>
                        <w:sz w:val="24"/>
                        <w:szCs w:val="24"/>
                      </w:rPr>
                      <m:t>2</m:t>
                    </m:r>
                  </m:e>
                </m:box>
              </m:sub>
            </m:sSub>
            <m:sSub>
              <m:sSubPr/>
              <m:e>
                <m:r>
                  <m:rPr>
                    <m:sty m:val="p"/>
                  </m:rPr>
                  <w:rPr>
                    <w:rFonts w:ascii="Times New Roman" w:hAnsi="Times New Roman" w:cs="Times New Roman"/>
                    <w:sz w:val="24"/>
                    <w:szCs w:val="24"/>
                  </w:rPr>
                  <m:t>H</m:t>
                </m:r>
              </m:e>
              <m:sub>
                <m:box>
                  <m:boxPr/>
                  <m:e>
                    <m:r>
                      <m:rPr>
                        <m:sty m:val="p"/>
                      </m:rPr>
                      <w:rPr>
                        <w:rFonts w:ascii="Times New Roman" w:hAnsi="Times New Roman" w:cs="Times New Roman"/>
                        <w:sz w:val="24"/>
                        <w:szCs w:val="24"/>
                      </w:rPr>
                      <m:t>4</m:t>
                    </m:r>
                  </m:e>
                </m:box>
              </m:sub>
            </m:sSub>
            <m:r>
              <m:rPr>
                <m:sty m:val="p"/>
              </m:rPr>
              <w:rPr>
                <w:rFonts w:ascii="Times New Roman" w:hAnsi="Times New Roman" w:cs="Times New Roman"/>
                <w:sz w:val="24"/>
                <w:szCs w:val="24"/>
              </w:rPr>
              <m:t>=</m:t>
            </m:r>
            <m:f>
              <m:fPr/>
              <m:num>
                <m:box>
                  <m:boxPr/>
                  <m:e>
                    <m:r>
                      <m:rPr>
                        <m:sty m:val="p"/>
                      </m:rPr>
                      <w:rPr>
                        <w:rFonts w:ascii="Times New Roman" w:hAnsi="Times New Roman" w:cs="Times New Roman"/>
                        <w:sz w:val="34"/>
                        <w:szCs w:val="34"/>
                      </w:rPr>
                      <m:t>100Y</m:t>
                    </m:r>
                  </m:e>
                </m:box>
              </m:num>
              <m:den>
                <m:box>
                  <m:boxPr/>
                  <m:e>
                    <m:r>
                      <m:rPr>
                        <m:sty m:val="p"/>
                      </m:rPr>
                      <w:rPr>
                        <w:rFonts w:ascii="Times New Roman" w:hAnsi="Times New Roman" w:cs="Times New Roman"/>
                        <w:sz w:val="34"/>
                        <w:szCs w:val="34"/>
                      </w:rPr>
                      <m:t>X+Y+Z</m:t>
                    </m:r>
                  </m:e>
                </m:box>
              </m:den>
            </m:f>
          </m:e>
        </m:box>
      </m:oMath>
      <w:r>
        <w:tab/>
      </w:r>
      <w:r>
        <w:rPr>
          <w:rFonts w:ascii="Times New Roman" w:hAnsi="Times New Roman" w:eastAsia="宋体"/>
          <w:sz w:val="24"/>
          <w:szCs w:val="24"/>
        </w:rPr>
        <w:t>（C.2）</w:t>
      </w:r>
    </w:p>
    <w:p w14:paraId="5E5700CC">
      <w:pPr>
        <w:pStyle w:val="3"/>
        <w:tabs>
          <w:tab w:val="center" w:pos="4535"/>
          <w:tab w:val="right" w:pos="9071"/>
        </w:tabs>
        <w:spacing w:before="120" w:after="120" w:line="360" w:lineRule="auto"/>
        <w:jc w:val="left"/>
      </w:pPr>
      <w:r>
        <w:tab/>
      </w:r>
      <m:oMath>
        <m:box>
          <m:boxPr/>
          <m:e>
            <m:r>
              <m:rPr>
                <m:sty m:val="p"/>
              </m:rPr>
              <w:rPr>
                <w:rFonts w:ascii="Times New Roman" w:hAnsi="Times New Roman" w:cs="Times New Roman"/>
                <w:sz w:val="24"/>
                <w:szCs w:val="24"/>
              </w:rPr>
              <m:t>%C</m:t>
            </m:r>
            <m:sSub>
              <m:sSubPr/>
              <m:e>
                <m:r>
                  <m:rPr>
                    <m:sty m:val="p"/>
                  </m:rPr>
                  <w:rPr>
                    <w:rFonts w:ascii="Times New Roman" w:hAnsi="Times New Roman" w:cs="Times New Roman"/>
                    <w:sz w:val="24"/>
                    <w:szCs w:val="24"/>
                  </w:rPr>
                  <m:t>H</m:t>
                </m:r>
              </m:e>
              <m:sub>
                <m:box>
                  <m:boxPr/>
                  <m:e>
                    <m:r>
                      <m:rPr>
                        <m:sty m:val="p"/>
                      </m:rPr>
                      <w:rPr>
                        <w:rFonts w:ascii="Times New Roman" w:hAnsi="Times New Roman" w:cs="Times New Roman"/>
                        <w:sz w:val="24"/>
                        <w:szCs w:val="24"/>
                      </w:rPr>
                      <m:t>4</m:t>
                    </m:r>
                  </m:e>
                </m:box>
              </m:sub>
            </m:sSub>
            <m:r>
              <m:rPr>
                <m:sty m:val="p"/>
              </m:rPr>
              <w:rPr>
                <w:rFonts w:ascii="Times New Roman" w:hAnsi="Times New Roman" w:cs="Times New Roman"/>
                <w:sz w:val="24"/>
                <w:szCs w:val="24"/>
              </w:rPr>
              <m:t>=</m:t>
            </m:r>
            <m:f>
              <m:fPr/>
              <m:num>
                <m:box>
                  <m:boxPr/>
                  <m:e>
                    <m:r>
                      <m:rPr>
                        <m:sty m:val="p"/>
                      </m:rPr>
                      <w:rPr>
                        <w:rFonts w:ascii="Times New Roman" w:hAnsi="Times New Roman" w:cs="Times New Roman"/>
                        <w:sz w:val="34"/>
                        <w:szCs w:val="34"/>
                      </w:rPr>
                      <m:t>100Z</m:t>
                    </m:r>
                  </m:e>
                </m:box>
              </m:num>
              <m:den>
                <m:box>
                  <m:boxPr/>
                  <m:e>
                    <m:r>
                      <m:rPr>
                        <m:sty m:val="p"/>
                      </m:rPr>
                      <w:rPr>
                        <w:rFonts w:ascii="Times New Roman" w:hAnsi="Times New Roman" w:cs="Times New Roman"/>
                        <w:sz w:val="34"/>
                        <w:szCs w:val="34"/>
                      </w:rPr>
                      <m:t>X+Y+Z</m:t>
                    </m:r>
                  </m:e>
                </m:box>
              </m:den>
            </m:f>
          </m:e>
        </m:box>
      </m:oMath>
      <w:r>
        <w:tab/>
      </w:r>
      <w:r>
        <w:rPr>
          <w:rFonts w:ascii="Times New Roman" w:hAnsi="Times New Roman" w:eastAsia="宋体"/>
          <w:sz w:val="24"/>
          <w:szCs w:val="24"/>
        </w:rPr>
        <w:t>（C.3）</w:t>
      </w:r>
    </w:p>
    <w:p w14:paraId="6DCDD925">
      <w:pPr>
        <w:pStyle w:val="3"/>
        <w:spacing w:before="0" w:after="0" w:line="360" w:lineRule="auto"/>
        <w:ind w:firstLine="420"/>
      </w:pPr>
      <w:r>
        <w:rPr>
          <w:rFonts w:ascii="Times New Roman" w:hAnsi="Times New Roman" w:eastAsia="宋体"/>
          <w:sz w:val="24"/>
          <w:szCs w:val="24"/>
        </w:rPr>
        <w:t>式中：</w:t>
      </w:r>
    </w:p>
    <w:p w14:paraId="758461B9">
      <w:pPr>
        <w:pStyle w:val="3"/>
        <w:spacing w:before="0" w:after="0" w:line="360" w:lineRule="auto"/>
        <w:ind w:firstLine="420"/>
      </w:pPr>
      <w:r>
        <w:rPr>
          <w:rFonts w:ascii="Times New Roman" w:hAnsi="Times New Roman" w:eastAsia="宋体"/>
          <w:sz w:val="24"/>
          <w:szCs w:val="24"/>
        </w:rPr>
        <w:t>X——</w:t>
      </w:r>
      <w:r>
        <w:rPr>
          <w:rFonts w:ascii="Times New Roman" w:hAnsi="Times New Roman"/>
          <w:sz w:val="24"/>
          <w:szCs w:val="24"/>
        </w:rPr>
        <w:t>C</w:t>
      </w:r>
      <w:r>
        <w:rPr>
          <w:rFonts w:ascii="Times New Roman" w:hAnsi="Times New Roman"/>
          <w:sz w:val="24"/>
          <w:szCs w:val="24"/>
          <w:vertAlign w:val="subscript"/>
        </w:rPr>
        <w:t>2</w:t>
      </w:r>
      <w:r>
        <w:rPr>
          <w:rFonts w:ascii="Times New Roman" w:hAnsi="Times New Roman"/>
          <w:sz w:val="24"/>
          <w:szCs w:val="24"/>
        </w:rPr>
        <w:t>H</w:t>
      </w:r>
      <w:r>
        <w:rPr>
          <w:rFonts w:ascii="Times New Roman" w:hAnsi="Times New Roman"/>
          <w:sz w:val="24"/>
          <w:szCs w:val="24"/>
          <w:vertAlign w:val="subscript"/>
        </w:rPr>
        <w:t>2</w:t>
      </w:r>
      <w:r>
        <w:rPr>
          <w:rFonts w:ascii="Times New Roman" w:hAnsi="Times New Roman" w:eastAsia="宋体"/>
          <w:sz w:val="24"/>
          <w:szCs w:val="24"/>
        </w:rPr>
        <w:t>含量，μL/L；</w:t>
      </w:r>
    </w:p>
    <w:p w14:paraId="6C916F6C">
      <w:pPr>
        <w:pStyle w:val="3"/>
        <w:spacing w:before="0" w:after="0" w:line="360" w:lineRule="auto"/>
        <w:ind w:firstLine="420"/>
      </w:pPr>
      <w:r>
        <w:rPr>
          <w:rFonts w:ascii="Times New Roman" w:hAnsi="Times New Roman" w:eastAsia="宋体"/>
          <w:sz w:val="24"/>
          <w:szCs w:val="24"/>
        </w:rPr>
        <w:t>Y——</w:t>
      </w:r>
      <w:r>
        <w:rPr>
          <w:rFonts w:ascii="Times New Roman" w:hAnsi="Times New Roman"/>
          <w:sz w:val="24"/>
          <w:szCs w:val="24"/>
        </w:rPr>
        <w:t>C</w:t>
      </w:r>
      <w:r>
        <w:rPr>
          <w:rFonts w:ascii="Times New Roman" w:hAnsi="Times New Roman"/>
          <w:sz w:val="24"/>
          <w:szCs w:val="24"/>
          <w:vertAlign w:val="subscript"/>
        </w:rPr>
        <w:t>2</w:t>
      </w:r>
      <w:r>
        <w:rPr>
          <w:rFonts w:ascii="Times New Roman" w:hAnsi="Times New Roman"/>
          <w:sz w:val="24"/>
          <w:szCs w:val="24"/>
        </w:rPr>
        <w:t>H</w:t>
      </w:r>
      <w:r>
        <w:rPr>
          <w:rFonts w:ascii="Times New Roman" w:hAnsi="Times New Roman"/>
          <w:sz w:val="24"/>
          <w:szCs w:val="24"/>
          <w:vertAlign w:val="subscript"/>
        </w:rPr>
        <w:t>4</w:t>
      </w:r>
      <w:r>
        <w:rPr>
          <w:rFonts w:ascii="Times New Roman" w:hAnsi="Times New Roman" w:eastAsia="宋体"/>
          <w:sz w:val="24"/>
          <w:szCs w:val="24"/>
        </w:rPr>
        <w:t>含量，μL/L；</w:t>
      </w:r>
    </w:p>
    <w:p w14:paraId="0A60C410">
      <w:pPr>
        <w:pStyle w:val="3"/>
        <w:spacing w:before="0" w:after="0" w:line="360" w:lineRule="auto"/>
        <w:ind w:firstLine="420"/>
      </w:pPr>
      <w:r>
        <w:rPr>
          <w:rFonts w:ascii="Times New Roman" w:hAnsi="Times New Roman" w:eastAsia="宋体"/>
          <w:sz w:val="24"/>
          <w:szCs w:val="24"/>
        </w:rPr>
        <w:t>Z——</w:t>
      </w:r>
      <w:r>
        <w:rPr>
          <w:rFonts w:ascii="Times New Roman" w:hAnsi="Times New Roman"/>
          <w:sz w:val="24"/>
          <w:szCs w:val="24"/>
        </w:rPr>
        <w:t>CH</w:t>
      </w:r>
      <w:r>
        <w:rPr>
          <w:rFonts w:ascii="Times New Roman" w:hAnsi="Times New Roman"/>
          <w:sz w:val="24"/>
          <w:szCs w:val="24"/>
          <w:vertAlign w:val="subscript"/>
        </w:rPr>
        <w:t>4</w:t>
      </w:r>
      <w:r>
        <w:rPr>
          <w:rFonts w:ascii="Times New Roman" w:hAnsi="Times New Roman" w:eastAsia="宋体"/>
          <w:sz w:val="24"/>
          <w:szCs w:val="24"/>
        </w:rPr>
        <w:t>含量，μL/L。</w:t>
      </w:r>
    </w:p>
    <w:p w14:paraId="0DAE435E">
      <w:pPr>
        <w:pStyle w:val="3"/>
        <w:spacing w:before="0" w:after="0" w:line="360" w:lineRule="auto"/>
        <w:ind w:firstLine="420"/>
        <w:jc w:val="both"/>
      </w:pPr>
      <w:r>
        <w:rPr>
          <w:rFonts w:ascii="Times New Roman" w:hAnsi="Times New Roman" w:eastAsia="宋体" w:cs="Times New Roman"/>
          <w:sz w:val="24"/>
        </w:rPr>
        <w:t>该标准附录C图C.2的分区示意如图3.2所示。各区故障类型与该标准附录C表C.1一致，整理如表3.4所示。</w:t>
      </w:r>
    </w:p>
    <w:p w14:paraId="5E65A3CA">
      <w:pPr>
        <w:spacing w:before="120" w:after="60"/>
        <w:ind w:firstLine="0"/>
        <w:jc w:val="center"/>
      </w:pPr>
      <w:r>
        <w:rPr>
          <w:rFonts w:ascii="Times New Roman" w:hAnsi="Times New Roman" w:eastAsia="宋体" w:cs="Times New Roman"/>
          <w:b w:val="0"/>
          <w:sz w:val="24"/>
          <w:szCs w:val="24"/>
        </w:rPr>
        <w:drawing>
          <wp:inline distT="0" distB="0" distL="114300" distR="114300">
            <wp:extent cx="2608580" cy="2643505"/>
            <wp:effectExtent l="0" t="0" r="7620" b="234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9"/>
                    <a:stretch>
                      <a:fillRect/>
                    </a:stretch>
                  </pic:blipFill>
                  <pic:spPr>
                    <a:xfrm>
                      <a:off x="0" y="0"/>
                      <a:ext cx="2608580" cy="2643505"/>
                    </a:xfrm>
                    <a:prstGeom prst="rect">
                      <a:avLst/>
                    </a:prstGeom>
                  </pic:spPr>
                </pic:pic>
              </a:graphicData>
            </a:graphic>
          </wp:inline>
        </w:drawing>
      </w:r>
    </w:p>
    <w:p w14:paraId="5C03B585">
      <w:pPr>
        <w:pStyle w:val="15"/>
        <w:spacing w:before="120" w:after="120" w:line="360" w:lineRule="auto"/>
        <w:ind w:firstLine="0"/>
        <w:jc w:val="center"/>
      </w:pPr>
      <w:r>
        <w:rPr>
          <w:rFonts w:ascii="Times New Roman" w:hAnsi="Times New Roman" w:eastAsia="宋体" w:cs="Times New Roman"/>
          <w:sz w:val="24"/>
        </w:rPr>
        <w:t>图3.2　大卫三角形法分区示意（对应DL/T 722—2014附录C图C.2）</w:t>
      </w:r>
    </w:p>
    <w:p w14:paraId="2098B025">
      <w:pPr>
        <w:pStyle w:val="15"/>
        <w:spacing w:before="120" w:after="120" w:line="360" w:lineRule="auto"/>
        <w:ind w:firstLine="0"/>
        <w:jc w:val="center"/>
      </w:pPr>
      <w:r>
        <w:rPr>
          <w:rFonts w:ascii="Times New Roman" w:hAnsi="Times New Roman" w:eastAsia="宋体" w:cs="Times New Roman"/>
          <w:sz w:val="24"/>
        </w:rPr>
        <w:t>表3.4　DL/T 722—2014</w:t>
      </w:r>
      <w:r>
        <w:rPr>
          <w:rFonts w:ascii="Times New Roman" w:hAnsi="Times New Roman" w:eastAsia="宋体" w:cs="Times New Roman"/>
          <w:sz w:val="24"/>
          <w:vertAlign w:val="superscript"/>
        </w:rPr>
        <w:t>[6]</w:t>
      </w:r>
      <w:r>
        <w:rPr>
          <w:rFonts w:ascii="Times New Roman" w:hAnsi="Times New Roman" w:eastAsia="宋体" w:cs="Times New Roman"/>
          <w:sz w:val="24"/>
        </w:rPr>
        <w:t>附录C表C.1故障类型分区</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536"/>
        <w:gridCol w:w="4536"/>
      </w:tblGrid>
      <w:tr w14:paraId="047BD078">
        <w:tc>
          <w:tcPr>
            <w:tcW w:w="4536" w:type="dxa"/>
            <w:tcBorders>
              <w:bottom w:val="single" w:color="000000" w:sz="6" w:space="0"/>
            </w:tcBorders>
          </w:tcPr>
          <w:p w14:paraId="34EC39B8">
            <w:pPr>
              <w:spacing w:before="40" w:after="40" w:line="276" w:lineRule="auto"/>
              <w:jc w:val="center"/>
            </w:pPr>
            <w:r>
              <w:rPr>
                <w:rFonts w:ascii="Times New Roman" w:hAnsi="Times New Roman" w:eastAsia="宋体" w:cs="Times New Roman"/>
                <w:sz w:val="21"/>
                <w:szCs w:val="21"/>
              </w:rPr>
              <w:t>区代码</w:t>
            </w:r>
          </w:p>
        </w:tc>
        <w:tc>
          <w:tcPr>
            <w:tcW w:w="4536" w:type="dxa"/>
            <w:tcBorders>
              <w:bottom w:val="single" w:color="000000" w:sz="6" w:space="0"/>
            </w:tcBorders>
          </w:tcPr>
          <w:p w14:paraId="00F545D0">
            <w:pPr>
              <w:spacing w:before="40" w:after="40" w:line="276" w:lineRule="auto"/>
              <w:jc w:val="center"/>
            </w:pPr>
            <w:r>
              <w:rPr>
                <w:rFonts w:ascii="Times New Roman" w:hAnsi="Times New Roman" w:eastAsia="宋体" w:cs="Times New Roman"/>
                <w:sz w:val="21"/>
                <w:szCs w:val="21"/>
              </w:rPr>
              <w:t>故障类型</w:t>
            </w:r>
          </w:p>
        </w:tc>
      </w:tr>
      <w:tr w14:paraId="5AF43771">
        <w:tc>
          <w:tcPr>
            <w:tcW w:w="4536" w:type="dxa"/>
          </w:tcPr>
          <w:p w14:paraId="65DB6395">
            <w:pPr>
              <w:spacing w:before="40" w:after="40" w:line="276" w:lineRule="auto"/>
              <w:jc w:val="center"/>
            </w:pPr>
            <w:r>
              <w:rPr>
                <w:rFonts w:ascii="Times New Roman" w:hAnsi="Times New Roman" w:eastAsia="宋体" w:cs="Times New Roman"/>
                <w:sz w:val="21"/>
                <w:szCs w:val="21"/>
              </w:rPr>
              <w:t>PD</w:t>
            </w:r>
          </w:p>
        </w:tc>
        <w:tc>
          <w:tcPr>
            <w:tcW w:w="4536" w:type="dxa"/>
          </w:tcPr>
          <w:p w14:paraId="0A448E87">
            <w:pPr>
              <w:spacing w:before="40" w:after="40" w:line="276" w:lineRule="auto"/>
              <w:jc w:val="center"/>
            </w:pPr>
            <w:r>
              <w:rPr>
                <w:rFonts w:ascii="Times New Roman" w:hAnsi="Times New Roman" w:eastAsia="宋体" w:cs="Times New Roman"/>
                <w:sz w:val="21"/>
                <w:szCs w:val="21"/>
              </w:rPr>
              <w:t>局部放电</w:t>
            </w:r>
          </w:p>
        </w:tc>
      </w:tr>
      <w:tr w14:paraId="3ACB5184">
        <w:tc>
          <w:tcPr>
            <w:tcW w:w="4536" w:type="dxa"/>
          </w:tcPr>
          <w:p w14:paraId="0651862A">
            <w:pPr>
              <w:spacing w:before="40" w:after="40" w:line="276" w:lineRule="auto"/>
              <w:jc w:val="center"/>
            </w:pPr>
            <w:r>
              <w:rPr>
                <w:rFonts w:ascii="Times New Roman" w:hAnsi="Times New Roman" w:eastAsia="宋体" w:cs="Times New Roman"/>
                <w:sz w:val="21"/>
                <w:szCs w:val="21"/>
              </w:rPr>
              <w:t>D1</w:t>
            </w:r>
          </w:p>
        </w:tc>
        <w:tc>
          <w:tcPr>
            <w:tcW w:w="4536" w:type="dxa"/>
          </w:tcPr>
          <w:p w14:paraId="3AF496F8">
            <w:pPr>
              <w:spacing w:before="40" w:after="40" w:line="276" w:lineRule="auto"/>
              <w:jc w:val="center"/>
            </w:pPr>
            <w:r>
              <w:rPr>
                <w:rFonts w:ascii="Times New Roman" w:hAnsi="Times New Roman" w:eastAsia="宋体" w:cs="Times New Roman"/>
                <w:sz w:val="21"/>
                <w:szCs w:val="21"/>
              </w:rPr>
              <w:t>低能放电</w:t>
            </w:r>
          </w:p>
        </w:tc>
      </w:tr>
      <w:tr w14:paraId="25F6F879">
        <w:tc>
          <w:tcPr>
            <w:tcW w:w="4536" w:type="dxa"/>
          </w:tcPr>
          <w:p w14:paraId="120FF321">
            <w:pPr>
              <w:spacing w:before="40" w:after="40" w:line="276" w:lineRule="auto"/>
              <w:jc w:val="center"/>
            </w:pPr>
            <w:r>
              <w:rPr>
                <w:rFonts w:ascii="Times New Roman" w:hAnsi="Times New Roman" w:eastAsia="宋体" w:cs="Times New Roman"/>
                <w:sz w:val="21"/>
                <w:szCs w:val="21"/>
              </w:rPr>
              <w:t>D2</w:t>
            </w:r>
          </w:p>
        </w:tc>
        <w:tc>
          <w:tcPr>
            <w:tcW w:w="4536" w:type="dxa"/>
          </w:tcPr>
          <w:p w14:paraId="654AC72D">
            <w:pPr>
              <w:spacing w:before="40" w:after="40" w:line="276" w:lineRule="auto"/>
              <w:jc w:val="center"/>
            </w:pPr>
            <w:r>
              <w:rPr>
                <w:rFonts w:ascii="Times New Roman" w:hAnsi="Times New Roman" w:eastAsia="宋体" w:cs="Times New Roman"/>
                <w:sz w:val="21"/>
                <w:szCs w:val="21"/>
              </w:rPr>
              <w:t>高能放电</w:t>
            </w:r>
          </w:p>
        </w:tc>
      </w:tr>
      <w:tr w14:paraId="1391A132">
        <w:tc>
          <w:tcPr>
            <w:tcW w:w="4536" w:type="dxa"/>
          </w:tcPr>
          <w:p w14:paraId="00B95BA3">
            <w:pPr>
              <w:spacing w:before="40" w:after="40" w:line="276" w:lineRule="auto"/>
              <w:jc w:val="center"/>
            </w:pPr>
            <w:r>
              <w:rPr>
                <w:rFonts w:ascii="Times New Roman" w:hAnsi="Times New Roman" w:eastAsia="宋体" w:cs="Times New Roman"/>
                <w:sz w:val="21"/>
                <w:szCs w:val="21"/>
              </w:rPr>
              <w:t>T1</w:t>
            </w:r>
          </w:p>
        </w:tc>
        <w:tc>
          <w:tcPr>
            <w:tcW w:w="4536" w:type="dxa"/>
          </w:tcPr>
          <w:p w14:paraId="2ADDFDF3">
            <w:pPr>
              <w:spacing w:before="40" w:after="40" w:line="276" w:lineRule="auto"/>
              <w:jc w:val="center"/>
            </w:pPr>
            <w:r>
              <w:rPr>
                <w:rFonts w:ascii="Times New Roman" w:hAnsi="Times New Roman" w:eastAsia="宋体" w:cs="Times New Roman"/>
                <w:sz w:val="21"/>
                <w:szCs w:val="21"/>
              </w:rPr>
              <w:t>热故障（＜300 ℃）</w:t>
            </w:r>
          </w:p>
        </w:tc>
      </w:tr>
      <w:tr w14:paraId="04722DA7">
        <w:tc>
          <w:tcPr>
            <w:tcW w:w="4536" w:type="dxa"/>
          </w:tcPr>
          <w:p w14:paraId="3AFCF998">
            <w:pPr>
              <w:spacing w:before="40" w:after="40" w:line="276" w:lineRule="auto"/>
              <w:jc w:val="center"/>
            </w:pPr>
            <w:r>
              <w:rPr>
                <w:rFonts w:ascii="Times New Roman" w:hAnsi="Times New Roman" w:eastAsia="宋体" w:cs="Times New Roman"/>
                <w:sz w:val="21"/>
                <w:szCs w:val="21"/>
              </w:rPr>
              <w:t>T2</w:t>
            </w:r>
          </w:p>
        </w:tc>
        <w:tc>
          <w:tcPr>
            <w:tcW w:w="4536" w:type="dxa"/>
          </w:tcPr>
          <w:p w14:paraId="76418F0B">
            <w:pPr>
              <w:spacing w:before="40" w:after="40" w:line="276" w:lineRule="auto"/>
              <w:jc w:val="center"/>
            </w:pPr>
            <w:r>
              <w:rPr>
                <w:rFonts w:ascii="Times New Roman" w:hAnsi="Times New Roman" w:eastAsia="宋体" w:cs="Times New Roman"/>
                <w:sz w:val="21"/>
                <w:szCs w:val="21"/>
              </w:rPr>
              <w:t>热故障（300 ℃～700 ℃）</w:t>
            </w:r>
          </w:p>
        </w:tc>
      </w:tr>
      <w:tr w14:paraId="5C079E9D">
        <w:tc>
          <w:tcPr>
            <w:tcW w:w="4536" w:type="dxa"/>
          </w:tcPr>
          <w:p w14:paraId="3DE89A51">
            <w:pPr>
              <w:spacing w:before="40" w:after="40" w:line="276" w:lineRule="auto"/>
              <w:jc w:val="center"/>
            </w:pPr>
            <w:r>
              <w:rPr>
                <w:rFonts w:ascii="Times New Roman" w:hAnsi="Times New Roman" w:eastAsia="宋体" w:cs="Times New Roman"/>
                <w:sz w:val="21"/>
                <w:szCs w:val="21"/>
              </w:rPr>
              <w:t>T3</w:t>
            </w:r>
          </w:p>
        </w:tc>
        <w:tc>
          <w:tcPr>
            <w:tcW w:w="4536" w:type="dxa"/>
          </w:tcPr>
          <w:p w14:paraId="4F4A9C20">
            <w:pPr>
              <w:spacing w:before="40" w:after="40" w:line="276" w:lineRule="auto"/>
              <w:jc w:val="center"/>
            </w:pPr>
            <w:r>
              <w:rPr>
                <w:rFonts w:ascii="Times New Roman" w:hAnsi="Times New Roman" w:eastAsia="宋体" w:cs="Times New Roman"/>
                <w:sz w:val="21"/>
                <w:szCs w:val="21"/>
              </w:rPr>
              <w:t>热故障（＞700 ℃）</w:t>
            </w:r>
          </w:p>
        </w:tc>
      </w:tr>
      <w:tr w14:paraId="7C91A96D">
        <w:tc>
          <w:tcPr>
            <w:tcW w:w="4536" w:type="dxa"/>
          </w:tcPr>
          <w:p w14:paraId="35B0089B">
            <w:pPr>
              <w:spacing w:before="40" w:after="40" w:line="276" w:lineRule="auto"/>
              <w:jc w:val="center"/>
            </w:pPr>
            <w:r>
              <w:rPr>
                <w:rFonts w:ascii="Times New Roman" w:hAnsi="Times New Roman" w:eastAsia="宋体" w:cs="Times New Roman"/>
                <w:sz w:val="21"/>
                <w:szCs w:val="21"/>
              </w:rPr>
              <w:t>D+T</w:t>
            </w:r>
          </w:p>
        </w:tc>
        <w:tc>
          <w:tcPr>
            <w:tcW w:w="4536" w:type="dxa"/>
          </w:tcPr>
          <w:p w14:paraId="52E926D8">
            <w:pPr>
              <w:spacing w:before="40" w:after="40" w:line="276" w:lineRule="auto"/>
              <w:jc w:val="center"/>
            </w:pPr>
            <w:r>
              <w:rPr>
                <w:rFonts w:ascii="Times New Roman" w:hAnsi="Times New Roman" w:eastAsia="宋体" w:cs="Times New Roman"/>
                <w:sz w:val="21"/>
                <w:szCs w:val="21"/>
              </w:rPr>
              <w:t>放电兼过热</w:t>
            </w:r>
          </w:p>
        </w:tc>
      </w:tr>
    </w:tbl>
    <w:p w14:paraId="796E9398"/>
    <w:p w14:paraId="477B41A0">
      <w:pPr>
        <w:pStyle w:val="3"/>
        <w:spacing w:before="0" w:after="0" w:line="360" w:lineRule="auto"/>
        <w:ind w:firstLine="420"/>
        <w:jc w:val="both"/>
      </w:pPr>
      <w:r>
        <w:rPr>
          <w:rFonts w:ascii="Times New Roman" w:hAnsi="Times New Roman" w:eastAsia="宋体" w:cs="Times New Roman"/>
          <w:sz w:val="24"/>
        </w:rPr>
        <w:t>甲烷、乙烯、乙炔缺测，或三者浓度之和过小时，判为数据不足。分区按图3.2边界落区，输出区代码、故障名称及三种气体的百分比。</w:t>
      </w:r>
    </w:p>
    <w:p w14:paraId="16E494A0">
      <w:pPr>
        <w:pStyle w:val="4"/>
        <w:spacing w:before="156" w:beforeLines="50" w:after="156" w:afterLines="50" w:line="360" w:lineRule="auto"/>
        <w:ind w:left="0"/>
        <w:jc w:val="both"/>
        <w:rPr>
          <w:rFonts w:hint="eastAsia" w:eastAsia="黑体"/>
          <w:b w:val="0"/>
          <w:bCs/>
          <w:sz w:val="24"/>
          <w:szCs w:val="18"/>
        </w:rPr>
      </w:pPr>
      <w:bookmarkStart w:id="82" w:name="_Toc455762469"/>
      <w:bookmarkStart w:id="83" w:name="_Toc1558860824"/>
      <w:r>
        <w:rPr>
          <w:rFonts w:hint="eastAsia" w:eastAsia="黑体"/>
          <w:b w:val="0"/>
          <w:bCs/>
          <w:sz w:val="24"/>
          <w:szCs w:val="18"/>
        </w:rPr>
        <w:t>3.7 多规则协同判断与可信度标注方法</w:t>
      </w:r>
      <w:bookmarkEnd w:id="82"/>
      <w:bookmarkEnd w:id="83"/>
    </w:p>
    <w:p w14:paraId="4C9F7A9E">
      <w:pPr>
        <w:pStyle w:val="3"/>
        <w:spacing w:before="0" w:after="0" w:line="360" w:lineRule="auto"/>
        <w:ind w:firstLine="420"/>
        <w:jc w:val="both"/>
      </w:pPr>
      <w:r>
        <w:rPr>
          <w:rFonts w:ascii="Times New Roman" w:hAnsi="Times New Roman" w:eastAsia="宋体" w:cs="Times New Roman"/>
          <w:sz w:val="24"/>
          <w:szCs w:val="24"/>
        </w:rPr>
        <w:t>特征气体法、三比值法与大卫三角形法单独使用时，在边界样本上可能给出不同结论。DL/T 722—2014[6]要求几种方法相互印证。本章在三法各自算完后做交叉研判：按固定优先级只取一个对外故障名称，再核对这些结果在过热与放电性质上是否矛盾，最后按表3.5标注可信度。不做简单投票。需要说明的是，主结论优先级、编码一致性核对与可信度标注都为本文为系统实现制定的协同规则，用于将多种判据汇总为单一输出；行业标准提供的是各单项判据及其应用原则。</w:t>
      </w:r>
    </w:p>
    <w:p w14:paraId="277E7E22">
      <w:pPr>
        <w:pStyle w:val="3"/>
        <w:keepNext w:val="0"/>
        <w:keepLines w:val="0"/>
        <w:pageBreakBefore w:val="0"/>
        <w:widowControl w:val="0"/>
        <w:numPr>
          <w:ilvl w:val="0"/>
          <w:numId w:val="11"/>
        </w:numPr>
        <w:kinsoku/>
        <w:wordWrap/>
        <w:overflowPunct/>
        <w:topLinePunct w:val="0"/>
        <w:autoSpaceDE/>
        <w:autoSpaceDN/>
        <w:bidi w:val="0"/>
        <w:adjustRightInd/>
        <w:snapToGrid/>
        <w:spacing w:before="0" w:after="0" w:line="360" w:lineRule="auto"/>
        <w:ind w:left="0" w:leftChars="0" w:firstLine="425" w:firstLineChars="0"/>
        <w:jc w:val="both"/>
        <w:textAlignment w:val="auto"/>
        <w:rPr>
          <w:rFonts w:ascii="Times New Roman" w:hAnsi="Times New Roman" w:eastAsia="宋体" w:cs="Times New Roman"/>
          <w:sz w:val="24"/>
          <w:szCs w:val="24"/>
        </w:rPr>
      </w:pPr>
      <w:r>
        <w:rPr>
          <w:rFonts w:ascii="Times New Roman" w:hAnsi="Times New Roman" w:eastAsia="宋体" w:cs="Times New Roman"/>
          <w:sz w:val="24"/>
        </w:rPr>
        <w:t>（1）三法各自独立计算。特征气体法、三比值法与大卫三角形法互不依赖，分别给出各自结果（见第3.4节至第3.6节）。三比值法与大卫三角形法共用六代码口径，便于对照；特征气体法保留该标准表5原话，不硬改成六代码。</w:t>
      </w:r>
    </w:p>
    <w:p w14:paraId="667569E5">
      <w:pPr>
        <w:pStyle w:val="3"/>
        <w:keepNext w:val="0"/>
        <w:keepLines w:val="0"/>
        <w:pageBreakBefore w:val="0"/>
        <w:widowControl w:val="0"/>
        <w:numPr>
          <w:ilvl w:val="0"/>
          <w:numId w:val="11"/>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2）按优先级确定主结论。对外只保留一个故障名称，顺序为：大卫三角形法有效时用其结果；否则用三比值法；再否则用特征气体法；三者都无效则判为无法判定。这样排，是因为大卫三角形法与三比值法共用同一套故障编码，便于互相比对；特征气体法偏定性、边界较粗，用作后备。</w:t>
      </w:r>
    </w:p>
    <w:p w14:paraId="0D6DD8E4">
      <w:pPr>
        <w:pStyle w:val="3"/>
        <w:keepNext w:val="0"/>
        <w:keepLines w:val="0"/>
        <w:pageBreakBefore w:val="0"/>
        <w:widowControl w:val="0"/>
        <w:numPr>
          <w:ilvl w:val="0"/>
          <w:numId w:val="11"/>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3）核对性质是否一致。把各法结果归到过热、放电、放电兼过热三类。若至少两种方法分别给出纯过热与纯放电，判为性质不一致；若纯过热或纯放电意见一致，或出现放电兼过热，则判为一致。另将三比值六代码与大卫三角形区代码对照：二者相同，或属于相邻区域，视为编码一致；否则视为编码不一致。相邻判定用来避免编码落在交界附近时被当成硬冲突。</w:t>
      </w:r>
    </w:p>
    <w:p w14:paraId="229BE14E">
      <w:pPr>
        <w:pStyle w:val="3"/>
        <w:keepNext w:val="0"/>
        <w:keepLines w:val="0"/>
        <w:pageBreakBefore w:val="0"/>
        <w:widowControl w:val="0"/>
        <w:numPr>
          <w:ilvl w:val="0"/>
          <w:numId w:val="11"/>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rPr>
        <w:t>（4）标注可信度。主结论与性质核对完成后，按表3.5依次判断，先命中的规则生效，给出高、中、低三档。可信度为低时，结论标为暂定，试验建议用“核实”措辞；否则用“推荐”措辞。</w:t>
      </w:r>
    </w:p>
    <w:p w14:paraId="1F1066C8">
      <w:pPr>
        <w:pStyle w:val="15"/>
        <w:spacing w:before="120" w:after="120" w:line="360" w:lineRule="auto"/>
        <w:ind w:firstLine="0"/>
        <w:jc w:val="center"/>
      </w:pPr>
      <w:r>
        <w:rPr>
          <w:rFonts w:ascii="Times New Roman" w:hAnsi="Times New Roman" w:eastAsia="黑体" w:cs="Times New Roman"/>
          <w:b/>
          <w:bCs/>
          <w:sz w:val="21"/>
          <w:szCs w:val="21"/>
        </w:rPr>
        <w:t>表3.5　交叉研判可信度规则</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24"/>
        <w:gridCol w:w="3024"/>
        <w:gridCol w:w="3024"/>
      </w:tblGrid>
      <w:tr w14:paraId="601A0EE5">
        <w:tc>
          <w:tcPr>
            <w:tcW w:w="3024" w:type="dxa"/>
            <w:tcBorders>
              <w:bottom w:val="single" w:color="000000" w:sz="6" w:space="0"/>
            </w:tcBorders>
          </w:tcPr>
          <w:p w14:paraId="5CA92185">
            <w:pPr>
              <w:spacing w:before="40" w:after="40" w:line="276" w:lineRule="auto"/>
              <w:jc w:val="center"/>
            </w:pPr>
            <w:r>
              <w:rPr>
                <w:rFonts w:ascii="Times New Roman" w:hAnsi="Times New Roman" w:eastAsia="宋体" w:cs="Times New Roman"/>
                <w:sz w:val="21"/>
                <w:szCs w:val="21"/>
              </w:rPr>
              <w:t>顺序</w:t>
            </w:r>
          </w:p>
        </w:tc>
        <w:tc>
          <w:tcPr>
            <w:tcW w:w="3024" w:type="dxa"/>
            <w:tcBorders>
              <w:bottom w:val="single" w:color="000000" w:sz="6" w:space="0"/>
            </w:tcBorders>
          </w:tcPr>
          <w:p w14:paraId="5955C207">
            <w:pPr>
              <w:spacing w:before="40" w:after="40" w:line="276" w:lineRule="auto"/>
              <w:jc w:val="center"/>
            </w:pPr>
            <w:r>
              <w:rPr>
                <w:rFonts w:ascii="Times New Roman" w:hAnsi="Times New Roman" w:eastAsia="宋体" w:cs="Times New Roman"/>
                <w:sz w:val="21"/>
                <w:szCs w:val="21"/>
              </w:rPr>
              <w:t>条件</w:t>
            </w:r>
          </w:p>
        </w:tc>
        <w:tc>
          <w:tcPr>
            <w:tcW w:w="3024" w:type="dxa"/>
            <w:tcBorders>
              <w:bottom w:val="single" w:color="000000" w:sz="6" w:space="0"/>
            </w:tcBorders>
          </w:tcPr>
          <w:p w14:paraId="43CDD2BC">
            <w:pPr>
              <w:spacing w:before="40" w:after="40" w:line="276" w:lineRule="auto"/>
              <w:jc w:val="center"/>
            </w:pPr>
            <w:r>
              <w:rPr>
                <w:rFonts w:ascii="Times New Roman" w:hAnsi="Times New Roman" w:eastAsia="宋体" w:cs="Times New Roman"/>
                <w:sz w:val="21"/>
                <w:szCs w:val="21"/>
              </w:rPr>
              <w:t>可信度</w:t>
            </w:r>
          </w:p>
        </w:tc>
      </w:tr>
      <w:tr w14:paraId="1FBC1117">
        <w:tc>
          <w:tcPr>
            <w:tcW w:w="3024" w:type="dxa"/>
          </w:tcPr>
          <w:p w14:paraId="56193916">
            <w:pPr>
              <w:spacing w:before="40" w:after="40" w:line="276" w:lineRule="auto"/>
              <w:jc w:val="center"/>
            </w:pPr>
            <w:r>
              <w:rPr>
                <w:rFonts w:ascii="Times New Roman" w:hAnsi="Times New Roman" w:eastAsia="宋体" w:cs="Times New Roman"/>
                <w:sz w:val="21"/>
                <w:szCs w:val="21"/>
              </w:rPr>
              <w:t>1</w:t>
            </w:r>
          </w:p>
        </w:tc>
        <w:tc>
          <w:tcPr>
            <w:tcW w:w="3024" w:type="dxa"/>
          </w:tcPr>
          <w:p w14:paraId="4929E33F">
            <w:pPr>
              <w:spacing w:before="40" w:after="40" w:line="276" w:lineRule="auto"/>
              <w:jc w:val="center"/>
            </w:pPr>
            <w:r>
              <w:rPr>
                <w:rFonts w:ascii="Times New Roman" w:hAnsi="Times New Roman" w:eastAsia="宋体" w:cs="Times New Roman"/>
                <w:sz w:val="24"/>
              </w:rPr>
              <w:t>五烃都有值且都＜10 μL/L（DL/T 722—2014[6]第10.2.4条c）</w:t>
            </w:r>
          </w:p>
        </w:tc>
        <w:tc>
          <w:tcPr>
            <w:tcW w:w="3024" w:type="dxa"/>
          </w:tcPr>
          <w:p w14:paraId="2DD770C2">
            <w:pPr>
              <w:spacing w:before="40" w:after="40" w:line="276" w:lineRule="auto"/>
              <w:jc w:val="center"/>
            </w:pPr>
            <w:r>
              <w:rPr>
                <w:rFonts w:ascii="Times New Roman" w:hAnsi="Times New Roman" w:eastAsia="宋体" w:cs="Times New Roman"/>
                <w:sz w:val="21"/>
                <w:szCs w:val="21"/>
              </w:rPr>
              <w:t>低</w:t>
            </w:r>
          </w:p>
        </w:tc>
      </w:tr>
      <w:tr w14:paraId="330D9F7F">
        <w:tc>
          <w:tcPr>
            <w:tcW w:w="3024" w:type="dxa"/>
          </w:tcPr>
          <w:p w14:paraId="53FF880A">
            <w:pPr>
              <w:spacing w:before="40" w:after="40" w:line="276" w:lineRule="auto"/>
              <w:jc w:val="center"/>
            </w:pPr>
            <w:r>
              <w:rPr>
                <w:rFonts w:ascii="Times New Roman" w:hAnsi="Times New Roman" w:eastAsia="宋体" w:cs="Times New Roman"/>
                <w:sz w:val="21"/>
                <w:szCs w:val="21"/>
              </w:rPr>
              <w:t>2</w:t>
            </w:r>
          </w:p>
        </w:tc>
        <w:tc>
          <w:tcPr>
            <w:tcW w:w="3024" w:type="dxa"/>
          </w:tcPr>
          <w:p w14:paraId="21947354">
            <w:pPr>
              <w:spacing w:before="40" w:after="40" w:line="276" w:lineRule="auto"/>
              <w:jc w:val="center"/>
            </w:pPr>
            <w:r>
              <w:rPr>
                <w:rFonts w:ascii="Times New Roman" w:hAnsi="Times New Roman" w:eastAsia="宋体" w:cs="Times New Roman"/>
                <w:sz w:val="21"/>
                <w:szCs w:val="21"/>
              </w:rPr>
              <w:t>性质大类不一致（放电与过热相互矛盾）</w:t>
            </w:r>
          </w:p>
        </w:tc>
        <w:tc>
          <w:tcPr>
            <w:tcW w:w="3024" w:type="dxa"/>
          </w:tcPr>
          <w:p w14:paraId="208E4C10">
            <w:pPr>
              <w:spacing w:before="40" w:after="40" w:line="276" w:lineRule="auto"/>
              <w:jc w:val="center"/>
            </w:pPr>
            <w:r>
              <w:rPr>
                <w:rFonts w:ascii="Times New Roman" w:hAnsi="Times New Roman" w:eastAsia="宋体" w:cs="Times New Roman"/>
                <w:sz w:val="21"/>
                <w:szCs w:val="21"/>
              </w:rPr>
              <w:t>低</w:t>
            </w:r>
          </w:p>
        </w:tc>
      </w:tr>
      <w:tr w14:paraId="62FD6F9E">
        <w:tc>
          <w:tcPr>
            <w:tcW w:w="3024" w:type="dxa"/>
          </w:tcPr>
          <w:p w14:paraId="42F56C1B">
            <w:pPr>
              <w:spacing w:before="40" w:after="40" w:line="276" w:lineRule="auto"/>
              <w:jc w:val="center"/>
            </w:pPr>
            <w:r>
              <w:rPr>
                <w:rFonts w:ascii="Times New Roman" w:hAnsi="Times New Roman" w:eastAsia="宋体" w:cs="Times New Roman"/>
                <w:sz w:val="21"/>
                <w:szCs w:val="21"/>
              </w:rPr>
              <w:t>3</w:t>
            </w:r>
          </w:p>
        </w:tc>
        <w:tc>
          <w:tcPr>
            <w:tcW w:w="3024" w:type="dxa"/>
          </w:tcPr>
          <w:p w14:paraId="56E06EFE">
            <w:pPr>
              <w:spacing w:before="40" w:after="40" w:line="276" w:lineRule="auto"/>
              <w:jc w:val="center"/>
            </w:pPr>
            <w:r>
              <w:rPr>
                <w:rFonts w:ascii="Times New Roman" w:hAnsi="Times New Roman" w:eastAsia="宋体" w:cs="Times New Roman"/>
                <w:sz w:val="24"/>
              </w:rPr>
              <w:t>三比值与大卫三角形法编码不一致，且性质大类亦未一致</w:t>
            </w:r>
          </w:p>
        </w:tc>
        <w:tc>
          <w:tcPr>
            <w:tcW w:w="3024" w:type="dxa"/>
          </w:tcPr>
          <w:p w14:paraId="20AAE778">
            <w:pPr>
              <w:spacing w:before="40" w:after="40" w:line="276" w:lineRule="auto"/>
              <w:jc w:val="center"/>
            </w:pPr>
            <w:r>
              <w:rPr>
                <w:rFonts w:ascii="Times New Roman" w:hAnsi="Times New Roman" w:eastAsia="宋体" w:cs="Times New Roman"/>
                <w:sz w:val="21"/>
                <w:szCs w:val="21"/>
              </w:rPr>
              <w:t>低</w:t>
            </w:r>
          </w:p>
        </w:tc>
      </w:tr>
      <w:tr w14:paraId="40B055C2">
        <w:tc>
          <w:tcPr>
            <w:tcW w:w="3024" w:type="dxa"/>
          </w:tcPr>
          <w:p w14:paraId="1D9661BC">
            <w:pPr>
              <w:spacing w:before="40" w:after="40" w:line="276" w:lineRule="auto"/>
              <w:jc w:val="center"/>
            </w:pPr>
            <w:r>
              <w:rPr>
                <w:rFonts w:ascii="Times New Roman" w:hAnsi="Times New Roman" w:eastAsia="宋体" w:cs="Times New Roman"/>
                <w:sz w:val="21"/>
                <w:szCs w:val="21"/>
              </w:rPr>
              <w:t>4</w:t>
            </w:r>
          </w:p>
        </w:tc>
        <w:tc>
          <w:tcPr>
            <w:tcW w:w="3024" w:type="dxa"/>
          </w:tcPr>
          <w:p w14:paraId="64A6FC5F">
            <w:pPr>
              <w:spacing w:before="40" w:after="40" w:line="276" w:lineRule="auto"/>
              <w:jc w:val="center"/>
            </w:pPr>
            <w:r>
              <w:rPr>
                <w:rFonts w:ascii="Times New Roman" w:hAnsi="Times New Roman" w:eastAsia="宋体" w:cs="Times New Roman"/>
                <w:sz w:val="24"/>
              </w:rPr>
              <w:t>性质大类一致且编码一致</w:t>
            </w:r>
          </w:p>
        </w:tc>
        <w:tc>
          <w:tcPr>
            <w:tcW w:w="3024" w:type="dxa"/>
          </w:tcPr>
          <w:p w14:paraId="5237D032">
            <w:pPr>
              <w:spacing w:before="40" w:after="40" w:line="276" w:lineRule="auto"/>
              <w:jc w:val="center"/>
            </w:pPr>
            <w:r>
              <w:rPr>
                <w:rFonts w:ascii="Times New Roman" w:hAnsi="Times New Roman" w:eastAsia="宋体" w:cs="Times New Roman"/>
                <w:sz w:val="21"/>
                <w:szCs w:val="21"/>
              </w:rPr>
              <w:t>高</w:t>
            </w:r>
          </w:p>
        </w:tc>
      </w:tr>
      <w:tr w14:paraId="70401D02">
        <w:tc>
          <w:tcPr>
            <w:tcW w:w="3024" w:type="dxa"/>
          </w:tcPr>
          <w:p w14:paraId="73C42A95">
            <w:pPr>
              <w:spacing w:before="40" w:after="40" w:line="276" w:lineRule="auto"/>
              <w:jc w:val="center"/>
            </w:pPr>
            <w:r>
              <w:rPr>
                <w:rFonts w:ascii="Times New Roman" w:hAnsi="Times New Roman" w:eastAsia="宋体" w:cs="Times New Roman"/>
                <w:sz w:val="21"/>
                <w:szCs w:val="21"/>
              </w:rPr>
              <w:t>5</w:t>
            </w:r>
          </w:p>
        </w:tc>
        <w:tc>
          <w:tcPr>
            <w:tcW w:w="3024" w:type="dxa"/>
          </w:tcPr>
          <w:p w14:paraId="3AE31086">
            <w:pPr>
              <w:spacing w:before="40" w:after="40" w:line="276" w:lineRule="auto"/>
              <w:jc w:val="center"/>
            </w:pPr>
            <w:r>
              <w:rPr>
                <w:rFonts w:ascii="Times New Roman" w:hAnsi="Times New Roman" w:eastAsia="宋体" w:cs="Times New Roman"/>
                <w:sz w:val="24"/>
              </w:rPr>
              <w:t>性质大类一致或编码一致（仅其一成立）</w:t>
            </w:r>
          </w:p>
        </w:tc>
        <w:tc>
          <w:tcPr>
            <w:tcW w:w="3024" w:type="dxa"/>
          </w:tcPr>
          <w:p w14:paraId="33C61300">
            <w:pPr>
              <w:spacing w:before="40" w:after="40" w:line="276" w:lineRule="auto"/>
              <w:jc w:val="center"/>
            </w:pPr>
            <w:r>
              <w:rPr>
                <w:rFonts w:ascii="Times New Roman" w:hAnsi="Times New Roman" w:eastAsia="宋体" w:cs="Times New Roman"/>
                <w:sz w:val="21"/>
                <w:szCs w:val="21"/>
              </w:rPr>
              <w:t>中</w:t>
            </w:r>
          </w:p>
        </w:tc>
      </w:tr>
      <w:tr w14:paraId="106027CC">
        <w:tc>
          <w:tcPr>
            <w:tcW w:w="3024" w:type="dxa"/>
          </w:tcPr>
          <w:p w14:paraId="5C032A67">
            <w:pPr>
              <w:spacing w:before="40" w:after="40" w:line="276" w:lineRule="auto"/>
              <w:jc w:val="center"/>
            </w:pPr>
            <w:r>
              <w:rPr>
                <w:rFonts w:ascii="Times New Roman" w:hAnsi="Times New Roman" w:eastAsia="宋体" w:cs="Times New Roman"/>
                <w:sz w:val="21"/>
                <w:szCs w:val="21"/>
              </w:rPr>
              <w:t>6</w:t>
            </w:r>
          </w:p>
        </w:tc>
        <w:tc>
          <w:tcPr>
            <w:tcW w:w="3024" w:type="dxa"/>
          </w:tcPr>
          <w:p w14:paraId="2AFD26AD">
            <w:pPr>
              <w:spacing w:before="40" w:after="40" w:line="276" w:lineRule="auto"/>
              <w:jc w:val="center"/>
            </w:pPr>
            <w:r>
              <w:rPr>
                <w:rFonts w:ascii="Times New Roman" w:hAnsi="Times New Roman" w:eastAsia="宋体" w:cs="Times New Roman"/>
                <w:sz w:val="21"/>
                <w:szCs w:val="21"/>
              </w:rPr>
              <w:t>其余情形（如有效方法偏少）</w:t>
            </w:r>
          </w:p>
        </w:tc>
        <w:tc>
          <w:tcPr>
            <w:tcW w:w="3024" w:type="dxa"/>
          </w:tcPr>
          <w:p w14:paraId="5A40B4E0">
            <w:pPr>
              <w:spacing w:before="40" w:after="40" w:line="276" w:lineRule="auto"/>
              <w:jc w:val="center"/>
            </w:pPr>
            <w:r>
              <w:rPr>
                <w:rFonts w:ascii="Times New Roman" w:hAnsi="Times New Roman" w:eastAsia="宋体" w:cs="Times New Roman"/>
                <w:sz w:val="21"/>
                <w:szCs w:val="21"/>
              </w:rPr>
              <w:t>中</w:t>
            </w:r>
          </w:p>
        </w:tc>
      </w:tr>
    </w:tbl>
    <w:p w14:paraId="036CCB42"/>
    <w:p w14:paraId="104B6812">
      <w:pPr>
        <w:pStyle w:val="3"/>
        <w:spacing w:before="0" w:after="0" w:line="360" w:lineRule="auto"/>
        <w:ind w:firstLine="420"/>
        <w:jc w:val="both"/>
      </w:pPr>
      <w:r>
        <w:rPr>
          <w:rFonts w:ascii="Times New Roman" w:hAnsi="Times New Roman" w:eastAsia="宋体" w:cs="Times New Roman"/>
          <w:sz w:val="24"/>
          <w:szCs w:val="24"/>
        </w:rPr>
        <w:t>辅助比值按DL/T 722—2014[6]第10.2.3条计算，只写在附注里，不改主结论。本文用两组：CO</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/CO小于3，提示可能涉及固体绝缘；大于7，提示多属正常老化；C</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H</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/H</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大于2，提示有载分接开关油可能渗入本体。同条还有O</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/N</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，本文数据没有这两种气体，故不做。另须分清：第3.4节里CO</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/CO小于3，是特征气体法匹配“油和纸”相关行的条件；这里是主结论定了之后再加的附注，两处不是同一用途。只有性质大类一致时，才附油纸绝缘相关说明。</w:t>
      </w:r>
    </w:p>
    <w:p w14:paraId="6F6C8067">
      <w:pPr>
        <w:pStyle w:val="4"/>
        <w:spacing w:before="156" w:beforeLines="50" w:after="156" w:afterLines="50" w:line="360" w:lineRule="auto"/>
        <w:ind w:left="0"/>
        <w:jc w:val="both"/>
        <w:rPr>
          <w:rFonts w:hint="eastAsia" w:eastAsia="黑体"/>
          <w:b w:val="0"/>
          <w:bCs/>
          <w:sz w:val="24"/>
          <w:szCs w:val="18"/>
        </w:rPr>
      </w:pPr>
      <w:bookmarkStart w:id="84" w:name="_Toc2073131281"/>
      <w:bookmarkStart w:id="85" w:name="_Toc473375568"/>
      <w:r>
        <w:rPr>
          <w:rFonts w:hint="eastAsia" w:eastAsia="黑体"/>
          <w:b w:val="0"/>
          <w:bCs/>
          <w:sz w:val="24"/>
          <w:szCs w:val="18"/>
        </w:rPr>
        <w:t>3.8 进一步试验建议输出方法</w:t>
      </w:r>
      <w:bookmarkEnd w:id="84"/>
      <w:bookmarkEnd w:id="85"/>
    </w:p>
    <w:p w14:paraId="76D28C05">
      <w:pPr>
        <w:pStyle w:val="3"/>
        <w:spacing w:before="0" w:after="0" w:line="360" w:lineRule="auto"/>
        <w:ind w:firstLine="420"/>
        <w:jc w:val="both"/>
      </w:pPr>
      <w:r>
        <w:rPr>
          <w:rFonts w:ascii="Times New Roman" w:hAnsi="Times New Roman" w:eastAsia="宋体" w:cs="Times New Roman"/>
          <w:sz w:val="24"/>
        </w:rPr>
        <w:t>仅给出故障类型名称，尚不足以安排复查试验。本章按两层给出试验建议：先按故障性质（过热、放电或放电兼过热），从DL/T 722—2014</w:t>
      </w:r>
      <w:r>
        <w:rPr>
          <w:rFonts w:ascii="Times New Roman" w:hAnsi="Times New Roman" w:eastAsia="宋体" w:cs="Times New Roman"/>
          <w:sz w:val="24"/>
          <w:vertAlign w:val="superscript"/>
        </w:rPr>
        <w:t>[6]</w:t>
      </w:r>
      <w:r>
        <w:rPr>
          <w:rFonts w:ascii="Times New Roman" w:hAnsi="Times New Roman" w:eastAsia="宋体" w:cs="Times New Roman"/>
          <w:sz w:val="24"/>
        </w:rPr>
        <w:t>附录D表D.1对应列取出试验项目，放电兼过热取两列并集并去重；再按当日气体情况，对照DL/T 1685—2017</w:t>
      </w:r>
      <w:r>
        <w:rPr>
          <w:rFonts w:ascii="Times New Roman" w:hAnsi="Times New Roman" w:eastAsia="宋体" w:cs="Times New Roman"/>
          <w:sz w:val="24"/>
          <w:vertAlign w:val="superscript"/>
        </w:rPr>
        <w:t>[8]</w:t>
      </w:r>
      <w:r>
        <w:rPr>
          <w:rFonts w:ascii="Times New Roman" w:hAnsi="Times New Roman" w:eastAsia="宋体" w:cs="Times New Roman"/>
          <w:sz w:val="24"/>
        </w:rPr>
        <w:t>附录B补充细项，例如与乙烯、乙炔、总烃、一氧化碳等相关的铁芯、直流电阻、局部放电、有载开关检查等。两层合并去重后形成清单，并写明依据：当前是何种状态、对照哪张表、建议做哪几项。</w:t>
      </w:r>
    </w:p>
    <w:p w14:paraId="6DFDFF41">
      <w:pPr>
        <w:pStyle w:val="3"/>
        <w:spacing w:before="0" w:after="0" w:line="360" w:lineRule="auto"/>
        <w:ind w:firstLine="420"/>
        <w:jc w:val="both"/>
      </w:pPr>
      <w:r>
        <w:rPr>
          <w:rFonts w:ascii="Times New Roman" w:hAnsi="Times New Roman" w:eastAsia="宋体" w:cs="Times New Roman"/>
          <w:sz w:val="24"/>
        </w:rPr>
        <w:t>交叉研判结论为暂定时，清单用“核实”措辞；否则用“推荐”措辞。输出只到试验项目清单，由运维或试验部门安排复查，不给出停电或检修指令。</w:t>
      </w:r>
    </w:p>
    <w:p w14:paraId="78978D7C">
      <w:pPr>
        <w:pStyle w:val="4"/>
        <w:spacing w:before="156" w:beforeLines="50" w:after="156" w:afterLines="50" w:line="360" w:lineRule="auto"/>
        <w:ind w:left="0"/>
        <w:jc w:val="both"/>
        <w:rPr>
          <w:rFonts w:hint="eastAsia" w:eastAsia="黑体"/>
          <w:b w:val="0"/>
          <w:bCs/>
          <w:sz w:val="24"/>
          <w:szCs w:val="18"/>
        </w:rPr>
      </w:pPr>
      <w:bookmarkStart w:id="86" w:name="_Toc195267192"/>
      <w:bookmarkStart w:id="87" w:name="_Toc1743742888"/>
      <w:r>
        <w:rPr>
          <w:rFonts w:hint="eastAsia" w:eastAsia="黑体"/>
          <w:b w:val="0"/>
          <w:bCs/>
          <w:sz w:val="24"/>
          <w:szCs w:val="18"/>
        </w:rPr>
        <w:t>3.9 方法验证与案例分析</w:t>
      </w:r>
      <w:bookmarkEnd w:id="86"/>
      <w:bookmarkEnd w:id="87"/>
    </w:p>
    <w:p w14:paraId="21781EE5">
      <w:pPr>
        <w:pStyle w:val="6"/>
        <w:spacing w:before="120" w:after="120" w:line="360" w:lineRule="auto"/>
        <w:ind w:firstLine="0"/>
        <w:jc w:val="left"/>
      </w:pPr>
      <w:bookmarkStart w:id="88" w:name="_Toc500683328"/>
      <w:bookmarkStart w:id="89" w:name="_Toc377388007"/>
      <w:r>
        <w:rPr>
          <w:rFonts w:ascii="Times New Roman" w:hAnsi="Times New Roman" w:eastAsia="黑体" w:cs="Times New Roman"/>
          <w:sz w:val="24"/>
          <w:szCs w:val="24"/>
        </w:rPr>
        <w:t>3.9.1 方案设计与判定标准</w:t>
      </w:r>
      <w:bookmarkEnd w:id="88"/>
      <w:bookmarkEnd w:id="89"/>
    </w:p>
    <w:p w14:paraId="12CA3FF1">
      <w:pPr>
        <w:pStyle w:val="3"/>
        <w:spacing w:before="0" w:after="0" w:line="360" w:lineRule="auto"/>
        <w:ind w:firstLine="420"/>
        <w:jc w:val="both"/>
      </w:pPr>
      <w:r>
        <w:rPr>
          <w:rFonts w:ascii="Times New Roman" w:hAnsi="Times New Roman" w:eastAsia="宋体" w:cs="Times New Roman"/>
          <w:sz w:val="24"/>
        </w:rPr>
        <w:t>本章只核对判型结果：以各案例最后一次取样（末样）对照该附录性质结论，把主结论归到过热、放电或放电兼过热后，是否与DL/T 722—2014[6]附录E对照性质一致；准确率按17组末样计，不以全部62个取样点作分母。含多个取样点的案例，再按各次取样的先后，看故障性质有没有变化。验证时一律进入判型，不测双门槛；双门槛和第2章衔接，完整流程见第4章。试验建议清单在第4章报告和第5章界面中核对，本节不单独统计。</w:t>
      </w:r>
    </w:p>
    <w:p w14:paraId="61805923">
      <w:pPr>
        <w:pStyle w:val="6"/>
        <w:spacing w:before="120" w:after="120" w:line="360" w:lineRule="auto"/>
        <w:ind w:firstLine="0"/>
        <w:jc w:val="left"/>
      </w:pPr>
      <w:bookmarkStart w:id="90" w:name="_Toc1241024058"/>
      <w:bookmarkStart w:id="91" w:name="_Toc1143764750"/>
      <w:r>
        <w:rPr>
          <w:rFonts w:ascii="Times New Roman" w:hAnsi="Times New Roman" w:eastAsia="黑体" w:cs="Times New Roman"/>
          <w:sz w:val="24"/>
          <w:szCs w:val="24"/>
        </w:rPr>
        <w:t>3.9.2 测试数据集设计与构建</w:t>
      </w:r>
      <w:bookmarkEnd w:id="90"/>
      <w:bookmarkEnd w:id="91"/>
    </w:p>
    <w:p w14:paraId="0EA01751">
      <w:pPr>
        <w:pStyle w:val="3"/>
        <w:spacing w:before="0" w:after="0" w:line="360" w:lineRule="auto"/>
        <w:ind w:firstLine="420"/>
        <w:jc w:val="both"/>
      </w:pPr>
      <w:r>
        <w:rPr>
          <w:rFonts w:ascii="Times New Roman" w:hAnsi="Times New Roman" w:eastAsia="宋体" w:cs="Times New Roman"/>
          <w:sz w:val="24"/>
        </w:rPr>
        <w:t>数据取自DL/T 722—2014[6]附录E表E.4，共17组，每组含1至6个取样点，共62个取样点。对照性质按该附录原文故障描述归入过热、放电或放电兼过热三类，不另作主观改判。按组整理后读入并调用判型流程。</w:t>
      </w:r>
    </w:p>
    <w:p w14:paraId="1BC1ED52">
      <w:pPr>
        <w:pStyle w:val="6"/>
        <w:spacing w:before="120" w:after="120" w:line="360" w:lineRule="auto"/>
        <w:ind w:firstLine="0"/>
        <w:jc w:val="left"/>
      </w:pPr>
      <w:bookmarkStart w:id="92" w:name="_Toc1530163142"/>
      <w:bookmarkStart w:id="93" w:name="_Toc1128028953"/>
      <w:r>
        <w:rPr>
          <w:rFonts w:ascii="Times New Roman" w:hAnsi="Times New Roman" w:eastAsia="黑体" w:cs="Times New Roman"/>
          <w:sz w:val="24"/>
          <w:szCs w:val="24"/>
        </w:rPr>
        <w:t>3.9.3 运行环境</w:t>
      </w:r>
      <w:bookmarkEnd w:id="92"/>
      <w:bookmarkEnd w:id="93"/>
    </w:p>
    <w:p w14:paraId="72357717">
      <w:pPr>
        <w:pStyle w:val="3"/>
        <w:spacing w:before="0" w:after="0" w:line="360" w:lineRule="auto"/>
        <w:ind w:firstLine="420"/>
        <w:jc w:val="both"/>
      </w:pPr>
      <w:r>
        <w:rPr>
          <w:rFonts w:ascii="Times New Roman" w:hAnsi="Times New Roman" w:eastAsia="宋体" w:cs="Times New Roman"/>
          <w:sz w:val="24"/>
        </w:rPr>
        <w:t>与第2.8.3节相同。在算法层直接调用判型编排过程。</w:t>
      </w:r>
    </w:p>
    <w:p w14:paraId="22E72CE3">
      <w:pPr>
        <w:pStyle w:val="6"/>
        <w:spacing w:before="120" w:after="120" w:line="360" w:lineRule="auto"/>
        <w:ind w:firstLine="0"/>
        <w:jc w:val="left"/>
      </w:pPr>
      <w:bookmarkStart w:id="94" w:name="_Toc1335254769"/>
      <w:bookmarkStart w:id="95" w:name="_Toc796977355"/>
      <w:r>
        <w:rPr>
          <w:rFonts w:ascii="Times New Roman" w:hAnsi="Times New Roman" w:eastAsia="黑体" w:cs="Times New Roman"/>
          <w:sz w:val="24"/>
          <w:szCs w:val="24"/>
        </w:rPr>
        <w:t>3.9.4 三方法一致性统计分析</w:t>
      </w:r>
      <w:bookmarkEnd w:id="94"/>
      <w:bookmarkEnd w:id="95"/>
    </w:p>
    <w:p w14:paraId="31CD52ED">
      <w:pPr>
        <w:pStyle w:val="3"/>
        <w:spacing w:before="0" w:after="0" w:line="360" w:lineRule="auto"/>
        <w:ind w:firstLine="420"/>
        <w:jc w:val="both"/>
      </w:pPr>
      <w:r>
        <w:rPr>
          <w:rFonts w:ascii="Times New Roman" w:hAnsi="Times New Roman" w:eastAsia="宋体" w:cs="Times New Roman"/>
          <w:sz w:val="24"/>
        </w:rPr>
        <w:t>17组末样中，性质大类判对15组，准确率88.2%，汇总如表3.6所示。过热类与放电类案例大多能归入对应大类；未命中的两例，该附录对照都为放电兼过热，细节见下节。17组案例的逐点性质判型结果如表3.7所示。由表可见：早期个别点可能判偏（如E-011首点判为过热，E-012、E-013首点判为放电兼过热），后面取样点的判型结果多能与该附录对照一致；E-016还出现过热经放电兼过热再偏放电的变化过程。这说明只看末样不够，按时间连续判型更能看出故障如何变化。</w:t>
      </w:r>
    </w:p>
    <w:p w14:paraId="3D013AEE">
      <w:pPr>
        <w:pStyle w:val="15"/>
        <w:spacing w:before="120" w:after="120" w:line="360" w:lineRule="auto"/>
        <w:ind w:firstLine="0"/>
        <w:jc w:val="center"/>
      </w:pPr>
      <w:r>
        <w:rPr>
          <w:rFonts w:ascii="Times New Roman" w:hAnsi="Times New Roman" w:eastAsia="宋体" w:cs="Times New Roman"/>
          <w:sz w:val="24"/>
        </w:rPr>
        <w:t>表3.6　DL/T 722—2014</w:t>
      </w:r>
      <w:r>
        <w:rPr>
          <w:rFonts w:ascii="Times New Roman" w:hAnsi="Times New Roman" w:eastAsia="宋体" w:cs="Times New Roman"/>
          <w:sz w:val="24"/>
          <w:vertAlign w:val="superscript"/>
        </w:rPr>
        <w:t>[6]</w:t>
      </w:r>
      <w:r>
        <w:rPr>
          <w:rFonts w:ascii="Times New Roman" w:hAnsi="Times New Roman" w:eastAsia="宋体" w:cs="Times New Roman"/>
          <w:sz w:val="24"/>
        </w:rPr>
        <w:t>附录E性质大类判断结果</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536"/>
        <w:gridCol w:w="4536"/>
      </w:tblGrid>
      <w:tr w14:paraId="596E1EA7">
        <w:tc>
          <w:tcPr>
            <w:tcW w:w="4536" w:type="dxa"/>
            <w:tcBorders>
              <w:bottom w:val="single" w:color="000000" w:sz="6" w:space="0"/>
            </w:tcBorders>
          </w:tcPr>
          <w:p w14:paraId="5679E7A9">
            <w:pPr>
              <w:spacing w:before="40" w:after="40" w:line="276" w:lineRule="auto"/>
              <w:jc w:val="center"/>
            </w:pPr>
            <w:r>
              <w:rPr>
                <w:rFonts w:ascii="Times New Roman" w:hAnsi="Times New Roman" w:eastAsia="宋体" w:cs="Times New Roman"/>
                <w:sz w:val="21"/>
                <w:szCs w:val="21"/>
              </w:rPr>
              <w:t>指标</w:t>
            </w:r>
          </w:p>
        </w:tc>
        <w:tc>
          <w:tcPr>
            <w:tcW w:w="4536" w:type="dxa"/>
            <w:tcBorders>
              <w:bottom w:val="single" w:color="000000" w:sz="6" w:space="0"/>
            </w:tcBorders>
          </w:tcPr>
          <w:p w14:paraId="2D44B814">
            <w:pPr>
              <w:spacing w:before="40" w:after="40" w:line="276" w:lineRule="auto"/>
              <w:jc w:val="center"/>
            </w:pPr>
            <w:r>
              <w:rPr>
                <w:rFonts w:ascii="Times New Roman" w:hAnsi="Times New Roman" w:eastAsia="宋体" w:cs="Times New Roman"/>
                <w:sz w:val="21"/>
                <w:szCs w:val="21"/>
              </w:rPr>
              <w:t>数值</w:t>
            </w:r>
          </w:p>
        </w:tc>
      </w:tr>
      <w:tr w14:paraId="48202E15">
        <w:tc>
          <w:tcPr>
            <w:tcW w:w="4536" w:type="dxa"/>
          </w:tcPr>
          <w:p w14:paraId="77D469B5">
            <w:pPr>
              <w:spacing w:before="40" w:after="40" w:line="276" w:lineRule="auto"/>
              <w:jc w:val="center"/>
            </w:pPr>
            <w:r>
              <w:rPr>
                <w:rFonts w:ascii="Times New Roman" w:hAnsi="Times New Roman" w:eastAsia="宋体" w:cs="Times New Roman"/>
                <w:sz w:val="21"/>
                <w:szCs w:val="21"/>
              </w:rPr>
              <w:t>案例组数（末样）</w:t>
            </w:r>
          </w:p>
        </w:tc>
        <w:tc>
          <w:tcPr>
            <w:tcW w:w="4536" w:type="dxa"/>
          </w:tcPr>
          <w:p w14:paraId="43785F57">
            <w:pPr>
              <w:spacing w:before="40" w:after="40" w:line="276" w:lineRule="auto"/>
              <w:jc w:val="center"/>
            </w:pPr>
            <w:r>
              <w:rPr>
                <w:rFonts w:ascii="Times New Roman" w:hAnsi="Times New Roman" w:eastAsia="宋体" w:cs="Times New Roman"/>
                <w:sz w:val="21"/>
                <w:szCs w:val="21"/>
              </w:rPr>
              <w:t>17</w:t>
            </w:r>
          </w:p>
        </w:tc>
      </w:tr>
      <w:tr w14:paraId="07A03296">
        <w:tc>
          <w:tcPr>
            <w:tcW w:w="4536" w:type="dxa"/>
          </w:tcPr>
          <w:p w14:paraId="0F2E57C4">
            <w:pPr>
              <w:spacing w:before="40" w:after="40" w:line="276" w:lineRule="auto"/>
              <w:jc w:val="center"/>
            </w:pPr>
            <w:r>
              <w:rPr>
                <w:rFonts w:ascii="Times New Roman" w:hAnsi="Times New Roman" w:eastAsia="宋体" w:cs="Times New Roman"/>
                <w:sz w:val="21"/>
                <w:szCs w:val="21"/>
              </w:rPr>
              <w:t>性质大类命中</w:t>
            </w:r>
          </w:p>
        </w:tc>
        <w:tc>
          <w:tcPr>
            <w:tcW w:w="4536" w:type="dxa"/>
          </w:tcPr>
          <w:p w14:paraId="1A3CFA29">
            <w:pPr>
              <w:spacing w:before="40" w:after="40" w:line="276" w:lineRule="auto"/>
              <w:jc w:val="center"/>
            </w:pPr>
            <w:r>
              <w:rPr>
                <w:rFonts w:ascii="Times New Roman" w:hAnsi="Times New Roman" w:eastAsia="宋体" w:cs="Times New Roman"/>
                <w:sz w:val="21"/>
                <w:szCs w:val="21"/>
              </w:rPr>
              <w:t>15</w:t>
            </w:r>
          </w:p>
        </w:tc>
      </w:tr>
      <w:tr w14:paraId="652B7F81">
        <w:tc>
          <w:tcPr>
            <w:tcW w:w="4536" w:type="dxa"/>
          </w:tcPr>
          <w:p w14:paraId="3DDC88AA">
            <w:pPr>
              <w:spacing w:before="40" w:after="40" w:line="276" w:lineRule="auto"/>
              <w:jc w:val="center"/>
            </w:pPr>
            <w:r>
              <w:rPr>
                <w:rFonts w:ascii="Times New Roman" w:hAnsi="Times New Roman" w:eastAsia="宋体" w:cs="Times New Roman"/>
                <w:sz w:val="21"/>
                <w:szCs w:val="21"/>
              </w:rPr>
              <w:t>准确率</w:t>
            </w:r>
          </w:p>
        </w:tc>
        <w:tc>
          <w:tcPr>
            <w:tcW w:w="4536" w:type="dxa"/>
          </w:tcPr>
          <w:p w14:paraId="52E933CD">
            <w:pPr>
              <w:spacing w:before="40" w:after="40" w:line="276" w:lineRule="auto"/>
              <w:jc w:val="center"/>
            </w:pPr>
            <w:r>
              <w:rPr>
                <w:rFonts w:ascii="Times New Roman" w:hAnsi="Times New Roman" w:eastAsia="宋体" w:cs="Times New Roman"/>
                <w:sz w:val="21"/>
                <w:szCs w:val="21"/>
              </w:rPr>
              <w:t>88.2%</w:t>
            </w:r>
          </w:p>
        </w:tc>
      </w:tr>
      <w:tr w14:paraId="7751C297">
        <w:tc>
          <w:tcPr>
            <w:tcW w:w="4536" w:type="dxa"/>
          </w:tcPr>
          <w:p w14:paraId="4A0BA427">
            <w:pPr>
              <w:spacing w:before="40" w:after="40" w:line="276" w:lineRule="auto"/>
              <w:jc w:val="center"/>
            </w:pPr>
            <w:r>
              <w:rPr>
                <w:rFonts w:ascii="Times New Roman" w:hAnsi="Times New Roman" w:eastAsia="宋体" w:cs="Times New Roman"/>
                <w:sz w:val="21"/>
                <w:szCs w:val="21"/>
              </w:rPr>
              <w:t>未命中案例</w:t>
            </w:r>
          </w:p>
        </w:tc>
        <w:tc>
          <w:tcPr>
            <w:tcW w:w="4536" w:type="dxa"/>
          </w:tcPr>
          <w:p w14:paraId="47007008">
            <w:pPr>
              <w:spacing w:before="40" w:after="40" w:line="276" w:lineRule="auto"/>
              <w:jc w:val="center"/>
            </w:pPr>
            <w:r>
              <w:rPr>
                <w:rFonts w:ascii="Times New Roman" w:hAnsi="Times New Roman" w:eastAsia="宋体" w:cs="Times New Roman"/>
                <w:sz w:val="21"/>
                <w:szCs w:val="21"/>
              </w:rPr>
              <w:t>E-006、E-016（都为放电兼过热混合故障）</w:t>
            </w:r>
          </w:p>
        </w:tc>
      </w:tr>
    </w:tbl>
    <w:p w14:paraId="59A7FA81">
      <w:pPr>
        <w:pStyle w:val="15"/>
        <w:spacing w:before="120" w:after="120" w:line="360" w:lineRule="auto"/>
        <w:ind w:firstLine="0"/>
        <w:jc w:val="center"/>
      </w:pPr>
      <w:r>
        <w:rPr>
          <w:rFonts w:ascii="Times New Roman" w:hAnsi="Times New Roman" w:eastAsia="宋体" w:cs="Times New Roman"/>
          <w:sz w:val="24"/>
        </w:rPr>
        <w:t>表3.7　该附录案例逐点性质判型结果</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435"/>
        <w:gridCol w:w="2239"/>
        <w:gridCol w:w="2374"/>
        <w:gridCol w:w="2240"/>
      </w:tblGrid>
      <w:tr w14:paraId="370BF77E">
        <w:tc>
          <w:tcPr>
            <w:tcW w:w="4536" w:type="dxa"/>
            <w:tcBorders>
              <w:bottom w:val="single" w:color="000000" w:sz="6" w:space="0"/>
            </w:tcBorders>
          </w:tcPr>
          <w:p w14:paraId="2549F9F4">
            <w:r>
              <w:t>案例</w:t>
            </w:r>
          </w:p>
        </w:tc>
        <w:tc>
          <w:tcPr>
            <w:tcW w:w="4536" w:type="dxa"/>
            <w:tcBorders>
              <w:bottom w:val="single" w:color="000000" w:sz="6" w:space="0"/>
            </w:tcBorders>
          </w:tcPr>
          <w:p w14:paraId="400BB400">
            <w:r>
              <w:rPr>
                <w:rFonts w:ascii="Times New Roman" w:hAnsi="Times New Roman" w:eastAsia="宋体" w:cs="Times New Roman"/>
                <w:sz w:val="24"/>
              </w:rPr>
              <w:t>该附录对照</w:t>
            </w:r>
          </w:p>
        </w:tc>
        <w:tc>
          <w:tcPr>
            <w:tcW w:w="4536" w:type="dxa"/>
            <w:tcBorders>
              <w:bottom w:val="single" w:color="000000" w:sz="6" w:space="0"/>
            </w:tcBorders>
          </w:tcPr>
          <w:p w14:paraId="6ED136E1">
            <w:r>
              <w:t>逐点系统性质（按取样先后）</w:t>
            </w:r>
          </w:p>
        </w:tc>
        <w:tc>
          <w:tcPr>
            <w:tcW w:w="4536" w:type="dxa"/>
            <w:tcBorders>
              <w:bottom w:val="single" w:color="000000" w:sz="6" w:space="0"/>
            </w:tcBorders>
          </w:tcPr>
          <w:p w14:paraId="5FC8E5E1">
            <w:r>
              <w:t>末点是否一致</w:t>
            </w:r>
          </w:p>
        </w:tc>
      </w:tr>
      <w:tr w14:paraId="00CF44AE">
        <w:tc>
          <w:tcPr>
            <w:tcW w:w="4536" w:type="dxa"/>
            <w:tcBorders>
              <w:bottom w:val="single" w:color="000000" w:sz="6" w:space="0"/>
            </w:tcBorders>
          </w:tcPr>
          <w:p w14:paraId="5C0AABEE">
            <w:r>
              <w:t>E-001</w:t>
            </w:r>
          </w:p>
        </w:tc>
        <w:tc>
          <w:tcPr>
            <w:tcW w:w="4536" w:type="dxa"/>
            <w:tcBorders>
              <w:bottom w:val="single" w:color="000000" w:sz="6" w:space="0"/>
            </w:tcBorders>
          </w:tcPr>
          <w:p w14:paraId="59AAE678">
            <w:r>
              <w:t>过热</w:t>
            </w:r>
          </w:p>
        </w:tc>
        <w:tc>
          <w:tcPr>
            <w:tcW w:w="4536" w:type="dxa"/>
            <w:tcBorders>
              <w:bottom w:val="single" w:color="000000" w:sz="6" w:space="0"/>
            </w:tcBorders>
          </w:tcPr>
          <w:p w14:paraId="01D99260">
            <w:r>
              <w:t>过热、过热</w:t>
            </w:r>
          </w:p>
        </w:tc>
        <w:tc>
          <w:tcPr>
            <w:tcW w:w="4536" w:type="dxa"/>
            <w:tcBorders>
              <w:bottom w:val="single" w:color="000000" w:sz="6" w:space="0"/>
            </w:tcBorders>
          </w:tcPr>
          <w:p w14:paraId="13B051AC">
            <w:r>
              <w:t>是</w:t>
            </w:r>
          </w:p>
        </w:tc>
      </w:tr>
      <w:tr w14:paraId="3131BCC3">
        <w:tc>
          <w:tcPr>
            <w:tcW w:w="4536" w:type="dxa"/>
            <w:tcBorders>
              <w:bottom w:val="single" w:color="000000" w:sz="6" w:space="0"/>
            </w:tcBorders>
          </w:tcPr>
          <w:p w14:paraId="045B9E9F">
            <w:r>
              <w:t>E-002</w:t>
            </w:r>
          </w:p>
        </w:tc>
        <w:tc>
          <w:tcPr>
            <w:tcW w:w="4536" w:type="dxa"/>
            <w:tcBorders>
              <w:bottom w:val="single" w:color="000000" w:sz="6" w:space="0"/>
            </w:tcBorders>
          </w:tcPr>
          <w:p w14:paraId="792D5333">
            <w:r>
              <w:t>过热</w:t>
            </w:r>
          </w:p>
        </w:tc>
        <w:tc>
          <w:tcPr>
            <w:tcW w:w="4536" w:type="dxa"/>
            <w:tcBorders>
              <w:bottom w:val="single" w:color="000000" w:sz="6" w:space="0"/>
            </w:tcBorders>
          </w:tcPr>
          <w:p w14:paraId="767D1F91">
            <w:r>
              <w:t>过热、过热、过热</w:t>
            </w:r>
          </w:p>
        </w:tc>
        <w:tc>
          <w:tcPr>
            <w:tcW w:w="4536" w:type="dxa"/>
            <w:tcBorders>
              <w:bottom w:val="single" w:color="000000" w:sz="6" w:space="0"/>
            </w:tcBorders>
          </w:tcPr>
          <w:p w14:paraId="1E827937">
            <w:r>
              <w:t>是</w:t>
            </w:r>
          </w:p>
        </w:tc>
      </w:tr>
      <w:tr w14:paraId="1AECA10F">
        <w:tc>
          <w:tcPr>
            <w:tcW w:w="4536" w:type="dxa"/>
            <w:tcBorders>
              <w:bottom w:val="single" w:color="000000" w:sz="6" w:space="0"/>
            </w:tcBorders>
          </w:tcPr>
          <w:p w14:paraId="47176114">
            <w:r>
              <w:t>E-003</w:t>
            </w:r>
          </w:p>
        </w:tc>
        <w:tc>
          <w:tcPr>
            <w:tcW w:w="4536" w:type="dxa"/>
            <w:tcBorders>
              <w:bottom w:val="single" w:color="000000" w:sz="6" w:space="0"/>
            </w:tcBorders>
          </w:tcPr>
          <w:p w14:paraId="0CA83A36">
            <w:r>
              <w:t>过热</w:t>
            </w:r>
          </w:p>
        </w:tc>
        <w:tc>
          <w:tcPr>
            <w:tcW w:w="4536" w:type="dxa"/>
            <w:tcBorders>
              <w:bottom w:val="single" w:color="000000" w:sz="6" w:space="0"/>
            </w:tcBorders>
          </w:tcPr>
          <w:p w14:paraId="3B5A1EE5">
            <w:r>
              <w:t>过热、过热、过热、过热</w:t>
            </w:r>
          </w:p>
        </w:tc>
        <w:tc>
          <w:tcPr>
            <w:tcW w:w="4536" w:type="dxa"/>
            <w:tcBorders>
              <w:bottom w:val="single" w:color="000000" w:sz="6" w:space="0"/>
            </w:tcBorders>
          </w:tcPr>
          <w:p w14:paraId="11C1032B">
            <w:r>
              <w:t>是</w:t>
            </w:r>
          </w:p>
        </w:tc>
      </w:tr>
      <w:tr w14:paraId="4CAC6B7C">
        <w:tc>
          <w:tcPr>
            <w:tcW w:w="4536" w:type="dxa"/>
            <w:tcBorders>
              <w:bottom w:val="single" w:color="000000" w:sz="6" w:space="0"/>
            </w:tcBorders>
          </w:tcPr>
          <w:p w14:paraId="2B68CEE0">
            <w:r>
              <w:t>E-004</w:t>
            </w:r>
          </w:p>
        </w:tc>
        <w:tc>
          <w:tcPr>
            <w:tcW w:w="4536" w:type="dxa"/>
            <w:tcBorders>
              <w:bottom w:val="single" w:color="000000" w:sz="6" w:space="0"/>
            </w:tcBorders>
          </w:tcPr>
          <w:p w14:paraId="31C4182E">
            <w:r>
              <w:t>过热</w:t>
            </w:r>
          </w:p>
        </w:tc>
        <w:tc>
          <w:tcPr>
            <w:tcW w:w="4536" w:type="dxa"/>
            <w:tcBorders>
              <w:bottom w:val="single" w:color="000000" w:sz="6" w:space="0"/>
            </w:tcBorders>
          </w:tcPr>
          <w:p w14:paraId="5116B341">
            <w:r>
              <w:t>过热、过热、过热、过热、过热</w:t>
            </w:r>
          </w:p>
        </w:tc>
        <w:tc>
          <w:tcPr>
            <w:tcW w:w="4536" w:type="dxa"/>
            <w:tcBorders>
              <w:bottom w:val="single" w:color="000000" w:sz="6" w:space="0"/>
            </w:tcBorders>
          </w:tcPr>
          <w:p w14:paraId="7D5129AA">
            <w:r>
              <w:t>是</w:t>
            </w:r>
          </w:p>
        </w:tc>
      </w:tr>
      <w:tr w14:paraId="24B49A95">
        <w:tc>
          <w:tcPr>
            <w:tcW w:w="4536" w:type="dxa"/>
            <w:tcBorders>
              <w:bottom w:val="single" w:color="000000" w:sz="6" w:space="0"/>
            </w:tcBorders>
          </w:tcPr>
          <w:p w14:paraId="13E5A5AF">
            <w:r>
              <w:rPr>
                <w:rFonts w:ascii="Times New Roman" w:hAnsi="Times New Roman" w:eastAsia="宋体" w:cs="Times New Roman"/>
                <w:sz w:val="24"/>
              </w:rPr>
              <w:t>E-005</w:t>
            </w:r>
          </w:p>
        </w:tc>
        <w:tc>
          <w:tcPr>
            <w:tcW w:w="4536" w:type="dxa"/>
            <w:tcBorders>
              <w:bottom w:val="single" w:color="000000" w:sz="6" w:space="0"/>
            </w:tcBorders>
          </w:tcPr>
          <w:p w14:paraId="68877996">
            <w:r>
              <w:rPr>
                <w:rFonts w:ascii="Times New Roman" w:hAnsi="Times New Roman" w:eastAsia="宋体" w:cs="Times New Roman"/>
                <w:sz w:val="24"/>
              </w:rPr>
              <w:t>过热</w:t>
            </w:r>
          </w:p>
        </w:tc>
        <w:tc>
          <w:tcPr>
            <w:tcW w:w="4536" w:type="dxa"/>
            <w:tcBorders>
              <w:bottom w:val="single" w:color="000000" w:sz="6" w:space="0"/>
            </w:tcBorders>
          </w:tcPr>
          <w:p w14:paraId="06782F7C">
            <w:r>
              <w:rPr>
                <w:rFonts w:ascii="Times New Roman" w:hAnsi="Times New Roman" w:eastAsia="宋体" w:cs="Times New Roman"/>
                <w:sz w:val="24"/>
              </w:rPr>
              <w:t>过热</w:t>
            </w:r>
          </w:p>
        </w:tc>
        <w:tc>
          <w:tcPr>
            <w:tcW w:w="4536" w:type="dxa"/>
            <w:tcBorders>
              <w:bottom w:val="single" w:color="000000" w:sz="6" w:space="0"/>
            </w:tcBorders>
          </w:tcPr>
          <w:p w14:paraId="3EC43196">
            <w:r>
              <w:t>是</w:t>
            </w:r>
          </w:p>
        </w:tc>
      </w:tr>
      <w:tr w14:paraId="1A025603">
        <w:tc>
          <w:tcPr>
            <w:tcW w:w="4536" w:type="dxa"/>
            <w:tcBorders>
              <w:bottom w:val="single" w:color="000000" w:sz="6" w:space="0"/>
            </w:tcBorders>
          </w:tcPr>
          <w:p w14:paraId="3981CAED">
            <w:r>
              <w:t>E-006</w:t>
            </w:r>
          </w:p>
        </w:tc>
        <w:tc>
          <w:tcPr>
            <w:tcW w:w="4536" w:type="dxa"/>
            <w:tcBorders>
              <w:bottom w:val="single" w:color="000000" w:sz="6" w:space="0"/>
            </w:tcBorders>
          </w:tcPr>
          <w:p w14:paraId="775DC6DC">
            <w:r>
              <w:t>放电兼过热</w:t>
            </w:r>
          </w:p>
        </w:tc>
        <w:tc>
          <w:tcPr>
            <w:tcW w:w="4536" w:type="dxa"/>
            <w:tcBorders>
              <w:bottom w:val="single" w:color="000000" w:sz="6" w:space="0"/>
            </w:tcBorders>
          </w:tcPr>
          <w:p w14:paraId="190476C2">
            <w:r>
              <w:t>过热、过热</w:t>
            </w:r>
          </w:p>
        </w:tc>
        <w:tc>
          <w:tcPr>
            <w:tcW w:w="4536" w:type="dxa"/>
            <w:tcBorders>
              <w:bottom w:val="single" w:color="000000" w:sz="6" w:space="0"/>
            </w:tcBorders>
          </w:tcPr>
          <w:p w14:paraId="4D5C9CD3">
            <w:r>
              <w:t>否</w:t>
            </w:r>
          </w:p>
        </w:tc>
      </w:tr>
      <w:tr w14:paraId="5E4E1D36">
        <w:tc>
          <w:tcPr>
            <w:tcW w:w="4536" w:type="dxa"/>
            <w:tcBorders>
              <w:bottom w:val="single" w:color="000000" w:sz="6" w:space="0"/>
            </w:tcBorders>
          </w:tcPr>
          <w:p w14:paraId="259A0836">
            <w:r>
              <w:t>E-007</w:t>
            </w:r>
          </w:p>
        </w:tc>
        <w:tc>
          <w:tcPr>
            <w:tcW w:w="4536" w:type="dxa"/>
            <w:tcBorders>
              <w:bottom w:val="single" w:color="000000" w:sz="6" w:space="0"/>
            </w:tcBorders>
          </w:tcPr>
          <w:p w14:paraId="6108F720">
            <w:r>
              <w:t>过热</w:t>
            </w:r>
          </w:p>
        </w:tc>
        <w:tc>
          <w:tcPr>
            <w:tcW w:w="4536" w:type="dxa"/>
            <w:tcBorders>
              <w:bottom w:val="single" w:color="000000" w:sz="6" w:space="0"/>
            </w:tcBorders>
          </w:tcPr>
          <w:p w14:paraId="1EC0EAB3">
            <w:r>
              <w:t>过热、过热、过热</w:t>
            </w:r>
          </w:p>
        </w:tc>
        <w:tc>
          <w:tcPr>
            <w:tcW w:w="4536" w:type="dxa"/>
            <w:tcBorders>
              <w:bottom w:val="single" w:color="000000" w:sz="6" w:space="0"/>
            </w:tcBorders>
          </w:tcPr>
          <w:p w14:paraId="63CA11F1">
            <w:r>
              <w:t>是</w:t>
            </w:r>
          </w:p>
        </w:tc>
      </w:tr>
      <w:tr w14:paraId="4DC50F4E">
        <w:tc>
          <w:tcPr>
            <w:tcW w:w="4536" w:type="dxa"/>
            <w:tcBorders>
              <w:bottom w:val="single" w:color="000000" w:sz="6" w:space="0"/>
            </w:tcBorders>
          </w:tcPr>
          <w:p w14:paraId="5E2F5BB2">
            <w:r>
              <w:t>E-008</w:t>
            </w:r>
          </w:p>
        </w:tc>
        <w:tc>
          <w:tcPr>
            <w:tcW w:w="4536" w:type="dxa"/>
            <w:tcBorders>
              <w:bottom w:val="single" w:color="000000" w:sz="6" w:space="0"/>
            </w:tcBorders>
          </w:tcPr>
          <w:p w14:paraId="08BFF2B4">
            <w:r>
              <w:t>过热</w:t>
            </w:r>
          </w:p>
        </w:tc>
        <w:tc>
          <w:tcPr>
            <w:tcW w:w="4536" w:type="dxa"/>
            <w:tcBorders>
              <w:bottom w:val="single" w:color="000000" w:sz="6" w:space="0"/>
            </w:tcBorders>
          </w:tcPr>
          <w:p w14:paraId="79EB6C0C">
            <w:r>
              <w:t>过热、过热、过热、过热、过热、过热</w:t>
            </w:r>
          </w:p>
        </w:tc>
        <w:tc>
          <w:tcPr>
            <w:tcW w:w="4536" w:type="dxa"/>
            <w:tcBorders>
              <w:bottom w:val="single" w:color="000000" w:sz="6" w:space="0"/>
            </w:tcBorders>
          </w:tcPr>
          <w:p w14:paraId="34A84B14">
            <w:r>
              <w:t>是</w:t>
            </w:r>
          </w:p>
        </w:tc>
      </w:tr>
      <w:tr w14:paraId="246CFB01">
        <w:tc>
          <w:tcPr>
            <w:tcW w:w="4536" w:type="dxa"/>
            <w:tcBorders>
              <w:bottom w:val="single" w:color="000000" w:sz="6" w:space="0"/>
            </w:tcBorders>
          </w:tcPr>
          <w:p w14:paraId="5BAC79E7">
            <w:r>
              <w:t>E-009</w:t>
            </w:r>
          </w:p>
        </w:tc>
        <w:tc>
          <w:tcPr>
            <w:tcW w:w="4536" w:type="dxa"/>
            <w:tcBorders>
              <w:bottom w:val="single" w:color="000000" w:sz="6" w:space="0"/>
            </w:tcBorders>
          </w:tcPr>
          <w:p w14:paraId="7F06EA57">
            <w:r>
              <w:t>放电</w:t>
            </w:r>
          </w:p>
        </w:tc>
        <w:tc>
          <w:tcPr>
            <w:tcW w:w="4536" w:type="dxa"/>
            <w:tcBorders>
              <w:bottom w:val="single" w:color="000000" w:sz="6" w:space="0"/>
            </w:tcBorders>
          </w:tcPr>
          <w:p w14:paraId="6D7D672E">
            <w:r>
              <w:t>放电、放电</w:t>
            </w:r>
          </w:p>
        </w:tc>
        <w:tc>
          <w:tcPr>
            <w:tcW w:w="4536" w:type="dxa"/>
            <w:tcBorders>
              <w:bottom w:val="single" w:color="000000" w:sz="6" w:space="0"/>
            </w:tcBorders>
          </w:tcPr>
          <w:p w14:paraId="7084FCAC">
            <w:r>
              <w:t>是</w:t>
            </w:r>
          </w:p>
        </w:tc>
      </w:tr>
      <w:tr w14:paraId="520FEF91">
        <w:tc>
          <w:tcPr>
            <w:tcW w:w="4536" w:type="dxa"/>
            <w:tcBorders>
              <w:bottom w:val="single" w:color="000000" w:sz="6" w:space="0"/>
            </w:tcBorders>
          </w:tcPr>
          <w:p w14:paraId="4F21DC55">
            <w:r>
              <w:t>E-010</w:t>
            </w:r>
          </w:p>
        </w:tc>
        <w:tc>
          <w:tcPr>
            <w:tcW w:w="4536" w:type="dxa"/>
            <w:tcBorders>
              <w:bottom w:val="single" w:color="000000" w:sz="6" w:space="0"/>
            </w:tcBorders>
          </w:tcPr>
          <w:p w14:paraId="272B8B71">
            <w:r>
              <w:t>放电</w:t>
            </w:r>
          </w:p>
        </w:tc>
        <w:tc>
          <w:tcPr>
            <w:tcW w:w="4536" w:type="dxa"/>
            <w:tcBorders>
              <w:bottom w:val="single" w:color="000000" w:sz="6" w:space="0"/>
            </w:tcBorders>
          </w:tcPr>
          <w:p w14:paraId="7A7E36C5">
            <w:r>
              <w:t>放电、放电、放电</w:t>
            </w:r>
          </w:p>
        </w:tc>
        <w:tc>
          <w:tcPr>
            <w:tcW w:w="4536" w:type="dxa"/>
            <w:tcBorders>
              <w:bottom w:val="single" w:color="000000" w:sz="6" w:space="0"/>
            </w:tcBorders>
          </w:tcPr>
          <w:p w14:paraId="20508F0B">
            <w:r>
              <w:t>是</w:t>
            </w:r>
          </w:p>
        </w:tc>
      </w:tr>
      <w:tr w14:paraId="19CC46EE">
        <w:tc>
          <w:tcPr>
            <w:tcW w:w="4536" w:type="dxa"/>
            <w:tcBorders>
              <w:bottom w:val="single" w:color="000000" w:sz="6" w:space="0"/>
            </w:tcBorders>
          </w:tcPr>
          <w:p w14:paraId="03C784A5">
            <w:r>
              <w:t>E-011</w:t>
            </w:r>
          </w:p>
        </w:tc>
        <w:tc>
          <w:tcPr>
            <w:tcW w:w="4536" w:type="dxa"/>
            <w:tcBorders>
              <w:bottom w:val="single" w:color="000000" w:sz="6" w:space="0"/>
            </w:tcBorders>
          </w:tcPr>
          <w:p w14:paraId="48455FA3">
            <w:r>
              <w:t>放电</w:t>
            </w:r>
          </w:p>
        </w:tc>
        <w:tc>
          <w:tcPr>
            <w:tcW w:w="4536" w:type="dxa"/>
            <w:tcBorders>
              <w:bottom w:val="single" w:color="000000" w:sz="6" w:space="0"/>
            </w:tcBorders>
          </w:tcPr>
          <w:p w14:paraId="131780EA">
            <w:r>
              <w:t>过热、放电</w:t>
            </w:r>
          </w:p>
        </w:tc>
        <w:tc>
          <w:tcPr>
            <w:tcW w:w="4536" w:type="dxa"/>
            <w:tcBorders>
              <w:bottom w:val="single" w:color="000000" w:sz="6" w:space="0"/>
            </w:tcBorders>
          </w:tcPr>
          <w:p w14:paraId="45BDF6D5">
            <w:r>
              <w:t>是</w:t>
            </w:r>
          </w:p>
        </w:tc>
      </w:tr>
      <w:tr w14:paraId="3A3EFFA0">
        <w:tc>
          <w:tcPr>
            <w:tcW w:w="4536" w:type="dxa"/>
            <w:tcBorders>
              <w:bottom w:val="single" w:color="000000" w:sz="6" w:space="0"/>
            </w:tcBorders>
          </w:tcPr>
          <w:p w14:paraId="758995E6">
            <w:r>
              <w:t>E-012</w:t>
            </w:r>
          </w:p>
        </w:tc>
        <w:tc>
          <w:tcPr>
            <w:tcW w:w="4536" w:type="dxa"/>
            <w:tcBorders>
              <w:bottom w:val="single" w:color="000000" w:sz="6" w:space="0"/>
            </w:tcBorders>
          </w:tcPr>
          <w:p w14:paraId="1E3A51EC">
            <w:r>
              <w:t>放电</w:t>
            </w:r>
          </w:p>
        </w:tc>
        <w:tc>
          <w:tcPr>
            <w:tcW w:w="4536" w:type="dxa"/>
            <w:tcBorders>
              <w:bottom w:val="single" w:color="000000" w:sz="6" w:space="0"/>
            </w:tcBorders>
          </w:tcPr>
          <w:p w14:paraId="125BC2BF">
            <w:r>
              <w:t>放电兼过热、放电、放电</w:t>
            </w:r>
          </w:p>
        </w:tc>
        <w:tc>
          <w:tcPr>
            <w:tcW w:w="4536" w:type="dxa"/>
            <w:tcBorders>
              <w:bottom w:val="single" w:color="000000" w:sz="6" w:space="0"/>
            </w:tcBorders>
          </w:tcPr>
          <w:p w14:paraId="6F2738AD">
            <w:r>
              <w:t>是</w:t>
            </w:r>
          </w:p>
        </w:tc>
      </w:tr>
      <w:tr w14:paraId="515CB1EA">
        <w:tc>
          <w:tcPr>
            <w:tcW w:w="4536" w:type="dxa"/>
            <w:tcBorders>
              <w:bottom w:val="single" w:color="000000" w:sz="6" w:space="0"/>
            </w:tcBorders>
          </w:tcPr>
          <w:p w14:paraId="1AEE7069">
            <w:r>
              <w:t>E-013</w:t>
            </w:r>
          </w:p>
        </w:tc>
        <w:tc>
          <w:tcPr>
            <w:tcW w:w="4536" w:type="dxa"/>
            <w:tcBorders>
              <w:bottom w:val="single" w:color="000000" w:sz="6" w:space="0"/>
            </w:tcBorders>
          </w:tcPr>
          <w:p w14:paraId="0BB758B6">
            <w:r>
              <w:t>放电</w:t>
            </w:r>
          </w:p>
        </w:tc>
        <w:tc>
          <w:tcPr>
            <w:tcW w:w="4536" w:type="dxa"/>
            <w:tcBorders>
              <w:bottom w:val="single" w:color="000000" w:sz="6" w:space="0"/>
            </w:tcBorders>
          </w:tcPr>
          <w:p w14:paraId="20D51BC7">
            <w:r>
              <w:t>放电兼过热、放电、放电、放电、放电</w:t>
            </w:r>
          </w:p>
        </w:tc>
        <w:tc>
          <w:tcPr>
            <w:tcW w:w="4536" w:type="dxa"/>
            <w:tcBorders>
              <w:bottom w:val="single" w:color="000000" w:sz="6" w:space="0"/>
            </w:tcBorders>
          </w:tcPr>
          <w:p w14:paraId="70D8175A">
            <w:r>
              <w:t>是</w:t>
            </w:r>
          </w:p>
        </w:tc>
      </w:tr>
      <w:tr w14:paraId="69CAA19F">
        <w:tc>
          <w:tcPr>
            <w:tcW w:w="4536" w:type="dxa"/>
            <w:tcBorders>
              <w:bottom w:val="single" w:color="000000" w:sz="6" w:space="0"/>
            </w:tcBorders>
          </w:tcPr>
          <w:p w14:paraId="7E42CCDF">
            <w:r>
              <w:t>E-014</w:t>
            </w:r>
          </w:p>
        </w:tc>
        <w:tc>
          <w:tcPr>
            <w:tcW w:w="4536" w:type="dxa"/>
            <w:tcBorders>
              <w:bottom w:val="single" w:color="000000" w:sz="6" w:space="0"/>
            </w:tcBorders>
          </w:tcPr>
          <w:p w14:paraId="36054FC3">
            <w:r>
              <w:t>放电</w:t>
            </w:r>
          </w:p>
        </w:tc>
        <w:tc>
          <w:tcPr>
            <w:tcW w:w="4536" w:type="dxa"/>
            <w:tcBorders>
              <w:bottom w:val="single" w:color="000000" w:sz="6" w:space="0"/>
            </w:tcBorders>
          </w:tcPr>
          <w:p w14:paraId="43F69BEF">
            <w:r>
              <w:t>放电、放电、放电、放电、放电、放电</w:t>
            </w:r>
          </w:p>
        </w:tc>
        <w:tc>
          <w:tcPr>
            <w:tcW w:w="4536" w:type="dxa"/>
            <w:tcBorders>
              <w:bottom w:val="single" w:color="000000" w:sz="6" w:space="0"/>
            </w:tcBorders>
          </w:tcPr>
          <w:p w14:paraId="7986C5CE">
            <w:r>
              <w:t>是</w:t>
            </w:r>
          </w:p>
        </w:tc>
      </w:tr>
      <w:tr w14:paraId="18E94FC0">
        <w:tc>
          <w:tcPr>
            <w:tcW w:w="4536" w:type="dxa"/>
            <w:tcBorders>
              <w:bottom w:val="single" w:color="000000" w:sz="6" w:space="0"/>
            </w:tcBorders>
          </w:tcPr>
          <w:p w14:paraId="291BD80F">
            <w:r>
              <w:t>E-015</w:t>
            </w:r>
          </w:p>
        </w:tc>
        <w:tc>
          <w:tcPr>
            <w:tcW w:w="4536" w:type="dxa"/>
            <w:tcBorders>
              <w:bottom w:val="single" w:color="000000" w:sz="6" w:space="0"/>
            </w:tcBorders>
          </w:tcPr>
          <w:p w14:paraId="7BC29616">
            <w:r>
              <w:t>放电</w:t>
            </w:r>
          </w:p>
        </w:tc>
        <w:tc>
          <w:tcPr>
            <w:tcW w:w="4536" w:type="dxa"/>
            <w:tcBorders>
              <w:bottom w:val="single" w:color="000000" w:sz="6" w:space="0"/>
            </w:tcBorders>
          </w:tcPr>
          <w:p w14:paraId="06C99720">
            <w:r>
              <w:t>放电、放电、放电、放电、放电</w:t>
            </w:r>
          </w:p>
        </w:tc>
        <w:tc>
          <w:tcPr>
            <w:tcW w:w="4536" w:type="dxa"/>
            <w:tcBorders>
              <w:bottom w:val="single" w:color="000000" w:sz="6" w:space="0"/>
            </w:tcBorders>
          </w:tcPr>
          <w:p w14:paraId="5330856E">
            <w:r>
              <w:t>是</w:t>
            </w:r>
          </w:p>
        </w:tc>
      </w:tr>
      <w:tr w14:paraId="30486622">
        <w:tc>
          <w:tcPr>
            <w:tcW w:w="4536" w:type="dxa"/>
            <w:tcBorders>
              <w:bottom w:val="single" w:color="000000" w:sz="6" w:space="0"/>
            </w:tcBorders>
          </w:tcPr>
          <w:p w14:paraId="2EECD488">
            <w:r>
              <w:t>E-016</w:t>
            </w:r>
          </w:p>
        </w:tc>
        <w:tc>
          <w:tcPr>
            <w:tcW w:w="4536" w:type="dxa"/>
            <w:tcBorders>
              <w:bottom w:val="single" w:color="000000" w:sz="6" w:space="0"/>
            </w:tcBorders>
          </w:tcPr>
          <w:p w14:paraId="42C6E54D">
            <w:r>
              <w:t>放电兼过热</w:t>
            </w:r>
          </w:p>
        </w:tc>
        <w:tc>
          <w:tcPr>
            <w:tcW w:w="4536" w:type="dxa"/>
            <w:tcBorders>
              <w:bottom w:val="single" w:color="000000" w:sz="6" w:space="0"/>
            </w:tcBorders>
          </w:tcPr>
          <w:p w14:paraId="31A525F5">
            <w:r>
              <w:t>过热、过热、过热、过热、放电兼过热、放电</w:t>
            </w:r>
          </w:p>
        </w:tc>
        <w:tc>
          <w:tcPr>
            <w:tcW w:w="4536" w:type="dxa"/>
            <w:tcBorders>
              <w:bottom w:val="single" w:color="000000" w:sz="6" w:space="0"/>
            </w:tcBorders>
          </w:tcPr>
          <w:p w14:paraId="629A8355">
            <w:r>
              <w:t>否</w:t>
            </w:r>
          </w:p>
        </w:tc>
      </w:tr>
      <w:tr w14:paraId="2BFE2622">
        <w:tc>
          <w:tcPr>
            <w:tcW w:w="4536" w:type="dxa"/>
            <w:tcBorders>
              <w:bottom w:val="single" w:color="000000" w:sz="6" w:space="0"/>
            </w:tcBorders>
          </w:tcPr>
          <w:p w14:paraId="637A4C88">
            <w:r>
              <w:t>E-017</w:t>
            </w:r>
          </w:p>
        </w:tc>
        <w:tc>
          <w:tcPr>
            <w:tcW w:w="4536" w:type="dxa"/>
            <w:tcBorders>
              <w:bottom w:val="single" w:color="000000" w:sz="6" w:space="0"/>
            </w:tcBorders>
          </w:tcPr>
          <w:p w14:paraId="0A719599">
            <w:r>
              <w:t>放电</w:t>
            </w:r>
          </w:p>
        </w:tc>
        <w:tc>
          <w:tcPr>
            <w:tcW w:w="4536" w:type="dxa"/>
            <w:tcBorders>
              <w:bottom w:val="single" w:color="000000" w:sz="6" w:space="0"/>
            </w:tcBorders>
          </w:tcPr>
          <w:p w14:paraId="106537A2">
            <w:r>
              <w:t>放电、放电、放电、放电</w:t>
            </w:r>
          </w:p>
        </w:tc>
        <w:tc>
          <w:tcPr>
            <w:tcW w:w="4536" w:type="dxa"/>
            <w:tcBorders>
              <w:bottom w:val="single" w:color="000000" w:sz="6" w:space="0"/>
            </w:tcBorders>
          </w:tcPr>
          <w:p w14:paraId="2EA109DB">
            <w:r>
              <w:t>是</w:t>
            </w:r>
          </w:p>
        </w:tc>
      </w:tr>
    </w:tbl>
    <w:p w14:paraId="1A7E68F7">
      <w:pPr>
        <w:pStyle w:val="3"/>
        <w:spacing w:before="120" w:after="120" w:line="360" w:lineRule="auto"/>
        <w:ind w:firstLine="0"/>
        <w:jc w:val="center"/>
      </w:pPr>
      <w:r>
        <w:rPr>
          <w:rFonts w:ascii="Times New Roman" w:hAnsi="Times New Roman" w:eastAsia="宋体" w:cs="Times New Roman"/>
          <w:b w:val="0"/>
          <w:sz w:val="24"/>
        </w:rPr>
        <w:t>注：按取样先后列出各点系统性质；末点对应末样评价。“末点是否一致”指末点性质大类是否与该附录对照性质一致。</w:t>
      </w:r>
    </w:p>
    <w:p w14:paraId="1BAC8DAB"/>
    <w:p w14:paraId="3518BF77">
      <w:pPr>
        <w:pStyle w:val="6"/>
        <w:spacing w:before="120" w:after="120" w:line="360" w:lineRule="auto"/>
        <w:ind w:firstLine="0"/>
        <w:jc w:val="left"/>
      </w:pPr>
      <w:bookmarkStart w:id="96" w:name="_Toc942899146"/>
      <w:bookmarkStart w:id="97" w:name="_Toc422791433"/>
      <w:r>
        <w:rPr>
          <w:rFonts w:ascii="Times New Roman" w:hAnsi="Times New Roman" w:eastAsia="黑体" w:cs="Times New Roman"/>
          <w:sz w:val="24"/>
          <w:szCs w:val="24"/>
        </w:rPr>
        <w:t>3.9.5 典型冲突样本案例分析</w:t>
      </w:r>
      <w:bookmarkEnd w:id="96"/>
      <w:bookmarkEnd w:id="97"/>
    </w:p>
    <w:p w14:paraId="1674A0AC">
      <w:pPr>
        <w:pStyle w:val="3"/>
        <w:spacing w:before="0" w:after="0" w:line="360" w:lineRule="auto"/>
        <w:ind w:firstLine="420"/>
        <w:jc w:val="both"/>
      </w:pPr>
      <w:r>
        <w:rPr>
          <w:rFonts w:ascii="Times New Roman" w:hAnsi="Times New Roman" w:eastAsia="宋体" w:cs="Times New Roman"/>
          <w:sz w:val="24"/>
        </w:rPr>
        <w:t>案例E-006：该附录写明为铁芯鼓出接触引起过热，并伴有轻微放电痕迹，对照性质为放电兼过热。末样乙炔约0.37μL/L，甲烷与乙烯明显偏高，本章方法判为过热，主结论为热故障大于700℃（T3）。气体数据几乎只反映过热，轻微放电没有带来可辨认的乙炔升高，因而末样对不上“放电兼过热”。</w:t>
      </w:r>
    </w:p>
    <w:p w14:paraId="55017DE6">
      <w:pPr>
        <w:pStyle w:val="3"/>
        <w:spacing w:before="0" w:after="0" w:line="360" w:lineRule="auto"/>
        <w:ind w:firstLine="420"/>
        <w:jc w:val="both"/>
      </w:pPr>
      <w:r>
        <w:rPr>
          <w:rFonts w:ascii="Times New Roman" w:hAnsi="Times New Roman" w:eastAsia="宋体" w:cs="Times New Roman"/>
          <w:sz w:val="24"/>
        </w:rPr>
        <w:t>案例E-016：该附录写明为匝间短路烧蚀（过热）叠加多次短路冲击致放电，对照性质为放电兼过热。末样乙炔升至约5.6μL/L，本章方法判为放电（高能放电D2）。表3.7中该例逐点为过热、过热、过热、过热、放电兼过热、放电：前段多为过热，后段转为放电；末点记为未命中，但逐点已能看出混合过程。该例说明：混合故障若只拿末点去对该附录对照，可能只落在过热或放电一侧；结合多点连续判型，才能看出先后变化。</w:t>
      </w:r>
    </w:p>
    <w:p w14:paraId="3ADED396">
      <w:pPr>
        <w:pStyle w:val="3"/>
        <w:spacing w:before="0" w:after="0" w:line="360" w:lineRule="auto"/>
        <w:ind w:firstLine="420"/>
        <w:jc w:val="both"/>
      </w:pPr>
      <w:r>
        <w:rPr>
          <w:rFonts w:ascii="Times New Roman" w:hAnsi="Times New Roman" w:eastAsia="宋体" w:cs="Times New Roman"/>
          <w:sz w:val="24"/>
        </w:rPr>
        <w:t>两例未命中的对照如表3.8所示。</w:t>
      </w:r>
    </w:p>
    <w:p w14:paraId="79D4F5FB">
      <w:pPr>
        <w:pStyle w:val="15"/>
        <w:spacing w:before="120" w:after="120" w:line="360" w:lineRule="auto"/>
        <w:ind w:firstLine="0"/>
        <w:jc w:val="center"/>
      </w:pPr>
      <w:r>
        <w:rPr>
          <w:rFonts w:ascii="Times New Roman" w:hAnsi="Times New Roman" w:eastAsia="宋体" w:cs="Times New Roman"/>
          <w:sz w:val="24"/>
        </w:rPr>
        <w:t>表3.8　该附录典型混合故障未命中案例对照</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14"/>
        <w:gridCol w:w="1814"/>
        <w:gridCol w:w="1814"/>
        <w:gridCol w:w="1814"/>
        <w:gridCol w:w="1814"/>
      </w:tblGrid>
      <w:tr w14:paraId="5D254F51">
        <w:tc>
          <w:tcPr>
            <w:tcW w:w="1814" w:type="dxa"/>
            <w:tcBorders>
              <w:bottom w:val="single" w:color="000000" w:sz="6" w:space="0"/>
            </w:tcBorders>
          </w:tcPr>
          <w:p w14:paraId="2377F9AA">
            <w:pPr>
              <w:spacing w:before="40" w:after="40" w:line="276" w:lineRule="auto"/>
              <w:jc w:val="center"/>
            </w:pPr>
            <w:r>
              <w:rPr>
                <w:rFonts w:ascii="Times New Roman" w:hAnsi="Times New Roman" w:eastAsia="宋体" w:cs="Times New Roman"/>
                <w:sz w:val="21"/>
                <w:szCs w:val="21"/>
              </w:rPr>
              <w:t>案例</w:t>
            </w:r>
          </w:p>
        </w:tc>
        <w:tc>
          <w:tcPr>
            <w:tcW w:w="1814" w:type="dxa"/>
            <w:tcBorders>
              <w:bottom w:val="single" w:color="000000" w:sz="6" w:space="0"/>
            </w:tcBorders>
          </w:tcPr>
          <w:p w14:paraId="6A5252B4">
            <w:pPr>
              <w:spacing w:before="40" w:after="40" w:line="276" w:lineRule="auto"/>
              <w:jc w:val="center"/>
            </w:pPr>
            <w:r>
              <w:rPr>
                <w:rFonts w:ascii="Times New Roman" w:hAnsi="Times New Roman" w:eastAsia="宋体" w:cs="Times New Roman"/>
                <w:sz w:val="24"/>
              </w:rPr>
              <w:t>该附录原文现象</w:t>
            </w:r>
          </w:p>
        </w:tc>
        <w:tc>
          <w:tcPr>
            <w:tcW w:w="1814" w:type="dxa"/>
            <w:tcBorders>
              <w:bottom w:val="single" w:color="000000" w:sz="6" w:space="0"/>
            </w:tcBorders>
          </w:tcPr>
          <w:p w14:paraId="26529FEF">
            <w:pPr>
              <w:spacing w:before="40" w:after="40" w:line="276" w:lineRule="auto"/>
              <w:jc w:val="center"/>
            </w:pPr>
            <w:r>
              <w:rPr>
                <w:rFonts w:ascii="Times New Roman" w:hAnsi="Times New Roman" w:eastAsia="宋体" w:cs="Times New Roman"/>
                <w:sz w:val="24"/>
              </w:rPr>
              <w:t>对照性质</w:t>
            </w:r>
          </w:p>
        </w:tc>
        <w:tc>
          <w:tcPr>
            <w:tcW w:w="1814" w:type="dxa"/>
            <w:tcBorders>
              <w:bottom w:val="single" w:color="000000" w:sz="6" w:space="0"/>
            </w:tcBorders>
          </w:tcPr>
          <w:p w14:paraId="4CA55568">
            <w:pPr>
              <w:spacing w:before="40" w:after="40" w:line="276" w:lineRule="auto"/>
              <w:jc w:val="center"/>
            </w:pPr>
            <w:r>
              <w:rPr>
                <w:rFonts w:ascii="Times New Roman" w:hAnsi="Times New Roman" w:eastAsia="宋体" w:cs="Times New Roman"/>
                <w:sz w:val="24"/>
              </w:rPr>
              <w:t>本章方法（末点）</w:t>
            </w:r>
          </w:p>
        </w:tc>
        <w:tc>
          <w:tcPr>
            <w:tcW w:w="1814" w:type="dxa"/>
            <w:tcBorders>
              <w:bottom w:val="single" w:color="000000" w:sz="6" w:space="0"/>
            </w:tcBorders>
          </w:tcPr>
          <w:p w14:paraId="021BC1EA">
            <w:pPr>
              <w:spacing w:before="40" w:after="40" w:line="276" w:lineRule="auto"/>
              <w:jc w:val="center"/>
            </w:pPr>
            <w:r>
              <w:rPr>
                <w:rFonts w:ascii="Times New Roman" w:hAnsi="Times New Roman" w:eastAsia="宋体" w:cs="Times New Roman"/>
                <w:sz w:val="21"/>
                <w:szCs w:val="21"/>
              </w:rPr>
              <w:t>说明</w:t>
            </w:r>
          </w:p>
        </w:tc>
      </w:tr>
      <w:tr w14:paraId="368C7515">
        <w:tc>
          <w:tcPr>
            <w:tcW w:w="1814" w:type="dxa"/>
          </w:tcPr>
          <w:p w14:paraId="34F352BD">
            <w:pPr>
              <w:spacing w:before="40" w:after="40" w:line="276" w:lineRule="auto"/>
              <w:jc w:val="center"/>
            </w:pPr>
            <w:r>
              <w:rPr>
                <w:rFonts w:ascii="Times New Roman" w:hAnsi="Times New Roman" w:eastAsia="宋体" w:cs="Times New Roman"/>
                <w:sz w:val="21"/>
                <w:szCs w:val="21"/>
              </w:rPr>
              <w:t>E-006</w:t>
            </w:r>
          </w:p>
        </w:tc>
        <w:tc>
          <w:tcPr>
            <w:tcW w:w="1814" w:type="dxa"/>
          </w:tcPr>
          <w:p w14:paraId="3DF702AD">
            <w:pPr>
              <w:spacing w:before="40" w:after="40" w:line="276" w:lineRule="auto"/>
              <w:jc w:val="center"/>
            </w:pPr>
            <w:r>
              <w:rPr>
                <w:rFonts w:ascii="Times New Roman" w:hAnsi="Times New Roman" w:eastAsia="宋体" w:cs="Times New Roman"/>
                <w:sz w:val="21"/>
                <w:szCs w:val="21"/>
              </w:rPr>
              <w:t>铁芯鼓出接触过热并伴轻微放电</w:t>
            </w:r>
          </w:p>
        </w:tc>
        <w:tc>
          <w:tcPr>
            <w:tcW w:w="1814" w:type="dxa"/>
          </w:tcPr>
          <w:p w14:paraId="0B39C71D">
            <w:pPr>
              <w:spacing w:before="40" w:after="40" w:line="276" w:lineRule="auto"/>
              <w:jc w:val="center"/>
            </w:pPr>
            <w:r>
              <w:rPr>
                <w:rFonts w:ascii="Times New Roman" w:hAnsi="Times New Roman" w:eastAsia="宋体" w:cs="Times New Roman"/>
                <w:sz w:val="21"/>
                <w:szCs w:val="21"/>
              </w:rPr>
              <w:t>放电兼过热</w:t>
            </w:r>
          </w:p>
        </w:tc>
        <w:tc>
          <w:tcPr>
            <w:tcW w:w="1814" w:type="dxa"/>
          </w:tcPr>
          <w:p w14:paraId="1BE318CD">
            <w:pPr>
              <w:spacing w:before="40" w:after="40" w:line="276" w:lineRule="auto"/>
              <w:jc w:val="center"/>
            </w:pPr>
            <w:r>
              <w:rPr>
                <w:rFonts w:ascii="Times New Roman" w:hAnsi="Times New Roman" w:eastAsia="宋体" w:cs="Times New Roman"/>
                <w:sz w:val="21"/>
                <w:szCs w:val="21"/>
              </w:rPr>
              <w:t>过热（T3）</w:t>
            </w:r>
          </w:p>
        </w:tc>
        <w:tc>
          <w:tcPr>
            <w:tcW w:w="1814" w:type="dxa"/>
          </w:tcPr>
          <w:p w14:paraId="4E789B2B">
            <w:pPr>
              <w:spacing w:before="40" w:after="40" w:line="276" w:lineRule="auto"/>
              <w:jc w:val="center"/>
            </w:pPr>
            <w:r>
              <w:rPr>
                <w:rFonts w:ascii="Times New Roman" w:hAnsi="Times New Roman" w:eastAsia="宋体" w:cs="Times New Roman"/>
                <w:sz w:val="24"/>
              </w:rPr>
              <w:t>乙炔约0.37μL/L，放电特征不明显</w:t>
            </w:r>
          </w:p>
        </w:tc>
      </w:tr>
      <w:tr w14:paraId="0D5D4E4B">
        <w:tc>
          <w:tcPr>
            <w:tcW w:w="1814" w:type="dxa"/>
          </w:tcPr>
          <w:p w14:paraId="4CC6AE8A">
            <w:pPr>
              <w:spacing w:before="40" w:after="40" w:line="276" w:lineRule="auto"/>
              <w:jc w:val="center"/>
            </w:pPr>
            <w:r>
              <w:rPr>
                <w:rFonts w:ascii="Times New Roman" w:hAnsi="Times New Roman" w:eastAsia="宋体" w:cs="Times New Roman"/>
                <w:sz w:val="21"/>
                <w:szCs w:val="21"/>
              </w:rPr>
              <w:t>E-016</w:t>
            </w:r>
          </w:p>
        </w:tc>
        <w:tc>
          <w:tcPr>
            <w:tcW w:w="1814" w:type="dxa"/>
          </w:tcPr>
          <w:p w14:paraId="76830E18">
            <w:pPr>
              <w:spacing w:before="40" w:after="40" w:line="276" w:lineRule="auto"/>
              <w:jc w:val="center"/>
            </w:pPr>
            <w:r>
              <w:rPr>
                <w:rFonts w:ascii="Times New Roman" w:hAnsi="Times New Roman" w:eastAsia="宋体" w:cs="Times New Roman"/>
                <w:sz w:val="21"/>
                <w:szCs w:val="21"/>
              </w:rPr>
              <w:t>匝间短路烧蚀叠加短路冲击放电</w:t>
            </w:r>
          </w:p>
        </w:tc>
        <w:tc>
          <w:tcPr>
            <w:tcW w:w="1814" w:type="dxa"/>
          </w:tcPr>
          <w:p w14:paraId="24F69A8B">
            <w:pPr>
              <w:spacing w:before="40" w:after="40" w:line="276" w:lineRule="auto"/>
              <w:jc w:val="center"/>
            </w:pPr>
            <w:r>
              <w:rPr>
                <w:rFonts w:ascii="Times New Roman" w:hAnsi="Times New Roman" w:eastAsia="宋体" w:cs="Times New Roman"/>
                <w:sz w:val="21"/>
                <w:szCs w:val="21"/>
              </w:rPr>
              <w:t>放电兼过热</w:t>
            </w:r>
          </w:p>
        </w:tc>
        <w:tc>
          <w:tcPr>
            <w:tcW w:w="1814" w:type="dxa"/>
          </w:tcPr>
          <w:p w14:paraId="3998F2CA">
            <w:pPr>
              <w:spacing w:before="40" w:after="40" w:line="276" w:lineRule="auto"/>
              <w:jc w:val="center"/>
            </w:pPr>
            <w:r>
              <w:rPr>
                <w:rFonts w:ascii="Times New Roman" w:hAnsi="Times New Roman" w:eastAsia="宋体" w:cs="Times New Roman"/>
                <w:sz w:val="21"/>
                <w:szCs w:val="21"/>
              </w:rPr>
              <w:t>放电（D2）</w:t>
            </w:r>
          </w:p>
        </w:tc>
        <w:tc>
          <w:tcPr>
            <w:tcW w:w="1814" w:type="dxa"/>
          </w:tcPr>
          <w:p w14:paraId="094293AB">
            <w:pPr>
              <w:spacing w:before="40" w:after="40" w:line="276" w:lineRule="auto"/>
              <w:jc w:val="center"/>
            </w:pPr>
            <w:r>
              <w:rPr>
                <w:rFonts w:ascii="Times New Roman" w:hAnsi="Times New Roman" w:eastAsia="宋体" w:cs="Times New Roman"/>
                <w:sz w:val="24"/>
              </w:rPr>
              <w:t>见表3.7逐点变化</w:t>
            </w:r>
          </w:p>
        </w:tc>
      </w:tr>
    </w:tbl>
    <w:p w14:paraId="4FBCF665"/>
    <w:p w14:paraId="1FF27689">
      <w:pPr>
        <w:pStyle w:val="3"/>
        <w:spacing w:before="0" w:after="0" w:line="360" w:lineRule="auto"/>
        <w:ind w:firstLine="420"/>
        <w:jc w:val="both"/>
      </w:pPr>
      <w:r>
        <w:rPr>
          <w:rFonts w:ascii="Times New Roman" w:hAnsi="Times New Roman" w:eastAsia="宋体" w:cs="Times New Roman"/>
          <w:sz w:val="24"/>
        </w:rPr>
        <w:t>上述两例计入准确率分母，不从验证中剔除。</w:t>
      </w:r>
    </w:p>
    <w:p w14:paraId="51640E9F">
      <w:pPr>
        <w:pStyle w:val="4"/>
        <w:spacing w:before="156" w:beforeLines="50" w:after="156" w:afterLines="50" w:line="360" w:lineRule="auto"/>
        <w:ind w:left="0"/>
        <w:jc w:val="both"/>
        <w:rPr>
          <w:rFonts w:hint="eastAsia" w:eastAsia="黑体"/>
          <w:b w:val="0"/>
          <w:bCs/>
          <w:sz w:val="24"/>
          <w:szCs w:val="18"/>
        </w:rPr>
      </w:pPr>
      <w:bookmarkStart w:id="98" w:name="_Toc1979710155"/>
      <w:bookmarkStart w:id="99" w:name="_Toc1024115609"/>
      <w:r>
        <w:rPr>
          <w:rFonts w:hint="eastAsia" w:eastAsia="黑体"/>
          <w:b w:val="0"/>
          <w:bCs/>
          <w:sz w:val="24"/>
          <w:szCs w:val="18"/>
        </w:rPr>
        <w:t>3.10 本章小结</w:t>
      </w:r>
      <w:bookmarkEnd w:id="98"/>
      <w:bookmarkEnd w:id="99"/>
    </w:p>
    <w:p w14:paraId="33B7CAA3">
      <w:pPr>
        <w:pStyle w:val="3"/>
        <w:spacing w:before="0" w:after="0" w:line="360" w:lineRule="auto"/>
        <w:ind w:firstLine="420"/>
        <w:jc w:val="both"/>
      </w:pPr>
      <w:r>
        <w:rPr>
          <w:rFonts w:ascii="Times New Roman" w:hAnsi="Times New Roman" w:eastAsia="宋体" w:cs="Times New Roman"/>
          <w:b w:val="0"/>
          <w:sz w:val="24"/>
        </w:rPr>
        <w:t>本章主要处理三个问题：触发判型条件不够清楚、多方法协同不足，以及试验建议不容易落到具体项目。本文以检测分级达到注意值2或告警、或总烃月环比超注意（含涨势预警）为双门槛进入判型，避免只看检测分级而漏掉早期涨势；并行采用特征气体法、三比值法与大卫三角形法，按优先级确定主结论，并做性质核对和可信度标注，可信度低时标为暂定；试验建议则按DL/T 722—2014[6]附录D与DL/T 1685—2017[8]附录B列出具体项目，并在第4章报告和第5章界面中核对。在该标准附录E共17组真实色谱案例上，性质大类判断准确率为88.2%；未命中的两例都为放电兼过热，说明只看末样时气体特征可能偏向一侧，按多次取样连续判型更容易看出先后变化。本章结果供第4章智能体的监测决策和报告生成使用。</w:t>
      </w:r>
    </w:p>
    <w:p w14:paraId="01F38E73">
      <w:r>
        <w:rPr>
          <w:rFonts w:ascii="Times New Roman" w:hAnsi="Times New Roman" w:eastAsia="宋体" w:cs="Times New Roman"/>
          <w:b w:val="0"/>
          <w:sz w:val="24"/>
          <w:szCs w:val="24"/>
        </w:rPr>
        <w:br w:type="page"/>
      </w:r>
    </w:p>
    <w:p w14:paraId="6FE1FE4A">
      <w:pPr>
        <w:pStyle w:val="2"/>
        <w:spacing w:before="480" w:after="360" w:line="360" w:lineRule="auto"/>
        <w:ind w:firstLine="0"/>
        <w:jc w:val="center"/>
      </w:pPr>
      <w:bookmarkStart w:id="100" w:name="_Toc229609758"/>
      <w:bookmarkEnd w:id="100"/>
      <w:bookmarkStart w:id="101" w:name="_Toc2024432114"/>
      <w:bookmarkEnd w:id="101"/>
      <w:r>
        <w:rPr>
          <w:rFonts w:ascii="Times New Roman" w:hAnsi="Times New Roman" w:eastAsia="黑体" w:cs="Times New Roman"/>
          <w:sz w:val="32"/>
          <w:szCs w:val="32"/>
        </w:rPr>
        <w:t>4 面向变压器油中溶解气体分析智能体设计与实现</w:t>
      </w:r>
    </w:p>
    <w:p w14:paraId="4E467310">
      <w:pPr>
        <w:pStyle w:val="4"/>
        <w:spacing w:before="156" w:beforeLines="50" w:after="156" w:afterLines="50" w:line="360" w:lineRule="auto"/>
        <w:ind w:left="0"/>
        <w:jc w:val="both"/>
        <w:rPr>
          <w:rFonts w:hint="eastAsia" w:eastAsia="黑体"/>
          <w:b w:val="0"/>
          <w:bCs/>
          <w:sz w:val="24"/>
          <w:szCs w:val="18"/>
        </w:rPr>
      </w:pPr>
      <w:bookmarkStart w:id="102" w:name="_Toc23089047"/>
      <w:bookmarkStart w:id="103" w:name="_Toc2047120577"/>
      <w:r>
        <w:rPr>
          <w:rFonts w:hint="eastAsia" w:eastAsia="黑体"/>
          <w:b w:val="0"/>
          <w:bCs/>
          <w:sz w:val="24"/>
          <w:szCs w:val="18"/>
        </w:rPr>
        <w:t>4.1 引言</w:t>
      </w:r>
      <w:bookmarkEnd w:id="102"/>
      <w:bookmarkEnd w:id="103"/>
    </w:p>
    <w:p w14:paraId="4E959448">
      <w:pPr>
        <w:pStyle w:val="3"/>
        <w:spacing w:before="0" w:after="0" w:line="360" w:lineRule="auto"/>
        <w:ind w:firstLine="420"/>
        <w:jc w:val="both"/>
      </w:pPr>
      <w:r>
        <w:rPr>
          <w:rFonts w:ascii="Times New Roman" w:hAnsi="Times New Roman" w:eastAsia="宋体" w:cs="Times New Roman"/>
          <w:sz w:val="24"/>
          <w:szCs w:val="24"/>
        </w:rPr>
        <w:t>第2、第3章已分别给出检测分级与故障类型判断的规则计算方法。按DL/T 722—2014[6]，这些判定结果最终应整理为分析报告，并据监视与试验相关要求作出后续安排。要把前两章算出的分级与判型结果用于这一过程，还需要固定的执行顺序，以及把规则结论写入报告字段的方法。</w:t>
      </w:r>
    </w:p>
    <w:p w14:paraId="4A3C6DCF">
      <w:pPr>
        <w:pStyle w:val="3"/>
        <w:spacing w:before="0" w:after="0" w:line="360" w:lineRule="auto"/>
        <w:ind w:firstLine="420"/>
        <w:jc w:val="both"/>
      </w:pPr>
      <w:r>
        <w:rPr>
          <w:rFonts w:ascii="Times New Roman" w:hAnsi="Times New Roman" w:eastAsia="宋体" w:cs="Times New Roman"/>
          <w:sz w:val="24"/>
          <w:szCs w:val="24"/>
        </w:rPr>
        <w:t>本章在此基础上研究油中溶解气体分析智能体。以固定七步工作流编排当日分析（步骤名称与顺序见图4.1）；分析意见可用大语言模型润色，分级结果与故障类型仍取自规则模块。</w:t>
      </w:r>
    </w:p>
    <w:p w14:paraId="38741175">
      <w:pPr>
        <w:pStyle w:val="4"/>
        <w:spacing w:before="156" w:beforeLines="50" w:after="156" w:afterLines="50" w:line="360" w:lineRule="auto"/>
        <w:ind w:left="0"/>
        <w:jc w:val="both"/>
        <w:rPr>
          <w:rFonts w:hint="eastAsia" w:eastAsia="黑体"/>
          <w:b w:val="0"/>
          <w:bCs/>
          <w:sz w:val="24"/>
          <w:szCs w:val="18"/>
        </w:rPr>
      </w:pPr>
      <w:bookmarkStart w:id="104" w:name="_Toc1510556469"/>
      <w:bookmarkStart w:id="105" w:name="_Toc1120029052"/>
      <w:r>
        <w:rPr>
          <w:rFonts w:hint="eastAsia" w:eastAsia="黑体"/>
          <w:b w:val="0"/>
          <w:bCs/>
          <w:sz w:val="24"/>
          <w:szCs w:val="18"/>
        </w:rPr>
        <w:t>4.2 相关研究与问题分析</w:t>
      </w:r>
      <w:bookmarkEnd w:id="104"/>
      <w:bookmarkEnd w:id="105"/>
    </w:p>
    <w:p w14:paraId="777B37C7">
      <w:pPr>
        <w:pStyle w:val="3"/>
        <w:spacing w:before="0" w:after="0" w:line="360" w:lineRule="auto"/>
        <w:ind w:firstLine="420"/>
        <w:jc w:val="both"/>
      </w:pPr>
      <w:r>
        <w:rPr>
          <w:rFonts w:ascii="Times New Roman" w:hAnsi="Times New Roman" w:eastAsia="宋体" w:cs="Times New Roman"/>
          <w:b w:val="0"/>
          <w:sz w:val="24"/>
          <w:szCs w:val="24"/>
        </w:rPr>
        <w:t xml:space="preserve">电力设备运维中，人工智能已由单一算法识别扩展到流程协同与知识辅助；蒲天骄等指出智能体适合将多个分析步骤串联起来[12]，变压器运维与变电故障诊断中也有相关应用讨论[32][33]。其中也有强调自主规划、由模型自行选择步骤或直接给出诊断结论的做法。本文场景下，分级结果与故障类型要能对照到行业标准，不宜把判定交给模型自由决定。因此，智能体仍用于串联分析步骤，但限为固定工作流编排：判定与监测建议由行业标准规则给出，大模型只润色报告文字，不改写判定结果，也不自行规划分析顺序。</w:t>
      </w:r>
    </w:p>
    <w:p w14:paraId="13AD7EF1">
      <w:pPr>
        <w:pStyle w:val="3"/>
        <w:spacing w:before="0" w:after="0" w:line="360" w:lineRule="auto"/>
        <w:ind w:firstLine="420"/>
        <w:jc w:val="both"/>
      </w:pPr>
      <w:r>
        <w:rPr>
          <w:rFonts w:ascii="Times New Roman" w:hAnsi="Times New Roman" w:eastAsia="宋体" w:cs="Times New Roman"/>
          <w:sz w:val="24"/>
          <w:szCs w:val="24"/>
        </w:rPr>
        <w:t>结合现有系统实现和实际使用情况，仍存在以下三点不足。</w:t>
      </w:r>
    </w:p>
    <w:p w14:paraId="5B67289D">
      <w:pPr>
        <w:pStyle w:val="3"/>
        <w:keepNext w:val="0"/>
        <w:keepLines w:val="0"/>
        <w:pageBreakBefore w:val="0"/>
        <w:widowControl w:val="0"/>
        <w:numPr>
          <w:ilvl w:val="0"/>
          <w:numId w:val="12"/>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分析顺序缺乏固化。一次完整分析应按固定顺序完成从检测分级到报告生成的各步。若步骤没有固定下来，而是每次临时安排先做哪一步，就容易漏做或后做该先做的环节，同一组气体数据也难以稳定汇总成同一份报告。</w:t>
      </w:r>
    </w:p>
    <w:p w14:paraId="7502D8E5">
      <w:pPr>
        <w:pStyle w:val="3"/>
        <w:keepNext w:val="0"/>
        <w:keepLines w:val="0"/>
        <w:pageBreakBefore w:val="0"/>
        <w:widowControl w:val="0"/>
        <w:numPr>
          <w:ilvl w:val="0"/>
          <w:numId w:val="12"/>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 xml:space="preserve">监测决策条件不明确。检测周期怎么定、要不要二次采样、试验建议列哪几项，都应对应到具体条件与标准依据。若系统只给出“缩短周期”“建议采样”一类结论，却不写清是在什么条件下、按哪一条作出的，事后就难以核对。</w:t>
      </w:r>
    </w:p>
    <w:p w14:paraId="3680592A">
      <w:pPr>
        <w:pStyle w:val="3"/>
        <w:keepNext w:val="0"/>
        <w:keepLines w:val="0"/>
        <w:pageBreakBefore w:val="0"/>
        <w:widowControl w:val="0"/>
        <w:numPr>
          <w:ilvl w:val="0"/>
          <w:numId w:val="12"/>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大模型写意见可能改掉判定结果。正式报告需要自然语言表述。若连分级结果、故障类型也交给大模型生成，写出来的结论可能和规则算的不一样；若完全不用模型，报告文字又往往生硬。</w:t>
      </w:r>
    </w:p>
    <w:p w14:paraId="2DF570FA">
      <w:pPr>
        <w:pStyle w:val="3"/>
        <w:spacing w:before="0" w:after="0" w:line="360" w:lineRule="auto"/>
        <w:ind w:firstLine="420"/>
        <w:jc w:val="both"/>
      </w:pPr>
      <w:r>
        <w:rPr>
          <w:rFonts w:ascii="Times New Roman" w:hAnsi="Times New Roman" w:eastAsia="宋体" w:cs="Times New Roman"/>
          <w:sz w:val="24"/>
          <w:szCs w:val="24"/>
        </w:rPr>
        <w:t>针对上述不足，本章提出以下改进：</w:t>
      </w:r>
    </w:p>
    <w:p w14:paraId="73A1E8B1">
      <w:pPr>
        <w:pStyle w:val="3"/>
        <w:keepNext w:val="0"/>
        <w:keepLines w:val="0"/>
        <w:pageBreakBefore w:val="0"/>
        <w:widowControl w:val="0"/>
        <w:numPr>
          <w:ilvl w:val="0"/>
          <w:numId w:val="13"/>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设计固定七步工作流。按图4.1所示顺序完成当日分析，把第2、第3章的规则计算结果落成一次完整分析。未达相应门槛时，处置紧急度或故障判型可以不做，但不中断整次分析。</w:t>
      </w:r>
    </w:p>
    <w:p w14:paraId="7CFF8375">
      <w:pPr>
        <w:pStyle w:val="3"/>
        <w:keepNext w:val="0"/>
        <w:keepLines w:val="0"/>
        <w:pageBreakBefore w:val="0"/>
        <w:widowControl w:val="0"/>
        <w:numPr>
          <w:ilvl w:val="0"/>
          <w:numId w:val="13"/>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 xml:space="preserve">建立按行业标准给出的监测决策。按分级、趋势、紧急度和判型结果，输出检测周期、二次采样建议和试验清单，并写明对应条件与所依据的标准，便于事后核对；试验清单承接第3章给出的项目，不另给停电或检修指令。</w:t>
      </w:r>
    </w:p>
    <w:p w14:paraId="488351C4">
      <w:pPr>
        <w:pStyle w:val="3"/>
        <w:keepNext w:val="0"/>
        <w:keepLines w:val="0"/>
        <w:pageBreakBefore w:val="0"/>
        <w:widowControl w:val="0"/>
        <w:numPr>
          <w:ilvl w:val="0"/>
          <w:numId w:val="13"/>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明确规则判定与报告润色的分工。报告按DL/T 722—2014[6]格式组织，填入报告各字段；规则给出分级结果与故障类型后不再改动，大模型只润色报告文字；模型不可用或输出不合要求时，改用规则模板生成文字，并可在结论处注明所用标准依据。</w:t>
      </w:r>
    </w:p>
    <w:p w14:paraId="14BBA503">
      <w:pPr>
        <w:pStyle w:val="4"/>
        <w:spacing w:before="156" w:beforeLines="50" w:after="156" w:afterLines="50" w:line="360" w:lineRule="auto"/>
        <w:ind w:left="0"/>
        <w:jc w:val="both"/>
        <w:rPr>
          <w:rFonts w:hint="eastAsia" w:eastAsia="黑体"/>
          <w:b w:val="0"/>
          <w:bCs/>
          <w:sz w:val="24"/>
          <w:szCs w:val="18"/>
        </w:rPr>
      </w:pPr>
      <w:bookmarkStart w:id="106" w:name="_Toc1634111009"/>
      <w:bookmarkStart w:id="107" w:name="_Toc370899649"/>
      <w:r>
        <w:rPr>
          <w:rFonts w:hint="eastAsia" w:eastAsia="黑体"/>
          <w:b w:val="0"/>
          <w:bCs/>
          <w:sz w:val="24"/>
          <w:szCs w:val="18"/>
        </w:rPr>
        <w:t>4.3 智能体整体架构设计</w:t>
      </w:r>
      <w:bookmarkEnd w:id="106"/>
      <w:bookmarkEnd w:id="107"/>
    </w:p>
    <w:p w14:paraId="3C79F20D">
      <w:pPr>
        <w:pStyle w:val="3"/>
        <w:spacing w:before="0" w:after="0" w:line="360" w:lineRule="auto"/>
        <w:ind w:firstLine="420"/>
        <w:jc w:val="both"/>
      </w:pPr>
      <w:r>
        <w:rPr>
          <w:rFonts w:ascii="Times New Roman" w:hAnsi="Times New Roman" w:eastAsia="宋体" w:cs="Times New Roman"/>
          <w:sz w:val="24"/>
          <w:szCs w:val="24"/>
        </w:rPr>
        <w:t>智能体内部按职责分为感知、分析、决策与表达四层，这与第1、第5章的系统五层架构不是同一套划分；四层之间用固定七步工作流串起来，名称与先后顺序如图4.1所示。大语言模型不参与检测分级与故障类型计算。系统另提供分析助手：先按规则匹配用户意图，完整分析仍走同一套七步工作流；追问则基于最近一次规则结果作答，大模型只润色文字；常见标准问题按整理好的说明直接回答。主界面和助手共用同一次分析结果。助手界面和追问交互见第5章。</w:t>
      </w:r>
    </w:p>
    <w:p w14:paraId="65AC3928">
      <w:pPr>
        <w:spacing w:before="120" w:after="60"/>
        <w:ind w:firstLine="0"/>
        <w:jc w:val="center"/>
        <w:rPr>
          <w:rFonts w:hint="eastAsia" w:eastAsia="宋体"/>
          <w:lang w:eastAsia="zh-CN"/>
        </w:rPr>
      </w:pPr>
      <w:r>
        <w:rPr>
          <w:rFonts w:hint="eastAsia" w:eastAsia="宋体"/>
          <w:lang w:eastAsia="zh-CN"/>
        </w:rPr>
        <w:drawing>
          <wp:inline distT="0" distB="0" distL="114300" distR="114300">
            <wp:extent cx="5745480" cy="994410"/>
            <wp:effectExtent l="0" t="0" r="20320" b="21590"/>
            <wp:docPr id="24" name="图片 24" descr="178568836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785688361311"/>
                    <pic:cNvPicPr>
                      <a:picLocks noChangeAspect="1"/>
                    </pic:cNvPicPr>
                  </pic:nvPicPr>
                  <pic:blipFill>
                    <a:blip r:embed="rId30"/>
                    <a:stretch>
                      <a:fillRect/>
                    </a:stretch>
                  </pic:blipFill>
                  <pic:spPr>
                    <a:xfrm>
                      <a:off x="0" y="0"/>
                      <a:ext cx="5745480" cy="994410"/>
                    </a:xfrm>
                    <a:prstGeom prst="rect">
                      <a:avLst/>
                    </a:prstGeom>
                  </pic:spPr>
                </pic:pic>
              </a:graphicData>
            </a:graphic>
          </wp:inline>
        </w:drawing>
      </w:r>
    </w:p>
    <w:p w14:paraId="6005A445">
      <w:pPr>
        <w:pStyle w:val="15"/>
        <w:spacing w:before="120" w:after="120" w:line="360" w:lineRule="auto"/>
        <w:ind w:firstLine="0"/>
        <w:jc w:val="center"/>
      </w:pPr>
      <w:r>
        <w:rPr>
          <w:rFonts w:ascii="Times New Roman" w:hAnsi="Times New Roman" w:eastAsia="宋体" w:cs="Times New Roman"/>
          <w:sz w:val="21"/>
          <w:szCs w:val="21"/>
        </w:rPr>
        <w:t>图4.1 油中溶解气体分析智能体架构与七步工作流</w:t>
      </w:r>
    </w:p>
    <w:p w14:paraId="3B95B1B1">
      <w:pPr>
        <w:pStyle w:val="4"/>
        <w:spacing w:before="156" w:beforeLines="50" w:after="156" w:afterLines="50" w:line="360" w:lineRule="auto"/>
        <w:ind w:left="0"/>
        <w:jc w:val="both"/>
        <w:rPr>
          <w:rFonts w:hint="eastAsia" w:eastAsia="黑体"/>
          <w:b w:val="0"/>
          <w:bCs/>
          <w:sz w:val="24"/>
          <w:szCs w:val="18"/>
        </w:rPr>
      </w:pPr>
      <w:bookmarkStart w:id="108" w:name="_Toc335366780"/>
      <w:bookmarkStart w:id="109" w:name="_Toc1712857149"/>
      <w:r>
        <w:rPr>
          <w:rFonts w:hint="eastAsia" w:eastAsia="黑体"/>
          <w:b w:val="0"/>
          <w:bCs/>
          <w:sz w:val="24"/>
          <w:szCs w:val="18"/>
        </w:rPr>
        <w:t>4.4 智能体工作流设计</w:t>
      </w:r>
      <w:bookmarkEnd w:id="108"/>
      <w:bookmarkEnd w:id="109"/>
    </w:p>
    <w:p w14:paraId="0423B698">
      <w:pPr>
        <w:pStyle w:val="3"/>
        <w:spacing w:before="0" w:after="0" w:line="360" w:lineRule="auto"/>
        <w:ind w:firstLine="420"/>
        <w:jc w:val="both"/>
      </w:pPr>
      <w:r>
        <w:rPr>
          <w:rFonts w:ascii="Times New Roman" w:hAnsi="Times New Roman" w:eastAsia="宋体" w:cs="Times New Roman"/>
          <w:sz w:val="24"/>
          <w:szCs w:val="24"/>
        </w:rPr>
        <w:t>七步名称与先后顺序见图4.1。各步输入、输出与跳过条件如下。</w:t>
      </w:r>
    </w:p>
    <w:p w14:paraId="142B72EC">
      <w:pPr>
        <w:pStyle w:val="3"/>
        <w:spacing w:before="0" w:after="0" w:line="360" w:lineRule="auto"/>
        <w:ind w:firstLine="420"/>
        <w:jc w:val="both"/>
      </w:pPr>
      <w:r>
        <w:t>气体读取：读入指定监测日的七种气体浓度，作为后续各步的共同输入。</w:t>
      </w:r>
    </w:p>
    <w:p w14:paraId="411D4F14">
      <w:pPr>
        <w:pStyle w:val="3"/>
        <w:spacing w:before="0" w:after="0" w:line="360" w:lineRule="auto"/>
        <w:ind w:firstLine="420"/>
        <w:jc w:val="both"/>
      </w:pPr>
      <w:r>
        <w:t>检测分级：调用第2章方法，输出当日检测分级及表2.1各项明细。</w:t>
      </w:r>
    </w:p>
    <w:p w14:paraId="573B3D32">
      <w:pPr>
        <w:pStyle w:val="3"/>
        <w:spacing w:before="0" w:after="0" w:line="360" w:lineRule="auto"/>
        <w:ind w:firstLine="420"/>
        <w:jc w:val="both"/>
      </w:pPr>
      <w:r>
        <w:t>产气趋势：调用第2章总烃月环比，输出是否速率超注意、是否涨势预警。</w:t>
      </w:r>
    </w:p>
    <w:p w14:paraId="4DE2F78D">
      <w:pPr>
        <w:pStyle w:val="3"/>
        <w:spacing w:before="0" w:after="0" w:line="360" w:lineRule="auto"/>
        <w:ind w:firstLine="420"/>
        <w:jc w:val="both"/>
      </w:pPr>
      <w:r>
        <w:t>处置紧急度：在检测分级已达注意值2或告警时，按第2章规则给出高/中/低；未达该门槛则跳过。</w:t>
      </w:r>
    </w:p>
    <w:p w14:paraId="1F525E9F">
      <w:pPr>
        <w:pStyle w:val="3"/>
        <w:spacing w:before="0" w:after="0" w:line="360" w:lineRule="auto"/>
        <w:ind w:firstLine="420"/>
        <w:jc w:val="both"/>
      </w:pPr>
      <w:r>
        <w:t>故障判型：在注意值2/告警或速率超注意（含涨势预警）时，调用第3章三法交叉研判；未达门槛则跳过。</w:t>
      </w:r>
    </w:p>
    <w:p w14:paraId="5AAEB94B">
      <w:pPr>
        <w:pStyle w:val="3"/>
        <w:spacing w:before="0" w:after="0" w:line="360" w:lineRule="auto"/>
        <w:ind w:firstLine="420"/>
        <w:jc w:val="both"/>
      </w:pPr>
      <w:r>
        <w:t>监测决策：综合前面已有结果，按第4.5节规则给出检测周期、二次采样建议与试验清单；本步不跳过。</w:t>
      </w:r>
    </w:p>
    <w:p w14:paraId="6DB80CF6">
      <w:pPr>
        <w:pStyle w:val="3"/>
        <w:spacing w:before="0" w:after="0" w:line="360" w:lineRule="auto"/>
        <w:ind w:firstLine="420"/>
        <w:jc w:val="both"/>
      </w:pPr>
      <w:r>
        <w:t>报告生成：按分析报告生成方法写入分析报告字段，大模型只润色分析意见等文字；本步不跳过。</w:t>
      </w:r>
    </w:p>
    <w:p w14:paraId="0AE27719">
      <w:pPr>
        <w:pStyle w:val="3"/>
        <w:spacing w:before="0" w:after="0" w:line="360" w:lineRule="auto"/>
        <w:ind w:firstLine="420"/>
        <w:jc w:val="both"/>
      </w:pPr>
      <w:r>
        <w:t>紧急度或判型被跳过时，监测决策和报告仍照常给出，整次分析不中断。</w:t>
      </w:r>
    </w:p>
    <w:p w14:paraId="11D5B47E">
      <w:pPr>
        <w:pStyle w:val="4"/>
        <w:spacing w:before="156" w:beforeLines="50" w:after="156" w:afterLines="50" w:line="360" w:lineRule="auto"/>
        <w:ind w:left="0"/>
        <w:jc w:val="both"/>
        <w:rPr>
          <w:rFonts w:hint="eastAsia" w:eastAsia="黑体"/>
          <w:b w:val="0"/>
          <w:bCs/>
          <w:sz w:val="24"/>
          <w:szCs w:val="18"/>
        </w:rPr>
      </w:pPr>
      <w:bookmarkStart w:id="110" w:name="_Toc1512381732"/>
      <w:bookmarkStart w:id="111" w:name="_Toc971815208"/>
      <w:r>
        <w:rPr>
          <w:rFonts w:hint="eastAsia" w:eastAsia="黑体"/>
          <w:b/>
          <w:bCs/>
          <w:sz w:val="24"/>
          <w:szCs w:val="18"/>
        </w:rPr>
        <w:t>4.5 基于行业标准判据的监测决策机制设计</w:t>
      </w:r>
      <w:bookmarkEnd w:id="110"/>
      <w:bookmarkEnd w:id="111"/>
    </w:p>
    <w:p w14:paraId="6CC1E7E1">
      <w:pPr>
        <w:pStyle w:val="3"/>
        <w:spacing w:before="0" w:after="0" w:line="360" w:lineRule="auto"/>
        <w:ind w:firstLine="420"/>
        <w:jc w:val="both"/>
      </w:pPr>
      <w:r>
        <w:rPr>
          <w:rFonts w:ascii="Times New Roman" w:hAnsi="Times New Roman" w:eastAsia="宋体" w:cs="Times New Roman"/>
          <w:sz w:val="24"/>
          <w:szCs w:val="24"/>
        </w:rPr>
        <w:t xml:space="preserve">监测决策接在检测分级、产气趋势、处置紧急度和交叉研判之后，输出检测周期、二次采样建议和其他检查性试验清单，并写明条件与行业标准依据；不做停电或检修指令。检测周期数字取自DL/T 1498.2—2025[7]：基线周期对应该标准附录A中A.3.1（220kV及以下≤12h），最小检测周期对应第5.5.5条多组分装置下限≤2h；二次采样对应第5.4.5条，该条不含周期数值。A.3.1的12h与第5.5.5条少组分最小检测周期≤12h同数不同义，本文按多组分演示取≤2h。主规则如表4.1所示。注意值2及以上时，二次采样按交叉研判可信度单独判断：可信度低则建议核实，否则暂不建议。试验清单一律沿用第3章给出的项目。</w:t>
      </w:r>
    </w:p>
    <w:p w14:paraId="02BAF3A9">
      <w:pPr>
        <w:pStyle w:val="15"/>
        <w:spacing w:before="120" w:after="120" w:line="360" w:lineRule="auto"/>
        <w:ind w:firstLine="0"/>
        <w:jc w:val="center"/>
      </w:pPr>
      <w:r>
        <w:rPr>
          <w:rFonts w:ascii="Times New Roman" w:hAnsi="Times New Roman" w:eastAsia="黑体" w:cs="Times New Roman"/>
          <w:b/>
          <w:bCs/>
          <w:sz w:val="21"/>
          <w:szCs w:val="21"/>
        </w:rPr>
        <w:t>表4.1 监测决策主规则</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24"/>
        <w:gridCol w:w="3024"/>
        <w:gridCol w:w="3024"/>
      </w:tblGrid>
      <w:tr w14:paraId="24D8B0CF">
        <w:tc>
          <w:tcPr>
            <w:tcW w:w="3024" w:type="dxa"/>
            <w:tcBorders>
              <w:bottom w:val="single" w:color="000000" w:sz="6" w:space="0"/>
            </w:tcBorders>
          </w:tcPr>
          <w:p w14:paraId="371392DA">
            <w:pPr>
              <w:spacing w:before="40" w:after="40" w:line="276" w:lineRule="auto"/>
              <w:jc w:val="center"/>
            </w:pPr>
            <w:r>
              <w:rPr>
                <w:rFonts w:ascii="Times New Roman" w:hAnsi="Times New Roman" w:eastAsia="宋体" w:cs="Times New Roman"/>
                <w:sz w:val="21"/>
                <w:szCs w:val="21"/>
              </w:rPr>
              <w:t>条件</w:t>
            </w:r>
          </w:p>
        </w:tc>
        <w:tc>
          <w:tcPr>
            <w:tcW w:w="3024" w:type="dxa"/>
            <w:tcBorders>
              <w:bottom w:val="single" w:color="000000" w:sz="6" w:space="0"/>
            </w:tcBorders>
          </w:tcPr>
          <w:p w14:paraId="0A52CBEE">
            <w:pPr>
              <w:spacing w:before="40" w:after="40" w:line="276" w:lineRule="auto"/>
              <w:jc w:val="center"/>
            </w:pPr>
            <w:r>
              <w:rPr>
                <w:rFonts w:ascii="Times New Roman" w:hAnsi="Times New Roman" w:eastAsia="宋体" w:cs="Times New Roman"/>
                <w:sz w:val="21"/>
                <w:szCs w:val="21"/>
              </w:rPr>
              <w:t>检测周期</w:t>
            </w:r>
          </w:p>
        </w:tc>
        <w:tc>
          <w:tcPr>
            <w:tcW w:w="3024" w:type="dxa"/>
            <w:tcBorders>
              <w:bottom w:val="single" w:color="000000" w:sz="6" w:space="0"/>
            </w:tcBorders>
          </w:tcPr>
          <w:p w14:paraId="43A16791">
            <w:pPr>
              <w:spacing w:before="40" w:after="40" w:line="276" w:lineRule="auto"/>
              <w:jc w:val="center"/>
            </w:pPr>
            <w:r>
              <w:rPr>
                <w:rFonts w:ascii="Times New Roman" w:hAnsi="Times New Roman" w:eastAsia="宋体" w:cs="Times New Roman"/>
                <w:sz w:val="21"/>
                <w:szCs w:val="21"/>
              </w:rPr>
              <w:t>二次采样</w:t>
            </w:r>
          </w:p>
        </w:tc>
      </w:tr>
      <w:tr w14:paraId="1E5C9FAA">
        <w:tc>
          <w:tcPr>
            <w:tcW w:w="3024" w:type="dxa"/>
          </w:tcPr>
          <w:p w14:paraId="6C2AE8BC">
            <w:pPr>
              <w:spacing w:before="40" w:after="40" w:line="276" w:lineRule="auto"/>
              <w:jc w:val="center"/>
            </w:pPr>
            <w:r>
              <w:rPr>
                <w:rFonts w:ascii="Times New Roman" w:hAnsi="Times New Roman" w:eastAsia="宋体" w:cs="Times New Roman"/>
                <w:sz w:val="21"/>
                <w:szCs w:val="21"/>
              </w:rPr>
              <w:t>正常或注意值1，且非涨势预警、速率未超</w:t>
            </w:r>
          </w:p>
        </w:tc>
        <w:tc>
          <w:tcPr>
            <w:tcW w:w="3024" w:type="dxa"/>
          </w:tcPr>
          <w:p w14:paraId="6511C4E5">
            <w:pPr>
              <w:spacing w:before="40" w:after="40" w:line="276" w:lineRule="auto"/>
              <w:jc w:val="center"/>
            </w:pPr>
            <w:r>
              <w:rPr>
                <w:rFonts w:ascii="Times New Roman" w:hAnsi="Times New Roman" w:eastAsia="宋体" w:cs="Times New Roman"/>
                <w:sz w:val="21"/>
                <w:szCs w:val="21"/>
              </w:rPr>
              <w:t>按在线基线周期（≤12h）</w:t>
            </w:r>
          </w:p>
        </w:tc>
        <w:tc>
          <w:tcPr>
            <w:tcW w:w="3024" w:type="dxa"/>
          </w:tcPr>
          <w:p w14:paraId="57F43556">
            <w:pPr>
              <w:spacing w:before="40" w:after="40" w:line="276" w:lineRule="auto"/>
              <w:jc w:val="center"/>
            </w:pPr>
            <w:r>
              <w:rPr>
                <w:rFonts w:ascii="Times New Roman" w:hAnsi="Times New Roman" w:eastAsia="宋体" w:cs="Times New Roman"/>
                <w:sz w:val="21"/>
                <w:szCs w:val="21"/>
              </w:rPr>
              <w:t>不需要</w:t>
            </w:r>
          </w:p>
        </w:tc>
      </w:tr>
      <w:tr w14:paraId="46C9F59A">
        <w:tc>
          <w:tcPr>
            <w:tcW w:w="3024" w:type="dxa"/>
          </w:tcPr>
          <w:p w14:paraId="237BEB57">
            <w:pPr>
              <w:spacing w:before="40" w:after="40" w:line="276" w:lineRule="auto"/>
              <w:jc w:val="center"/>
            </w:pPr>
            <w:r>
              <w:rPr>
                <w:rFonts w:ascii="Times New Roman" w:hAnsi="Times New Roman" w:eastAsia="宋体" w:cs="Times New Roman"/>
                <w:sz w:val="21"/>
                <w:szCs w:val="21"/>
              </w:rPr>
              <w:t>涨势预警（检测分级为正常或注意值1且速率超注意）</w:t>
            </w:r>
          </w:p>
        </w:tc>
        <w:tc>
          <w:tcPr>
            <w:tcW w:w="3024" w:type="dxa"/>
          </w:tcPr>
          <w:p w14:paraId="415A2169">
            <w:pPr>
              <w:spacing w:before="40" w:after="40" w:line="276" w:lineRule="auto"/>
              <w:jc w:val="center"/>
            </w:pPr>
            <w:r>
              <w:rPr>
                <w:rFonts w:ascii="Times New Roman" w:hAnsi="Times New Roman" w:eastAsia="宋体" w:cs="Times New Roman"/>
                <w:sz w:val="21"/>
                <w:szCs w:val="21"/>
              </w:rPr>
              <w:t>缩短至最小检测周期（下限≤2h）</w:t>
            </w:r>
          </w:p>
        </w:tc>
        <w:tc>
          <w:tcPr>
            <w:tcW w:w="3024" w:type="dxa"/>
          </w:tcPr>
          <w:p w14:paraId="4CFD0B27">
            <w:pPr>
              <w:spacing w:before="40" w:after="40" w:line="276" w:lineRule="auto"/>
              <w:jc w:val="center"/>
            </w:pPr>
            <w:r>
              <w:rPr>
                <w:rFonts w:ascii="Times New Roman" w:hAnsi="Times New Roman" w:eastAsia="宋体" w:cs="Times New Roman"/>
                <w:sz w:val="21"/>
                <w:szCs w:val="21"/>
              </w:rPr>
              <w:t>建议二次采样验证</w:t>
            </w:r>
          </w:p>
        </w:tc>
      </w:tr>
      <w:tr w14:paraId="22692C6A">
        <w:tc>
          <w:tcPr>
            <w:tcW w:w="3024" w:type="dxa"/>
          </w:tcPr>
          <w:p w14:paraId="451A1997">
            <w:pPr>
              <w:spacing w:before="40" w:after="40" w:line="276" w:lineRule="auto"/>
              <w:jc w:val="center"/>
            </w:pPr>
            <w:r>
              <w:rPr>
                <w:rFonts w:ascii="Times New Roman" w:hAnsi="Times New Roman" w:eastAsia="宋体" w:cs="Times New Roman"/>
                <w:sz w:val="21"/>
                <w:szCs w:val="21"/>
              </w:rPr>
              <w:t>注意值2/告警+紧急度低</w:t>
            </w:r>
          </w:p>
        </w:tc>
        <w:tc>
          <w:tcPr>
            <w:tcW w:w="3024" w:type="dxa"/>
          </w:tcPr>
          <w:p w14:paraId="002A64C0">
            <w:pPr>
              <w:spacing w:before="40" w:after="40" w:line="276" w:lineRule="auto"/>
              <w:jc w:val="center"/>
            </w:pPr>
            <w:r>
              <w:rPr>
                <w:rFonts w:ascii="Times New Roman" w:hAnsi="Times New Roman" w:eastAsia="宋体" w:cs="Times New Roman"/>
                <w:sz w:val="21"/>
                <w:szCs w:val="21"/>
              </w:rPr>
              <w:t>保持基线并加强监视（≤12h）</w:t>
            </w:r>
          </w:p>
        </w:tc>
        <w:tc>
          <w:tcPr>
            <w:tcW w:w="3024" w:type="dxa"/>
          </w:tcPr>
          <w:p w14:paraId="15BA18CF">
            <w:pPr>
              <w:spacing w:before="40" w:after="40" w:line="276" w:lineRule="auto"/>
              <w:jc w:val="center"/>
            </w:pPr>
            <w:r>
              <w:rPr>
                <w:rFonts w:ascii="Times New Roman" w:hAnsi="Times New Roman" w:eastAsia="宋体" w:cs="Times New Roman"/>
                <w:sz w:val="21"/>
                <w:szCs w:val="21"/>
              </w:rPr>
              <w:t>按可信度分支</w:t>
            </w:r>
          </w:p>
        </w:tc>
      </w:tr>
      <w:tr w14:paraId="188E66C1">
        <w:tc>
          <w:tcPr>
            <w:tcW w:w="3024" w:type="dxa"/>
          </w:tcPr>
          <w:p w14:paraId="0E63EEB5">
            <w:pPr>
              <w:spacing w:before="40" w:after="40" w:line="276" w:lineRule="auto"/>
              <w:jc w:val="center"/>
            </w:pPr>
            <w:r>
              <w:rPr>
                <w:rFonts w:ascii="Times New Roman" w:hAnsi="Times New Roman" w:eastAsia="宋体" w:cs="Times New Roman"/>
                <w:sz w:val="21"/>
                <w:szCs w:val="21"/>
              </w:rPr>
              <w:t>注意值2/告警+紧急度中</w:t>
            </w:r>
          </w:p>
        </w:tc>
        <w:tc>
          <w:tcPr>
            <w:tcW w:w="3024" w:type="dxa"/>
          </w:tcPr>
          <w:p w14:paraId="46A7C90A">
            <w:pPr>
              <w:spacing w:before="40" w:after="40" w:line="276" w:lineRule="auto"/>
              <w:jc w:val="center"/>
            </w:pPr>
            <w:r>
              <w:rPr>
                <w:rFonts w:ascii="Times New Roman" w:hAnsi="Times New Roman" w:eastAsia="宋体" w:cs="Times New Roman"/>
                <w:sz w:val="21"/>
                <w:szCs w:val="21"/>
              </w:rPr>
              <w:t>缩短检测周期并加强监视（建议逼近≤2h）</w:t>
            </w:r>
          </w:p>
        </w:tc>
        <w:tc>
          <w:tcPr>
            <w:tcW w:w="3024" w:type="dxa"/>
          </w:tcPr>
          <w:p w14:paraId="3BD22C8A">
            <w:pPr>
              <w:spacing w:before="40" w:after="40" w:line="276" w:lineRule="auto"/>
              <w:jc w:val="center"/>
            </w:pPr>
            <w:r>
              <w:rPr>
                <w:rFonts w:ascii="Times New Roman" w:hAnsi="Times New Roman" w:eastAsia="宋体" w:cs="Times New Roman"/>
                <w:sz w:val="21"/>
                <w:szCs w:val="21"/>
              </w:rPr>
              <w:t>按可信度分支</w:t>
            </w:r>
          </w:p>
        </w:tc>
      </w:tr>
      <w:tr w14:paraId="1820BF39">
        <w:tc>
          <w:tcPr>
            <w:tcW w:w="3024" w:type="dxa"/>
          </w:tcPr>
          <w:p w14:paraId="38513033">
            <w:pPr>
              <w:spacing w:before="40" w:after="40" w:line="276" w:lineRule="auto"/>
              <w:jc w:val="center"/>
            </w:pPr>
            <w:r>
              <w:rPr>
                <w:rFonts w:ascii="Times New Roman" w:hAnsi="Times New Roman" w:eastAsia="宋体" w:cs="Times New Roman"/>
                <w:sz w:val="21"/>
                <w:szCs w:val="21"/>
              </w:rPr>
              <w:t>注意值2/告警+紧急度高</w:t>
            </w:r>
          </w:p>
        </w:tc>
        <w:tc>
          <w:tcPr>
            <w:tcW w:w="3024" w:type="dxa"/>
          </w:tcPr>
          <w:p w14:paraId="7F695305">
            <w:pPr>
              <w:spacing w:before="40" w:after="40" w:line="276" w:lineRule="auto"/>
              <w:jc w:val="center"/>
            </w:pPr>
            <w:r>
              <w:rPr>
                <w:rFonts w:ascii="Times New Roman" w:hAnsi="Times New Roman" w:eastAsia="宋体" w:cs="Times New Roman"/>
                <w:sz w:val="21"/>
                <w:szCs w:val="21"/>
              </w:rPr>
              <w:t>缩短至最小检测周期（下限≤2h）</w:t>
            </w:r>
          </w:p>
        </w:tc>
        <w:tc>
          <w:tcPr>
            <w:tcW w:w="3024" w:type="dxa"/>
          </w:tcPr>
          <w:p w14:paraId="502A455F">
            <w:pPr>
              <w:spacing w:before="40" w:after="40" w:line="276" w:lineRule="auto"/>
              <w:jc w:val="center"/>
            </w:pPr>
            <w:r>
              <w:rPr>
                <w:rFonts w:ascii="Times New Roman" w:hAnsi="Times New Roman" w:eastAsia="宋体" w:cs="Times New Roman"/>
                <w:sz w:val="21"/>
                <w:szCs w:val="21"/>
              </w:rPr>
              <w:t>按可信度分支</w:t>
            </w:r>
          </w:p>
        </w:tc>
      </w:tr>
    </w:tbl>
    <w:p w14:paraId="3E9D08B7"/>
    <w:p w14:paraId="1EB57C00">
      <w:pPr>
        <w:pStyle w:val="3"/>
        <w:spacing w:before="0" w:after="0" w:line="360" w:lineRule="auto"/>
        <w:ind w:firstLine="420"/>
        <w:jc w:val="both"/>
      </w:pPr>
      <w:r>
        <w:rPr>
          <w:rFonts w:ascii="Times New Roman" w:hAnsi="Times New Roman" w:eastAsia="宋体" w:cs="Times New Roman"/>
          <w:sz w:val="24"/>
          <w:szCs w:val="24"/>
        </w:rPr>
        <w:t>表中注意值2/告警各行按处置紧急度区分检测周期。紧急度为低时，对应仅氢气相关指标超标且总烃月环比未超注意的情形，按DL/T 722—2014[6]第9.3.3条d）维持基线周期并加强监视；紧急度为中、高时，分别对应暂稳和涨势快，检测周期按表4.1缩短。</w:t>
      </w:r>
    </w:p>
    <w:p w14:paraId="0DFAA539">
      <w:pPr>
        <w:pStyle w:val="4"/>
        <w:spacing w:before="156" w:beforeLines="50" w:after="156" w:afterLines="50" w:line="360" w:lineRule="auto"/>
        <w:ind w:left="0"/>
        <w:jc w:val="both"/>
        <w:rPr>
          <w:rFonts w:hint="eastAsia" w:eastAsia="黑体"/>
          <w:b w:val="0"/>
          <w:bCs/>
          <w:sz w:val="24"/>
          <w:szCs w:val="18"/>
        </w:rPr>
      </w:pPr>
      <w:bookmarkStart w:id="112" w:name="_Toc1685065421"/>
      <w:bookmarkStart w:id="113" w:name="_Toc983323832"/>
      <w:r>
        <w:rPr>
          <w:rFonts w:hint="eastAsia" w:eastAsia="黑体"/>
          <w:b/>
          <w:bCs/>
          <w:sz w:val="24"/>
          <w:szCs w:val="18"/>
        </w:rPr>
        <w:t>4.6 面向行业标准报告版式的分析报告生成方法</w:t>
      </w:r>
      <w:bookmarkEnd w:id="112"/>
      <w:bookmarkEnd w:id="113"/>
    </w:p>
    <w:p w14:paraId="4D84238D">
      <w:pPr>
        <w:pStyle w:val="3"/>
        <w:spacing w:before="0" w:after="0" w:line="360" w:lineRule="auto"/>
        <w:ind w:firstLine="420"/>
        <w:jc w:val="both"/>
      </w:pPr>
      <w:r>
        <w:rPr>
          <w:rFonts w:ascii="Times New Roman" w:hAnsi="Times New Roman" w:eastAsia="宋体" w:cs="Times New Roman"/>
          <w:sz w:val="24"/>
          <w:szCs w:val="24"/>
        </w:rPr>
        <w:t>报告按DL/T 722—2014[6]附录G组织。前面各步算出的判定结果汇总后，写入分析意见和其他检查性试验说明，并填到报告对应栏位。设备基本信息，以及当日与此前约一周、两周、三周取样日的气体浓度一并填入；缺数据处填“—”。总烃绝对产气速率缺少油密度等参数，报告中填“—”；总烃相对产气速率写在分析意见里。报告生成后可导出为PDF。</w:t>
      </w:r>
    </w:p>
    <w:p w14:paraId="3251C7E9">
      <w:pPr>
        <w:pStyle w:val="3"/>
        <w:spacing w:before="0" w:after="0" w:line="360" w:lineRule="auto"/>
        <w:ind w:firstLine="420"/>
        <w:jc w:val="both"/>
      </w:pPr>
      <w:r>
        <w:rPr>
          <w:rFonts w:ascii="Times New Roman" w:hAnsi="Times New Roman" w:eastAsia="宋体" w:cs="Times New Roman"/>
          <w:sz w:val="24"/>
          <w:szCs w:val="24"/>
        </w:rPr>
        <w:t>判定结果只来自规则计算，大语言模型不得改写分级结果、故障类型、检测周期与试验项目。分析意见按“告警级别”“趋势”“处置紧急度”“故障类型”“处置建议”分区书写，默认由大语言模型按判定结果润色；未配置模型、调用失败或未通过校验时，改用规则模板，并在界面结果与运行日志中标明本次为模型生成或规则模板。</w:t>
      </w:r>
    </w:p>
    <w:p w14:paraId="10095A0F">
      <w:pPr>
        <w:pStyle w:val="4"/>
        <w:spacing w:before="156" w:beforeLines="50" w:after="156" w:afterLines="50" w:line="360" w:lineRule="auto"/>
        <w:ind w:left="0"/>
        <w:jc w:val="both"/>
        <w:rPr>
          <w:rFonts w:hint="eastAsia" w:eastAsia="黑体"/>
          <w:b w:val="0"/>
          <w:bCs/>
          <w:sz w:val="24"/>
          <w:szCs w:val="18"/>
        </w:rPr>
      </w:pPr>
      <w:bookmarkStart w:id="114" w:name="_Toc1836980759"/>
      <w:bookmarkStart w:id="115" w:name="_Toc2027677758"/>
      <w:r>
        <w:rPr>
          <w:rFonts w:hint="eastAsia" w:eastAsia="黑体"/>
          <w:b w:val="0"/>
          <w:bCs/>
          <w:sz w:val="24"/>
          <w:szCs w:val="18"/>
        </w:rPr>
        <w:t>4.7 判据条目与角标绑定方法</w:t>
      </w:r>
      <w:bookmarkEnd w:id="114"/>
      <w:bookmarkEnd w:id="115"/>
    </w:p>
    <w:p w14:paraId="10926018">
      <w:pPr>
        <w:pStyle w:val="3"/>
        <w:spacing w:before="0" w:after="0" w:line="360" w:lineRule="auto"/>
        <w:ind w:firstLine="420"/>
        <w:jc w:val="both"/>
      </w:pPr>
      <w:r>
        <w:rPr>
          <w:rFonts w:ascii="Times New Roman" w:hAnsi="Times New Roman" w:eastAsia="宋体" w:cs="Times New Roman"/>
          <w:sz w:val="24"/>
          <w:szCs w:val="24"/>
        </w:rPr>
        <w:t xml:space="preserve">分析结论需要能对照到行业标准，使分析过程每一步都有据可依。本章为常用判据建立条目，每条有固定编号，并写明所属标准、章节与要点。七步工作流每一步记下所用条目编号，并在运行日志中展示，便于按步骤核对依据。分析报告正文只填分析意见等字段，不在报告内挂角标或另附对照表；标准依据以运行日志为准。完整对照见附录A表A1。</w:t>
      </w:r>
    </w:p>
    <w:p w14:paraId="5BB246DB">
      <w:pPr>
        <w:pStyle w:val="4"/>
        <w:spacing w:before="156" w:beforeLines="50" w:after="156" w:afterLines="50" w:line="360" w:lineRule="auto"/>
        <w:ind w:left="0"/>
        <w:jc w:val="both"/>
        <w:rPr>
          <w:rFonts w:hint="eastAsia" w:eastAsia="黑体"/>
          <w:b w:val="0"/>
          <w:bCs/>
          <w:sz w:val="24"/>
          <w:szCs w:val="18"/>
        </w:rPr>
      </w:pPr>
      <w:bookmarkStart w:id="116" w:name="_Toc1910707241"/>
      <w:bookmarkStart w:id="117" w:name="_Toc762084463"/>
      <w:r>
        <w:rPr>
          <w:rFonts w:hint="eastAsia" w:eastAsia="黑体"/>
          <w:b w:val="0"/>
          <w:bCs/>
          <w:sz w:val="24"/>
          <w:szCs w:val="18"/>
        </w:rPr>
        <w:t>4.8 方法验证与案例分析</w:t>
      </w:r>
      <w:bookmarkEnd w:id="116"/>
      <w:bookmarkEnd w:id="117"/>
    </w:p>
    <w:p w14:paraId="78360627">
      <w:pPr>
        <w:pStyle w:val="6"/>
        <w:spacing w:before="120" w:after="120" w:line="360" w:lineRule="auto"/>
        <w:ind w:firstLine="0"/>
        <w:jc w:val="left"/>
      </w:pPr>
      <w:bookmarkStart w:id="118" w:name="_Toc761098933"/>
      <w:bookmarkStart w:id="119" w:name="_Toc1933625896"/>
      <w:r>
        <w:rPr>
          <w:rFonts w:ascii="Times New Roman" w:hAnsi="Times New Roman" w:eastAsia="黑体" w:cs="Times New Roman"/>
          <w:sz w:val="24"/>
          <w:szCs w:val="24"/>
        </w:rPr>
        <w:t>4.8.1 方案设计与判定标准</w:t>
      </w:r>
      <w:bookmarkEnd w:id="118"/>
      <w:bookmarkEnd w:id="119"/>
    </w:p>
    <w:p w14:paraId="14E18E7D">
      <w:pPr>
        <w:pStyle w:val="3"/>
        <w:spacing w:before="0" w:after="0" w:line="360" w:lineRule="auto"/>
        <w:ind w:firstLine="420"/>
        <w:jc w:val="both"/>
      </w:pPr>
      <w:r>
        <w:rPr>
          <w:rFonts w:ascii="Times New Roman" w:hAnsi="Times New Roman" w:eastAsia="宋体" w:cs="Times New Roman"/>
          <w:sz w:val="24"/>
          <w:szCs w:val="24"/>
        </w:rPr>
        <w:t>本章主要验证三件事。一是七步能否按固定顺序跑完：不到门槛的步骤应跳过，但不影响后面的监测决策和出报告。二是报告能否写全：模型不可用或润色不合要求时，改用规则模板；运行日志要写明各步所用判据条目。三是与通用大模型直接作答对照，看规则判定在标准依据和结论边界上是否更清楚（见第4.8.5节）。分析助手的界面交互放到第5章。</w:t>
      </w:r>
    </w:p>
    <w:p w14:paraId="529FDFD5">
      <w:pPr>
        <w:pStyle w:val="6"/>
        <w:spacing w:before="120" w:after="120" w:line="360" w:lineRule="auto"/>
        <w:ind w:firstLine="0"/>
        <w:jc w:val="left"/>
      </w:pPr>
      <w:bookmarkStart w:id="120" w:name="_Toc580404021"/>
      <w:bookmarkStart w:id="121" w:name="_Toc1377165399"/>
      <w:r>
        <w:rPr>
          <w:rFonts w:ascii="Times New Roman" w:hAnsi="Times New Roman" w:eastAsia="黑体" w:cs="Times New Roman"/>
          <w:sz w:val="24"/>
          <w:szCs w:val="24"/>
        </w:rPr>
        <w:t>4.8.2 测试数据集设计与构建</w:t>
      </w:r>
      <w:bookmarkEnd w:id="120"/>
      <w:bookmarkEnd w:id="121"/>
    </w:p>
    <w:p w14:paraId="4D62E66D">
      <w:pPr>
        <w:pStyle w:val="3"/>
        <w:spacing w:before="0" w:after="0" w:line="360" w:lineRule="auto"/>
        <w:ind w:firstLine="420"/>
        <w:jc w:val="both"/>
      </w:pPr>
      <w:r>
        <w:rPr>
          <w:rFonts w:ascii="Times New Roman" w:hAnsi="Times New Roman" w:eastAsia="宋体" w:cs="Times New Roman"/>
          <w:sz w:val="24"/>
          <w:szCs w:val="24"/>
        </w:rPr>
        <w:t>数据与第2章合成演示时序相同，为单台连续360天监测记录；报告中的设备基本信息使用演示设备字段。</w:t>
      </w:r>
    </w:p>
    <w:p w14:paraId="36201C46">
      <w:pPr>
        <w:pStyle w:val="6"/>
        <w:spacing w:before="120" w:after="120" w:line="360" w:lineRule="auto"/>
        <w:ind w:firstLine="0"/>
        <w:jc w:val="left"/>
      </w:pPr>
      <w:bookmarkStart w:id="122" w:name="_Toc440113627"/>
      <w:bookmarkStart w:id="123" w:name="_Toc979656273"/>
      <w:r>
        <w:rPr>
          <w:rFonts w:ascii="Times New Roman" w:hAnsi="Times New Roman" w:eastAsia="黑体" w:cs="Times New Roman"/>
          <w:sz w:val="24"/>
          <w:szCs w:val="24"/>
        </w:rPr>
        <w:t>4.8.3 运行环境</w:t>
      </w:r>
      <w:bookmarkEnd w:id="122"/>
      <w:bookmarkEnd w:id="123"/>
    </w:p>
    <w:p w14:paraId="75FC8AF4">
      <w:pPr>
        <w:pStyle w:val="3"/>
        <w:spacing w:before="0" w:after="0" w:line="360" w:lineRule="auto"/>
        <w:ind w:firstLine="420"/>
        <w:jc w:val="both"/>
      </w:pPr>
      <w:r>
        <w:rPr>
          <w:rFonts w:ascii="Times New Roman" w:hAnsi="Times New Roman" w:eastAsia="宋体" w:cs="Times New Roman"/>
          <w:sz w:val="24"/>
        </w:rPr>
        <w:t>与第2.8.3节相同。规则计算与报告模板可在本地独立完成；配置大模型服务后，报告和助手的文字润色调用外部模型接口，本文演示默认使用通义千问qwen-max。</w:t>
      </w:r>
    </w:p>
    <w:p w14:paraId="55CB3432">
      <w:pPr>
        <w:pStyle w:val="6"/>
        <w:spacing w:before="120" w:after="120" w:line="360" w:lineRule="auto"/>
        <w:ind w:firstLine="0"/>
        <w:jc w:val="left"/>
      </w:pPr>
      <w:bookmarkStart w:id="124" w:name="_Toc325858762"/>
      <w:bookmarkStart w:id="125" w:name="_Toc1056048721"/>
      <w:r>
        <w:rPr>
          <w:rFonts w:ascii="Times New Roman" w:hAnsi="Times New Roman" w:eastAsia="黑体" w:cs="Times New Roman"/>
          <w:sz w:val="24"/>
          <w:szCs w:val="24"/>
        </w:rPr>
        <w:t>4.8.4 工作流执行与报告完整性分析</w:t>
      </w:r>
      <w:bookmarkEnd w:id="124"/>
      <w:bookmarkEnd w:id="125"/>
    </w:p>
    <w:p w14:paraId="3523B27A">
      <w:pPr>
        <w:pStyle w:val="3"/>
        <w:spacing w:before="0" w:after="0" w:line="360" w:lineRule="auto"/>
        <w:ind w:firstLine="420"/>
        <w:jc w:val="both"/>
      </w:pPr>
      <w:r>
        <w:rPr>
          <w:rFonts w:ascii="Times New Roman" w:hAnsi="Times New Roman" w:eastAsia="宋体" w:cs="Times New Roman"/>
          <w:b w:val="0"/>
          <w:sz w:val="24"/>
          <w:szCs w:val="24"/>
        </w:rPr>
        <w:t>选取三类监测日查看工作流执行情况，分别为2024-05-01正常日、2024-07-05告警且涨势快日，以及2025-03-21涨势预警日。与通用大模型对照另取2024-08-09，见第4.8.5节。</w:t>
      </w:r>
    </w:p>
    <w:p w14:paraId="03E797F0">
      <w:pPr>
        <w:pStyle w:val="3"/>
        <w:spacing w:before="0" w:after="0" w:line="360" w:lineRule="auto"/>
        <w:ind w:firstLine="420"/>
        <w:jc w:val="both"/>
      </w:pPr>
      <w:r>
        <w:rPr>
          <w:rFonts w:ascii="Times New Roman" w:hAnsi="Times New Roman" w:eastAsia="宋体" w:cs="Times New Roman"/>
          <w:b w:val="0"/>
          <w:sz w:val="24"/>
          <w:szCs w:val="24"/>
        </w:rPr>
        <w:t>正常日（2024-05-01）：气体读取、检测分级与产气趋势照常完成，处置紧急度和故障判型按规则跳过；监测决策给出基线周期，不需要二次采样；报告仍可生成。未执行的步骤不会中断整次分析。</w:t>
      </w:r>
    </w:p>
    <w:p w14:paraId="4DCC66F6">
      <w:pPr>
        <w:pStyle w:val="3"/>
        <w:spacing w:before="0" w:after="0" w:line="360" w:lineRule="auto"/>
        <w:ind w:firstLine="420"/>
        <w:jc w:val="both"/>
      </w:pPr>
      <w:r>
        <w:rPr>
          <w:rFonts w:ascii="Times New Roman" w:hAnsi="Times New Roman" w:eastAsia="宋体" w:cs="Times New Roman"/>
          <w:b w:val="0"/>
          <w:sz w:val="24"/>
          <w:szCs w:val="24"/>
        </w:rPr>
        <w:t>告警且涨势快日（2024-07-05）：检测分级为告警值，总烃月环比约206%/月，七步全部执行。运行日志给出分级条件、三法判型结论、可信度、检测周期和试验建议，并附所用判据条目编号；分析意见分区齐全，数值与规则判定一致。</w:t>
      </w:r>
    </w:p>
    <w:p w14:paraId="3ACE3068">
      <w:pPr>
        <w:pStyle w:val="3"/>
        <w:spacing w:before="0" w:after="0" w:line="360" w:lineRule="auto"/>
        <w:ind w:firstLine="420"/>
        <w:jc w:val="both"/>
      </w:pPr>
      <w:r>
        <w:rPr>
          <w:rFonts w:ascii="Times New Roman" w:hAnsi="Times New Roman" w:eastAsia="宋体" w:cs="Times New Roman"/>
          <w:b w:val="0"/>
          <w:sz w:val="24"/>
          <w:szCs w:val="24"/>
        </w:rPr>
        <w:t>涨势预警日（2025-03-21）：检测分级仍为正常，但总烃月环比约19.5%/月，已超注意值。此时不做处置紧急度，仍做故障判型，监测决策和报告照常给出。</w:t>
      </w:r>
    </w:p>
    <w:p w14:paraId="3E8728BE">
      <w:pPr>
        <w:pStyle w:val="3"/>
        <w:spacing w:before="0" w:after="0" w:line="360" w:lineRule="auto"/>
        <w:ind w:firstLine="420"/>
        <w:jc w:val="both"/>
      </w:pPr>
      <w:r>
        <w:t>另对2025-03-21强制改用规则模板生成报告，字段仍与规则判定一致，说明模型不可用或主动降级时，报告仍能生成。三类监测日都可生成报告并导出PDF。</w:t>
      </w:r>
    </w:p>
    <w:p w14:paraId="3DB341FC">
      <w:pPr>
        <w:pStyle w:val="6"/>
        <w:spacing w:before="120" w:after="120" w:line="360" w:lineRule="auto"/>
        <w:ind w:firstLine="0"/>
        <w:jc w:val="left"/>
      </w:pPr>
      <w:bookmarkStart w:id="126" w:name="_Toc624913084"/>
      <w:bookmarkStart w:id="127" w:name="_Toc58511392"/>
      <w:r>
        <w:rPr>
          <w:rFonts w:ascii="Times New Roman" w:hAnsi="Times New Roman" w:eastAsia="黑体" w:cs="Times New Roman"/>
          <w:sz w:val="24"/>
          <w:szCs w:val="24"/>
        </w:rPr>
        <w:t>4.8.5 通用大语言模型直接作答的对照分析</w:t>
      </w:r>
      <w:bookmarkEnd w:id="126"/>
      <w:bookmarkEnd w:id="127"/>
    </w:p>
    <w:p w14:paraId="4DF477EE">
      <w:pPr>
        <w:pStyle w:val="3"/>
        <w:spacing w:before="0" w:after="0" w:line="360" w:lineRule="auto"/>
        <w:ind w:firstLine="420"/>
        <w:jc w:val="both"/>
      </w:pPr>
      <w:r>
        <w:rPr>
          <w:rFonts w:ascii="Times New Roman" w:hAnsi="Times New Roman" w:eastAsia="宋体" w:cs="Times New Roman"/>
          <w:b w:val="0"/>
          <w:sz w:val="24"/>
          <w:szCs w:val="24"/>
        </w:rPr>
        <w:t>第4.2节已说明，故障判定应由规则给出，大语言模型只承担报告润色。为进一步说明这一选择，本节以2024-08-09监测日为例，比较本文智能体与豆包、通义千问对同一组气体的直接作答。向两模型提供当日气体浓度（μL/L）：C</w:t>
      </w:r>
      <w:r>
        <w:rPr>
          <w:rFonts w:ascii="Times New Roman" w:hAnsi="Times New Roman" w:eastAsia="宋体" w:cs="Times New Roman"/>
          <w:b w:val="0"/>
          <w:sz w:val="24"/>
          <w:szCs w:val="24"/>
          <w:vertAlign w:val="subscript"/>
        </w:rPr>
        <w:t>2</w:t>
      </w:r>
      <w:r>
        <w:rPr>
          <w:rFonts w:ascii="Times New Roman" w:hAnsi="Times New Roman" w:eastAsia="宋体" w:cs="Times New Roman"/>
          <w:b w:val="0"/>
          <w:sz w:val="24"/>
          <w:szCs w:val="24"/>
        </w:rPr>
        <w:t>H</w:t>
      </w:r>
      <w:r>
        <w:rPr>
          <w:rFonts w:ascii="Times New Roman" w:hAnsi="Times New Roman" w:eastAsia="宋体" w:cs="Times New Roman"/>
          <w:b w:val="0"/>
          <w:sz w:val="24"/>
          <w:szCs w:val="24"/>
          <w:vertAlign w:val="subscript"/>
        </w:rPr>
        <w:t>2</w:t>
      </w:r>
      <w:r>
        <w:rPr>
          <w:rFonts w:ascii="Times New Roman" w:hAnsi="Times New Roman" w:eastAsia="宋体" w:cs="Times New Roman"/>
          <w:b w:val="0"/>
          <w:sz w:val="24"/>
          <w:szCs w:val="24"/>
        </w:rPr>
        <w:t>为769.92，H</w:t>
      </w:r>
      <w:r>
        <w:rPr>
          <w:rFonts w:ascii="Times New Roman" w:hAnsi="Times New Roman" w:eastAsia="宋体" w:cs="Times New Roman"/>
          <w:b w:val="0"/>
          <w:sz w:val="24"/>
          <w:szCs w:val="24"/>
          <w:vertAlign w:val="subscript"/>
        </w:rPr>
        <w:t>2</w:t>
      </w:r>
      <w:r>
        <w:rPr>
          <w:rFonts w:ascii="Times New Roman" w:hAnsi="Times New Roman" w:eastAsia="宋体" w:cs="Times New Roman"/>
          <w:b w:val="0"/>
          <w:sz w:val="24"/>
          <w:szCs w:val="24"/>
        </w:rPr>
        <w:t>为145.11，总烃为1344.57，CH</w:t>
      </w:r>
      <w:r>
        <w:rPr>
          <w:rFonts w:ascii="Times New Roman" w:hAnsi="Times New Roman" w:eastAsia="宋体" w:cs="Times New Roman"/>
          <w:b w:val="0"/>
          <w:sz w:val="24"/>
          <w:szCs w:val="24"/>
          <w:vertAlign w:val="subscript"/>
        </w:rPr>
        <w:t>4</w:t>
      </w:r>
      <w:r>
        <w:rPr>
          <w:rFonts w:ascii="Times New Roman" w:hAnsi="Times New Roman" w:eastAsia="宋体" w:cs="Times New Roman"/>
          <w:b w:val="0"/>
          <w:sz w:val="24"/>
          <w:szCs w:val="24"/>
        </w:rPr>
        <w:t>为188.36，C</w:t>
      </w:r>
      <w:r>
        <w:rPr>
          <w:rFonts w:ascii="Times New Roman" w:hAnsi="Times New Roman" w:eastAsia="宋体" w:cs="Times New Roman"/>
          <w:b w:val="0"/>
          <w:sz w:val="24"/>
          <w:szCs w:val="24"/>
          <w:vertAlign w:val="subscript"/>
        </w:rPr>
        <w:t>2</w:t>
      </w:r>
      <w:r>
        <w:rPr>
          <w:rFonts w:ascii="Times New Roman" w:hAnsi="Times New Roman" w:eastAsia="宋体" w:cs="Times New Roman"/>
          <w:b w:val="0"/>
          <w:sz w:val="24"/>
          <w:szCs w:val="24"/>
        </w:rPr>
        <w:t>H</w:t>
      </w:r>
      <w:r>
        <w:rPr>
          <w:rFonts w:ascii="Times New Roman" w:hAnsi="Times New Roman" w:eastAsia="宋体" w:cs="Times New Roman"/>
          <w:b w:val="0"/>
          <w:sz w:val="24"/>
          <w:szCs w:val="24"/>
          <w:vertAlign w:val="subscript"/>
        </w:rPr>
        <w:t>4</w:t>
      </w:r>
      <w:r>
        <w:rPr>
          <w:rFonts w:ascii="Times New Roman" w:hAnsi="Times New Roman" w:eastAsia="宋体" w:cs="Times New Roman"/>
          <w:b w:val="0"/>
          <w:sz w:val="24"/>
          <w:szCs w:val="24"/>
        </w:rPr>
        <w:t>为268.98，C</w:t>
      </w:r>
      <w:r>
        <w:rPr>
          <w:rFonts w:ascii="Times New Roman" w:hAnsi="Times New Roman" w:eastAsia="宋体" w:cs="Times New Roman"/>
          <w:b w:val="0"/>
          <w:sz w:val="24"/>
          <w:szCs w:val="24"/>
          <w:vertAlign w:val="subscript"/>
        </w:rPr>
        <w:t>2</w:t>
      </w:r>
      <w:r>
        <w:rPr>
          <w:rFonts w:ascii="Times New Roman" w:hAnsi="Times New Roman" w:eastAsia="宋体" w:cs="Times New Roman"/>
          <w:b w:val="0"/>
          <w:sz w:val="24"/>
          <w:szCs w:val="24"/>
        </w:rPr>
        <w:t>H</w:t>
      </w:r>
      <w:r>
        <w:rPr>
          <w:rFonts w:ascii="Times New Roman" w:hAnsi="Times New Roman" w:eastAsia="宋体" w:cs="Times New Roman"/>
          <w:b w:val="0"/>
          <w:sz w:val="24"/>
          <w:szCs w:val="24"/>
          <w:vertAlign w:val="subscript"/>
        </w:rPr>
        <w:t>6</w:t>
      </w:r>
      <w:r>
        <w:rPr>
          <w:rFonts w:ascii="Times New Roman" w:hAnsi="Times New Roman" w:eastAsia="宋体" w:cs="Times New Roman"/>
          <w:b w:val="0"/>
          <w:sz w:val="24"/>
          <w:szCs w:val="24"/>
        </w:rPr>
        <w:t>为117.31，CO为119.99，CO</w:t>
      </w:r>
      <w:r>
        <w:rPr>
          <w:rFonts w:ascii="Times New Roman" w:hAnsi="Times New Roman" w:eastAsia="宋体" w:cs="Times New Roman"/>
          <w:b w:val="0"/>
          <w:sz w:val="24"/>
          <w:szCs w:val="24"/>
          <w:vertAlign w:val="subscript"/>
        </w:rPr>
        <w:t>2</w:t>
      </w:r>
      <w:r>
        <w:rPr>
          <w:rFonts w:ascii="Times New Roman" w:hAnsi="Times New Roman" w:eastAsia="宋体" w:cs="Times New Roman"/>
          <w:b w:val="0"/>
          <w:sz w:val="24"/>
          <w:szCs w:val="24"/>
        </w:rPr>
        <w:t>为2383.24。</w:t>
      </w:r>
    </w:p>
    <w:p w14:paraId="726A9C75">
      <w:pPr>
        <w:pStyle w:val="3"/>
        <w:spacing w:before="0" w:after="0" w:line="360" w:lineRule="auto"/>
        <w:ind w:firstLine="420"/>
        <w:jc w:val="both"/>
      </w:pPr>
      <w:r>
        <w:rPr>
          <w:rFonts w:ascii="Times New Roman" w:hAnsi="Times New Roman" w:eastAsia="宋体" w:cs="Times New Roman"/>
          <w:b w:val="0"/>
          <w:sz w:val="24"/>
          <w:szCs w:val="24"/>
        </w:rPr>
        <w:t>三方对这组数据的主要结果如表4.2所示。</w:t>
      </w:r>
    </w:p>
    <w:p w14:paraId="15C5E911">
      <w:pPr>
        <w:pStyle w:val="15"/>
        <w:spacing w:before="120" w:after="120" w:line="360" w:lineRule="auto"/>
        <w:ind w:firstLine="0"/>
        <w:jc w:val="center"/>
      </w:pPr>
      <w:r>
        <w:rPr>
          <w:rFonts w:ascii="Times New Roman" w:hAnsi="Times New Roman" w:eastAsia="黑体" w:cs="Times New Roman"/>
          <w:b/>
          <w:bCs/>
          <w:sz w:val="21"/>
          <w:szCs w:val="21"/>
        </w:rPr>
        <w:t>表4.2 2024-08-09当日示例性对照：本章方法与豆包、通义千问直接诊断结果</w:t>
      </w:r>
    </w:p>
    <w:tbl>
      <w:tblPr>
        <w:tblStyle w:val="39"/>
        <w:tblW w:w="0" w:type="auto"/>
        <w:tblInd w:w="0" w:type="dxa"/>
        <w:tblLayout w:type="autofit"/>
        <w:tblCellMar>
          <w:top w:w="0" w:type="dxa"/>
          <w:left w:w="108" w:type="dxa"/>
          <w:bottom w:w="0" w:type="dxa"/>
          <w:right w:w="108" w:type="dxa"/>
        </w:tblCellMar>
      </w:tblPr>
      <w:tblGrid>
        <w:gridCol w:w="2268"/>
        <w:gridCol w:w="2268"/>
        <w:gridCol w:w="2268"/>
        <w:gridCol w:w="2268"/>
      </w:tblGrid>
      <w:tr w14:paraId="0357F1E4">
        <w:tc>
          <w:tcPr>
            <w:tcW w:w="2268" w:type="dxa"/>
          </w:tcPr>
          <w:p w14:paraId="3EB195A5">
            <w:r>
              <w:t>项目</w:t>
            </w:r>
          </w:p>
        </w:tc>
        <w:tc>
          <w:tcPr>
            <w:tcW w:w="2268" w:type="dxa"/>
          </w:tcPr>
          <w:p w14:paraId="7F8F70F2">
            <w:r>
              <w:t>本章方法</w:t>
            </w:r>
          </w:p>
        </w:tc>
        <w:tc>
          <w:tcPr>
            <w:tcW w:w="2268" w:type="dxa"/>
          </w:tcPr>
          <w:p w14:paraId="6FBC1DB5">
            <w:r>
              <w:t>豆包直接诊断</w:t>
            </w:r>
          </w:p>
        </w:tc>
        <w:tc>
          <w:tcPr>
            <w:tcW w:w="2268" w:type="dxa"/>
          </w:tcPr>
          <w:p w14:paraId="271A64B7">
            <w:r>
              <w:t>通义千问直接诊断</w:t>
            </w:r>
          </w:p>
        </w:tc>
      </w:tr>
      <w:tr w14:paraId="73B2C9D1">
        <w:tc>
          <w:tcPr>
            <w:tcW w:w="2268" w:type="dxa"/>
          </w:tcPr>
          <w:p w14:paraId="7737E74C">
            <w:r>
              <w:t>检测分级</w:t>
            </w:r>
          </w:p>
        </w:tc>
        <w:tc>
          <w:tcPr>
            <w:tcW w:w="2268" w:type="dxa"/>
          </w:tcPr>
          <w:p w14:paraId="4F7421D3">
            <w:r>
              <w:t>告警值：乙炔达告警值，总烃达注意值2，氢气达注意值1</w:t>
            </w:r>
          </w:p>
        </w:tc>
        <w:tc>
          <w:tcPr>
            <w:tcW w:w="2268" w:type="dxa"/>
          </w:tcPr>
          <w:p w14:paraId="5C6BA080">
            <w:r>
              <w:t>乙炔、总烃严重超标</w:t>
            </w:r>
          </w:p>
        </w:tc>
        <w:tc>
          <w:tcPr>
            <w:tcW w:w="2268" w:type="dxa"/>
          </w:tcPr>
          <w:p w14:paraId="3ED4B8DE">
            <w:r>
              <w:t>乙炔、总烃严重超标</w:t>
            </w:r>
          </w:p>
        </w:tc>
      </w:tr>
      <w:tr w14:paraId="4854700B">
        <w:tc>
          <w:tcPr>
            <w:tcW w:w="2268" w:type="dxa"/>
          </w:tcPr>
          <w:p w14:paraId="788394BC">
            <w:r>
              <w:t>趋势与紧急度</w:t>
            </w:r>
          </w:p>
        </w:tc>
        <w:tc>
          <w:tcPr>
            <w:tcW w:w="2268" w:type="dxa"/>
          </w:tcPr>
          <w:p w14:paraId="21C693F0">
            <w:r>
              <w:t>总烃月环比约479%/月，超过10%/月注意值，涨势快；紧急度高</w:t>
            </w:r>
          </w:p>
        </w:tc>
        <w:tc>
          <w:tcPr>
            <w:tcW w:w="2268" w:type="dxa"/>
          </w:tcPr>
          <w:p w14:paraId="3556B4D0">
            <w:r>
              <w:t>未给出</w:t>
            </w:r>
          </w:p>
        </w:tc>
        <w:tc>
          <w:tcPr>
            <w:tcW w:w="2268" w:type="dxa"/>
          </w:tcPr>
          <w:p w14:paraId="013BDB1A">
            <w:r>
              <w:t>未给出</w:t>
            </w:r>
          </w:p>
        </w:tc>
      </w:tr>
      <w:tr w14:paraId="102B0609">
        <w:tc>
          <w:tcPr>
            <w:tcW w:w="2268" w:type="dxa"/>
          </w:tcPr>
          <w:p w14:paraId="7A36A8C1">
            <w:r>
              <w:t>故障判型</w:t>
            </w:r>
          </w:p>
        </w:tc>
        <w:tc>
          <w:tcPr>
            <w:tcW w:w="2268" w:type="dxa"/>
          </w:tcPr>
          <w:p w14:paraId="7615A30F">
            <w:r>
              <w:t>三比值编码为121，电弧放电兼过热</w:t>
            </w:r>
          </w:p>
        </w:tc>
        <w:tc>
          <w:tcPr>
            <w:tcW w:w="2268" w:type="dxa"/>
          </w:tcPr>
          <w:p w14:paraId="3B35608B">
            <w:r>
              <w:t>三比值编码为221，判为电弧放电</w:t>
            </w:r>
          </w:p>
        </w:tc>
        <w:tc>
          <w:tcPr>
            <w:tcW w:w="2268" w:type="dxa"/>
          </w:tcPr>
          <w:p w14:paraId="1CA15326">
            <w:r>
              <w:t>三比值编码为111，判为高温电弧放电</w:t>
            </w:r>
          </w:p>
        </w:tc>
      </w:tr>
      <w:tr w14:paraId="2CA57551">
        <w:tc>
          <w:tcPr>
            <w:tcW w:w="2268" w:type="dxa"/>
          </w:tcPr>
          <w:p w14:paraId="5BCF78CB">
            <w:r>
              <w:t>故障类型三法交叉</w:t>
            </w:r>
          </w:p>
        </w:tc>
        <w:tc>
          <w:tcPr>
            <w:tcW w:w="2268" w:type="dxa"/>
          </w:tcPr>
          <w:p w14:paraId="4367C7E5">
            <w:r>
              <w:t>三比值法、大卫三角形法、特征气体法</w:t>
            </w:r>
          </w:p>
        </w:tc>
        <w:tc>
          <w:tcPr>
            <w:tcW w:w="2268" w:type="dxa"/>
          </w:tcPr>
          <w:p w14:paraId="6F42983C">
            <w:r>
              <w:t>未作交叉研判</w:t>
            </w:r>
          </w:p>
        </w:tc>
        <w:tc>
          <w:tcPr>
            <w:tcW w:w="2268" w:type="dxa"/>
          </w:tcPr>
          <w:p w14:paraId="35E0E1B1">
            <w:r>
              <w:t>未作交叉研判</w:t>
            </w:r>
          </w:p>
        </w:tc>
      </w:tr>
      <w:tr w14:paraId="4E7AC596">
        <w:tc>
          <w:tcPr>
            <w:tcW w:w="2268" w:type="dxa"/>
          </w:tcPr>
          <w:p w14:paraId="4FE063DA">
            <w:r>
              <w:t>监测决策</w:t>
            </w:r>
          </w:p>
        </w:tc>
        <w:tc>
          <w:tcPr>
            <w:tcW w:w="2268" w:type="dxa"/>
          </w:tcPr>
          <w:p w14:paraId="416B681C">
            <w:r>
              <w:t>缩短至最小检测周期≤2h，暂不建议二次采样，给出10项试验清单（详见第5.4.7节智能体分析页界面）</w:t>
            </w:r>
          </w:p>
        </w:tc>
        <w:tc>
          <w:tcPr>
            <w:tcW w:w="2268" w:type="dxa"/>
          </w:tcPr>
          <w:p w14:paraId="0EF64646">
            <w:r>
              <w:t>给出紧急/高风险等级、5项检修重点，后续按1～3天/次跟踪</w:t>
            </w:r>
          </w:p>
        </w:tc>
        <w:tc>
          <w:tcPr>
            <w:tcW w:w="2268" w:type="dxa"/>
          </w:tcPr>
          <w:p w14:paraId="458B5240">
            <w:r>
              <w:t>建议立即停运，给出4项电气试验及内部检查建议</w:t>
            </w:r>
          </w:p>
        </w:tc>
      </w:tr>
      <w:tr w14:paraId="02974525">
        <w:tc>
          <w:tcPr>
            <w:tcW w:w="2268" w:type="dxa"/>
          </w:tcPr>
          <w:p w14:paraId="3AB6DCDA">
            <w:r>
              <w:t>分析报告</w:t>
            </w:r>
          </w:p>
        </w:tc>
        <w:tc>
          <w:tcPr>
            <w:tcW w:w="2268" w:type="dxa"/>
          </w:tcPr>
          <w:p w14:paraId="1D4F72E6">
            <w:r>
              <w:t>生成完整分析报告，可导出PDF</w:t>
            </w:r>
          </w:p>
        </w:tc>
        <w:tc>
          <w:tcPr>
            <w:tcW w:w="2268" w:type="dxa"/>
          </w:tcPr>
          <w:p w14:paraId="5168D02E">
            <w:r>
              <w:t>无</w:t>
            </w:r>
          </w:p>
        </w:tc>
        <w:tc>
          <w:tcPr>
            <w:tcW w:w="2268" w:type="dxa"/>
          </w:tcPr>
          <w:p w14:paraId="55E5BE79">
            <w:r>
              <w:t>无</w:t>
            </w:r>
          </w:p>
        </w:tc>
      </w:tr>
    </w:tbl>
    <w:p w14:paraId="06FDEC3D">
      <w:pPr>
        <w:pStyle w:val="3"/>
        <w:spacing w:before="0" w:after="0" w:line="360" w:lineRule="auto"/>
        <w:ind w:firstLine="420"/>
        <w:jc w:val="both"/>
      </w:pPr>
      <w:r>
        <w:rPr>
          <w:rFonts w:ascii="Times New Roman" w:hAnsi="Times New Roman" w:eastAsia="宋体" w:cs="Times New Roman"/>
          <w:b w:val="0"/>
          <w:sz w:val="24"/>
          <w:szCs w:val="24"/>
        </w:rPr>
        <w:t>从判定依据看，通义千问引用GB/T 7252，没有具体标准名，没有办法查证，豆包依据GB/T 7252—2022《变压器油中溶解气体分析和判断导则》，在全国标准信息公共服务平台查询，没有查到GB/T 7252—2022对应文档。本文每一步判定都对应现行电力行业标准，都能查到具体条文：检测分级依据《变电设备在线监测装置技术规范　第2部分：变压器油中溶解气体在线监测装置》（DL/T 1498.2—2025），总烃月环比、故障判型和分析报告依据《变压器油中溶解气体分析和判断导则》（DL/T 722—2014），试验清单还用到《油浸式变压器（电抗器）状态评价导则》（DL/T 1685—2017）。</w:t>
      </w:r>
    </w:p>
    <w:p w14:paraId="49F86545">
      <w:pPr>
        <w:pStyle w:val="3"/>
        <w:spacing w:before="0" w:after="0" w:line="360" w:lineRule="auto"/>
        <w:ind w:firstLine="420"/>
        <w:jc w:val="both"/>
      </w:pPr>
      <w:r>
        <w:rPr>
          <w:rFonts w:ascii="Times New Roman" w:hAnsi="Times New Roman" w:eastAsia="宋体" w:cs="Times New Roman"/>
          <w:b w:val="0"/>
          <w:sz w:val="24"/>
          <w:szCs w:val="24"/>
        </w:rPr>
        <w:t>从结论来看，三方都识别出乙炔、总烃异常，就这一处是一样的，其他都不同。本文三比值编码是121，豆包三比值编码是221，通义千问三比值编码是111，两者都不符合DL/T 722—2014表6的编码规则，故障类型也就判错了。它们还只用三比值法一种方法下结论，没有再用大卫三角形法、特征气体法相互验证；而且直接建议停电、停运，这属于运维处置，超出了油中气体分析该给的结论，也没有算总烃月环比、没有给处置紧急度。这说明把故障判定完全交给通用大模型，结果既不稳定，也容易说过头，所以本文让规则来做判定，大模型只把报告文字写得更通顺。对话原文见附录B。</w:t>
      </w:r>
    </w:p>
    <w:p w14:paraId="1C88B359"/>
    <w:p w14:paraId="230EB5A8">
      <w:pPr>
        <w:pStyle w:val="4"/>
        <w:spacing w:before="156" w:beforeLines="50" w:after="156" w:afterLines="50" w:line="360" w:lineRule="auto"/>
        <w:ind w:left="0"/>
        <w:jc w:val="both"/>
        <w:rPr>
          <w:rFonts w:hint="eastAsia" w:eastAsia="黑体"/>
          <w:b w:val="0"/>
          <w:bCs/>
          <w:sz w:val="24"/>
          <w:szCs w:val="18"/>
        </w:rPr>
      </w:pPr>
      <w:bookmarkStart w:id="128" w:name="_Toc2000938665"/>
      <w:bookmarkStart w:id="129" w:name="_Toc1719168958"/>
      <w:r>
        <w:rPr>
          <w:rFonts w:hint="eastAsia" w:eastAsia="黑体"/>
          <w:b w:val="0"/>
          <w:bCs/>
          <w:sz w:val="24"/>
          <w:szCs w:val="18"/>
        </w:rPr>
        <w:t>4.9 本章小结</w:t>
      </w:r>
      <w:bookmarkEnd w:id="128"/>
      <w:bookmarkEnd w:id="129"/>
    </w:p>
    <w:p w14:paraId="5D4C33D7">
      <w:pPr>
        <w:pStyle w:val="3"/>
        <w:spacing w:before="0" w:after="0" w:line="360" w:lineRule="auto"/>
        <w:ind w:firstLine="420"/>
        <w:jc w:val="both"/>
      </w:pPr>
      <w:r>
        <w:rPr>
          <w:rFonts w:ascii="Times New Roman" w:hAnsi="Times New Roman" w:eastAsia="宋体" w:cs="Times New Roman"/>
          <w:b w:val="0"/>
          <w:sz w:val="24"/>
          <w:szCs w:val="24"/>
        </w:rPr>
        <w:t>本章主要处理三个问题：分析顺序不固定、监测决策条件不够清楚，以及大模型可能改写判定结果。为此，把第2、第3章规则结果接入固定七步工作流（见图4.1）；未达门槛的步骤可以跳过，整次分析不中断。监测决策按行业标准给出检测周期、二次采样和试验清单；分析报告按第4.6节版式组织，大模型只润色文字，不改规则结论，不可用时回退为规则模板。三类监测日验证表明，七步可顺序执行，报告和规则判定一致。与通用大模型直接作答的对照则表明，自由作答易混用标准、越界给出运维指令，印证了规则判定、大模型只润色的取舍。本章结果供第5章原型系统调用。</w:t>
      </w:r>
    </w:p>
    <w:p w14:paraId="1E594164">
      <w:r>
        <w:rPr>
          <w:rFonts w:ascii="Times New Roman" w:hAnsi="Times New Roman" w:eastAsia="宋体" w:cs="Times New Roman"/>
          <w:b w:val="0"/>
          <w:sz w:val="24"/>
          <w:szCs w:val="24"/>
        </w:rPr>
        <w:br w:type="page"/>
      </w:r>
    </w:p>
    <w:p w14:paraId="5DB51312">
      <w:pPr>
        <w:pStyle w:val="2"/>
        <w:spacing w:before="480" w:after="360" w:line="360" w:lineRule="auto"/>
        <w:ind w:firstLine="0"/>
        <w:jc w:val="center"/>
      </w:pPr>
      <w:bookmarkStart w:id="130" w:name="_Toc182230635"/>
      <w:bookmarkStart w:id="131" w:name="_Toc1827690368"/>
      <w:r>
        <w:rPr>
          <w:rFonts w:ascii="Times New Roman" w:hAnsi="Times New Roman" w:eastAsia="黑体" w:cs="Times New Roman"/>
          <w:sz w:val="32"/>
          <w:szCs w:val="32"/>
        </w:rPr>
        <w:t>5  变压器油中溶解气体分析预警系统设计与实现</w:t>
      </w:r>
      <w:bookmarkEnd w:id="130"/>
      <w:bookmarkEnd w:id="131"/>
    </w:p>
    <w:p w14:paraId="7D50998E">
      <w:pPr>
        <w:pStyle w:val="4"/>
        <w:spacing w:before="156" w:beforeLines="50" w:after="156" w:afterLines="50" w:line="360" w:lineRule="auto"/>
        <w:ind w:left="0"/>
        <w:jc w:val="both"/>
        <w:rPr>
          <w:rFonts w:hint="eastAsia" w:eastAsia="黑体"/>
          <w:b w:val="0"/>
          <w:bCs/>
          <w:sz w:val="24"/>
          <w:szCs w:val="18"/>
        </w:rPr>
      </w:pPr>
      <w:bookmarkStart w:id="132" w:name="_Toc385928288"/>
      <w:bookmarkStart w:id="133" w:name="_Toc438601823"/>
      <w:r>
        <w:rPr>
          <w:rFonts w:hint="eastAsia" w:eastAsia="黑体"/>
          <w:b w:val="0"/>
          <w:bCs/>
          <w:sz w:val="24"/>
          <w:szCs w:val="18"/>
        </w:rPr>
        <w:t>5.1 系统总体架构设计</w:t>
      </w:r>
      <w:bookmarkEnd w:id="132"/>
      <w:bookmarkEnd w:id="133"/>
    </w:p>
    <w:p w14:paraId="2DA4E7BD">
      <w:pPr>
        <w:pStyle w:val="3"/>
        <w:spacing w:before="0" w:after="0" w:line="360" w:lineRule="auto"/>
        <w:ind w:firstLine="420"/>
        <w:jc w:val="both"/>
      </w:pPr>
      <w:r>
        <w:rPr>
          <w:rFonts w:ascii="Times New Roman" w:hAnsi="Times New Roman" w:eastAsia="宋体" w:cs="Times New Roman"/>
          <w:b w:val="0"/>
          <w:sz w:val="24"/>
          <w:szCs w:val="24"/>
        </w:rPr>
        <w:t>第2至第4章已经分别给出检测分级与涨势预警、多规则故障判型，以及分析智能体工作流。本章把这些方法做成可运行的原型系统，用来演示完整流程并生成报告。七步分析、监测决策和报告由智能体服务完成，其他页面只展示同一套计算结果，避免各入口各算一套。</w:t>
      </w:r>
    </w:p>
    <w:p w14:paraId="40EFB027">
      <w:pPr>
        <w:pStyle w:val="3"/>
        <w:spacing w:before="0" w:after="0" w:line="360" w:lineRule="auto"/>
        <w:ind w:firstLine="420"/>
        <w:jc w:val="both"/>
      </w:pPr>
      <w:r>
        <w:rPr>
          <w:rFonts w:ascii="Times New Roman" w:hAnsi="Times New Roman" w:eastAsia="宋体" w:cs="Times New Roman"/>
          <w:sz w:val="24"/>
          <w:szCs w:val="24"/>
        </w:rPr>
        <w:t>系统前后端分离，总体结构如图1.1所示，自上而下分为展示、接口、分析智能体、算法引擎和数据存储五层。只有展示层与接口层用HTTP/REST通信，其余在进程内调用。算法引擎按行业标准做判定，智能体层按固定七步编排分析，大语言模型只润色报告与解释文字。数据存储层只存气体浓度时序和设备基本信息，分析结论每次按规则现算。</w:t>
      </w:r>
    </w:p>
    <w:p w14:paraId="6596DC3E">
      <w:pPr>
        <w:pStyle w:val="4"/>
        <w:spacing w:before="156" w:beforeLines="50" w:after="156" w:afterLines="50" w:line="360" w:lineRule="auto"/>
        <w:ind w:left="0"/>
        <w:jc w:val="both"/>
        <w:rPr>
          <w:rFonts w:hint="eastAsia" w:eastAsia="黑体"/>
          <w:b w:val="0"/>
          <w:bCs/>
          <w:sz w:val="24"/>
          <w:szCs w:val="18"/>
        </w:rPr>
      </w:pPr>
      <w:bookmarkStart w:id="134" w:name="_Toc1416962657"/>
      <w:bookmarkStart w:id="135" w:name="_Toc896122476"/>
      <w:r>
        <w:rPr>
          <w:rFonts w:hint="eastAsia" w:eastAsia="黑体"/>
          <w:b w:val="0"/>
          <w:bCs/>
          <w:sz w:val="24"/>
          <w:szCs w:val="18"/>
        </w:rPr>
        <w:t>5.2 核心功能模块设计</w:t>
      </w:r>
      <w:bookmarkEnd w:id="134"/>
      <w:bookmarkEnd w:id="135"/>
    </w:p>
    <w:p w14:paraId="18A47B0F">
      <w:pPr>
        <w:pStyle w:val="6"/>
        <w:spacing w:before="120" w:after="120" w:line="360" w:lineRule="auto"/>
        <w:ind w:firstLine="0"/>
        <w:jc w:val="left"/>
      </w:pPr>
      <w:bookmarkStart w:id="136" w:name="_Toc827637721"/>
      <w:bookmarkStart w:id="137" w:name="_Toc1445214616"/>
      <w:r>
        <w:rPr>
          <w:rFonts w:ascii="Times New Roman" w:hAnsi="Times New Roman" w:eastAsia="黑体" w:cs="Times New Roman"/>
          <w:sz w:val="24"/>
          <w:szCs w:val="24"/>
        </w:rPr>
        <w:t>5.2.1 检测分级与告警模块</w:t>
      </w:r>
      <w:bookmarkEnd w:id="136"/>
      <w:bookmarkEnd w:id="137"/>
    </w:p>
    <w:p w14:paraId="25D0AF29">
      <w:pPr>
        <w:pStyle w:val="3"/>
        <w:spacing w:before="0" w:after="0" w:line="360" w:lineRule="auto"/>
        <w:ind w:firstLine="420"/>
        <w:jc w:val="both"/>
      </w:pPr>
      <w:r>
        <w:rPr>
          <w:rFonts w:ascii="Times New Roman" w:hAnsi="Times New Roman" w:eastAsia="宋体" w:cs="Times New Roman"/>
          <w:b w:val="0"/>
          <w:sz w:val="24"/>
        </w:rPr>
        <w:t>本模块对应第2章，侧栏有检测分级页和告警列表页。检测分级页按日给出第2章表2.1各项结果，以及总烃月环比、涨势预警和处置紧急度；告警列表按日列出全年四档记录，涨势预警单独一列。页面截图见第5.4.2节、第5.4.3节。</w:t>
      </w:r>
    </w:p>
    <w:p w14:paraId="05A71849">
      <w:pPr>
        <w:pStyle w:val="6"/>
        <w:spacing w:before="120" w:after="120" w:line="360" w:lineRule="auto"/>
        <w:ind w:firstLine="0"/>
        <w:jc w:val="left"/>
      </w:pPr>
      <w:bookmarkStart w:id="138" w:name="_Toc1682003542"/>
      <w:bookmarkStart w:id="139" w:name="_Toc855595228"/>
      <w:r>
        <w:rPr>
          <w:rFonts w:ascii="Times New Roman" w:hAnsi="Times New Roman" w:eastAsia="黑体" w:cs="Times New Roman"/>
          <w:sz w:val="24"/>
          <w:szCs w:val="24"/>
        </w:rPr>
        <w:t>5.2.2 故障类型判断模块</w:t>
      </w:r>
      <w:bookmarkEnd w:id="138"/>
      <w:bookmarkEnd w:id="139"/>
    </w:p>
    <w:p w14:paraId="06104BC3">
      <w:pPr>
        <w:pStyle w:val="3"/>
        <w:spacing w:before="0" w:after="0" w:line="360" w:lineRule="auto"/>
        <w:ind w:firstLine="420"/>
        <w:jc w:val="both"/>
      </w:pPr>
      <w:r>
        <w:rPr>
          <w:rFonts w:ascii="Times New Roman" w:hAnsi="Times New Roman" w:eastAsia="宋体" w:cs="Times New Roman"/>
          <w:b w:val="0"/>
          <w:sz w:val="24"/>
          <w:szCs w:val="24"/>
        </w:rPr>
        <w:t>本模块对应第3章，侧栏为故障判型页。当检测分级到注意值2或告警，或总烃月环比已超注意（含涨势预警）时触发判型，并行做三法交叉研判并给出主结论与可信度；不到门槛时提示当日不做判型。试验建议的完整清单在智能体分析页给出。页面截图见第5.4.6节。</w:t>
      </w:r>
    </w:p>
    <w:p w14:paraId="073F4A07">
      <w:pPr>
        <w:pStyle w:val="6"/>
        <w:spacing w:before="120" w:after="120" w:line="360" w:lineRule="auto"/>
        <w:ind w:firstLine="0"/>
        <w:jc w:val="left"/>
      </w:pPr>
      <w:bookmarkStart w:id="140" w:name="_Toc2106284933"/>
      <w:bookmarkStart w:id="141" w:name="_Toc438496684"/>
      <w:r>
        <w:rPr>
          <w:rFonts w:ascii="Times New Roman" w:hAnsi="Times New Roman" w:eastAsia="黑体" w:cs="Times New Roman"/>
          <w:sz w:val="24"/>
          <w:szCs w:val="24"/>
        </w:rPr>
        <w:t>5.2.3 智能体服务模块</w:t>
      </w:r>
      <w:bookmarkEnd w:id="140"/>
      <w:bookmarkEnd w:id="141"/>
    </w:p>
    <w:p w14:paraId="15719CE5">
      <w:pPr>
        <w:pStyle w:val="3"/>
        <w:spacing w:before="0" w:after="0" w:line="360" w:lineRule="auto"/>
        <w:ind w:firstLine="420"/>
        <w:jc w:val="both"/>
      </w:pPr>
      <w:r>
        <w:rPr>
          <w:rFonts w:ascii="Times New Roman" w:hAnsi="Times New Roman" w:eastAsia="宋体" w:cs="Times New Roman"/>
          <w:b w:val="0"/>
          <w:sz w:val="24"/>
          <w:szCs w:val="24"/>
        </w:rPr>
        <w:t>本模块对应第4章，主入口是智能体分析页：按七步跑完分析，给出运行日志、监测决策和报告预览，也可下载PDF。分析助手嵌在同一页，与主界面共用同一次七步结果。页面截图见第5.4.7节、第5.4.8节。</w:t>
      </w:r>
    </w:p>
    <w:p w14:paraId="6C4F37B8">
      <w:pPr>
        <w:pStyle w:val="4"/>
        <w:spacing w:before="156" w:beforeLines="50" w:after="156" w:afterLines="50" w:line="360" w:lineRule="auto"/>
        <w:ind w:left="0"/>
        <w:jc w:val="both"/>
        <w:rPr>
          <w:rFonts w:hint="eastAsia" w:eastAsia="黑体"/>
          <w:b w:val="0"/>
          <w:bCs/>
          <w:sz w:val="24"/>
          <w:szCs w:val="18"/>
        </w:rPr>
      </w:pPr>
      <w:bookmarkStart w:id="142" w:name="_Toc1797375131"/>
      <w:bookmarkStart w:id="143" w:name="_Toc1210431783"/>
      <w:r>
        <w:rPr>
          <w:rFonts w:hint="eastAsia" w:eastAsia="黑体"/>
          <w:b w:val="0"/>
          <w:bCs/>
          <w:sz w:val="24"/>
          <w:szCs w:val="18"/>
        </w:rPr>
        <w:t>5.3 数据库与数据流设计</w:t>
      </w:r>
      <w:bookmarkEnd w:id="142"/>
      <w:bookmarkEnd w:id="143"/>
    </w:p>
    <w:p w14:paraId="007305F5">
      <w:pPr>
        <w:pStyle w:val="6"/>
        <w:spacing w:before="120" w:after="120" w:line="360" w:lineRule="auto"/>
        <w:ind w:firstLine="0"/>
        <w:jc w:val="left"/>
      </w:pPr>
      <w:bookmarkStart w:id="144" w:name="_Toc614388850"/>
      <w:bookmarkStart w:id="145" w:name="_Toc1978848015"/>
      <w:r>
        <w:rPr>
          <w:rFonts w:ascii="Times New Roman" w:hAnsi="Times New Roman" w:eastAsia="黑体" w:cs="Times New Roman"/>
          <w:sz w:val="24"/>
          <w:szCs w:val="24"/>
        </w:rPr>
        <w:t>5.3.1 核心数据表与字段设计</w:t>
      </w:r>
      <w:bookmarkEnd w:id="144"/>
      <w:bookmarkEnd w:id="145"/>
    </w:p>
    <w:p w14:paraId="538FF5DB">
      <w:pPr>
        <w:pStyle w:val="3"/>
        <w:spacing w:before="0" w:after="0" w:line="360" w:lineRule="auto"/>
        <w:ind w:firstLine="420"/>
        <w:jc w:val="both"/>
      </w:pPr>
      <w:r>
        <w:rPr>
          <w:rFonts w:hint="eastAsia" w:ascii="黑体" w:eastAsia="黑体"/>
          <w:b w:val="0"/>
          <w:sz w:val="24"/>
        </w:rPr>
        <w:t>数据库有两张表。气体浓度时序表按监测日保存七种气体浓度，同一日只保留一条记录，主要字段如表5.1所示；设备基本信息表保存报告要用的设备字段，如型号、电压容量、油重、油种、制造厂和投运信息等，对应第4章分析报告基本信息区，主要字段如表5.2所示。</w:t>
      </w:r>
    </w:p>
    <w:p w14:paraId="1585CEDB">
      <w:pPr>
        <w:pStyle w:val="15"/>
        <w:spacing w:before="120" w:after="120" w:line="360" w:lineRule="auto"/>
        <w:ind w:firstLine="0"/>
        <w:jc w:val="center"/>
      </w:pPr>
      <w:r>
        <w:rPr>
          <w:rFonts w:ascii="Times New Roman" w:hAnsi="Times New Roman" w:eastAsia="黑体" w:cs="Times New Roman"/>
          <w:b/>
          <w:bCs/>
          <w:sz w:val="21"/>
          <w:szCs w:val="21"/>
        </w:rPr>
        <w:t>表5.1　气体浓度时序表（monitoring）主要字段</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536"/>
        <w:gridCol w:w="4536"/>
      </w:tblGrid>
      <w:tr w14:paraId="05762D4C">
        <w:tc>
          <w:tcPr>
            <w:tcW w:w="4536" w:type="dxa"/>
            <w:tcBorders>
              <w:bottom w:val="single" w:color="000000" w:sz="6" w:space="0"/>
            </w:tcBorders>
          </w:tcPr>
          <w:p w14:paraId="0CD9D206">
            <w:pPr>
              <w:spacing w:before="40" w:after="40" w:line="276" w:lineRule="auto"/>
              <w:jc w:val="center"/>
            </w:pPr>
            <w:r>
              <w:rPr>
                <w:rFonts w:ascii="Times New Roman" w:hAnsi="Times New Roman" w:eastAsia="宋体" w:cs="Times New Roman"/>
                <w:sz w:val="21"/>
                <w:szCs w:val="21"/>
              </w:rPr>
              <w:t>字段</w:t>
            </w:r>
          </w:p>
        </w:tc>
        <w:tc>
          <w:tcPr>
            <w:tcW w:w="4536" w:type="dxa"/>
            <w:tcBorders>
              <w:bottom w:val="single" w:color="000000" w:sz="6" w:space="0"/>
            </w:tcBorders>
          </w:tcPr>
          <w:p w14:paraId="09C351A7">
            <w:pPr>
              <w:spacing w:before="40" w:after="40" w:line="276" w:lineRule="auto"/>
              <w:jc w:val="center"/>
            </w:pPr>
            <w:r>
              <w:rPr>
                <w:rFonts w:ascii="Times New Roman" w:hAnsi="Times New Roman" w:eastAsia="宋体" w:cs="Times New Roman"/>
                <w:sz w:val="21"/>
                <w:szCs w:val="21"/>
              </w:rPr>
              <w:t>含义</w:t>
            </w:r>
          </w:p>
        </w:tc>
      </w:tr>
      <w:tr w14:paraId="46B1D054">
        <w:tc>
          <w:tcPr>
            <w:tcW w:w="4536" w:type="dxa"/>
          </w:tcPr>
          <w:p w14:paraId="79F44C4A">
            <w:pPr>
              <w:spacing w:before="40" w:after="40" w:line="276" w:lineRule="auto"/>
              <w:jc w:val="center"/>
            </w:pPr>
            <w:r>
              <w:rPr>
                <w:rFonts w:ascii="Times New Roman" w:hAnsi="Times New Roman" w:eastAsia="宋体" w:cs="Times New Roman"/>
                <w:sz w:val="21"/>
                <w:szCs w:val="21"/>
              </w:rPr>
              <w:t>transformer_id, date</w:t>
            </w:r>
          </w:p>
        </w:tc>
        <w:tc>
          <w:tcPr>
            <w:tcW w:w="4536" w:type="dxa"/>
          </w:tcPr>
          <w:p w14:paraId="5D75D0E4">
            <w:pPr>
              <w:spacing w:before="40" w:after="40" w:line="276" w:lineRule="auto"/>
              <w:jc w:val="center"/>
            </w:pPr>
            <w:r>
              <w:rPr>
                <w:rFonts w:ascii="Times New Roman" w:hAnsi="Times New Roman" w:eastAsia="宋体" w:cs="Times New Roman"/>
                <w:sz w:val="21"/>
                <w:szCs w:val="21"/>
              </w:rPr>
              <w:t>设备编号与监测日（唯一约束）</w:t>
            </w:r>
          </w:p>
        </w:tc>
      </w:tr>
      <w:tr w14:paraId="1FBA8408">
        <w:tc>
          <w:tcPr>
            <w:tcW w:w="4536" w:type="dxa"/>
          </w:tcPr>
          <w:p w14:paraId="6C31777C">
            <w:pPr>
              <w:spacing w:before="40" w:after="40" w:line="276" w:lineRule="auto"/>
              <w:jc w:val="center"/>
            </w:pPr>
            <w:r>
              <w:rPr>
                <w:rFonts w:hint="eastAsia" w:ascii="黑体" w:eastAsia="黑体"/>
                <w:sz w:val="24"/>
              </w:rPr>
              <w:t>H</w:t>
            </w:r>
            <w:r>
              <w:rPr>
                <w:rFonts w:hint="eastAsia" w:cs="Times New Roman"/>
                <w:sz w:val="24"/>
                <w:szCs w:val="24"/>
                <w:vertAlign w:val="subscript"/>
                <w:lang w:val="en-US" w:eastAsia="zh-CN"/>
              </w:rPr>
              <w:t>2</w:t>
            </w:r>
            <w:r>
              <w:rPr>
                <w:rFonts w:hint="eastAsia" w:ascii="黑体" w:eastAsia="黑体"/>
                <w:sz w:val="24"/>
              </w:rPr>
              <w:t>、CH</w:t>
            </w:r>
            <w:r>
              <w:rPr>
                <w:rFonts w:hint="eastAsia" w:cs="Times New Roman"/>
                <w:sz w:val="24"/>
                <w:szCs w:val="24"/>
                <w:vertAlign w:val="subscript"/>
                <w:lang w:val="en-US" w:eastAsia="zh-CN"/>
              </w:rPr>
              <w:t>4</w:t>
            </w:r>
            <w:r>
              <w:rPr>
                <w:rFonts w:hint="eastAsia" w:ascii="黑体" w:eastAsia="黑体"/>
                <w:sz w:val="24"/>
              </w:rPr>
              <w:t>、C</w:t>
            </w:r>
            <w:r>
              <w:rPr>
                <w:rFonts w:hint="eastAsia" w:cs="Times New Roman"/>
                <w:sz w:val="24"/>
                <w:szCs w:val="24"/>
                <w:vertAlign w:val="subscript"/>
                <w:lang w:val="en-US" w:eastAsia="zh-CN"/>
              </w:rPr>
              <w:t>2</w:t>
            </w:r>
            <w:r>
              <w:rPr>
                <w:rFonts w:hint="eastAsia" w:ascii="黑体" w:eastAsia="黑体"/>
                <w:sz w:val="24"/>
              </w:rPr>
              <w:t>H</w:t>
            </w:r>
            <w:r>
              <w:rPr>
                <w:rFonts w:hint="eastAsia" w:cs="Times New Roman"/>
                <w:sz w:val="24"/>
                <w:szCs w:val="24"/>
                <w:vertAlign w:val="subscript"/>
                <w:lang w:val="en-US" w:eastAsia="zh-CN"/>
              </w:rPr>
              <w:t>4</w:t>
            </w:r>
            <w:r>
              <w:rPr>
                <w:rFonts w:hint="eastAsia" w:ascii="黑体" w:eastAsia="黑体"/>
                <w:sz w:val="24"/>
              </w:rPr>
              <w:t>、C</w:t>
            </w:r>
            <w:r>
              <w:rPr>
                <w:rFonts w:hint="eastAsia" w:cs="Times New Roman"/>
                <w:sz w:val="24"/>
                <w:szCs w:val="24"/>
                <w:vertAlign w:val="subscript"/>
                <w:lang w:val="en-US" w:eastAsia="zh-CN"/>
              </w:rPr>
              <w:t>2</w:t>
            </w:r>
            <w:r>
              <w:rPr>
                <w:rFonts w:hint="eastAsia" w:ascii="黑体" w:eastAsia="黑体"/>
                <w:sz w:val="24"/>
              </w:rPr>
              <w:t>H</w:t>
            </w:r>
            <w:r>
              <w:rPr>
                <w:rFonts w:hint="eastAsia" w:cs="Times New Roman"/>
                <w:sz w:val="24"/>
                <w:szCs w:val="24"/>
                <w:vertAlign w:val="subscript"/>
                <w:lang w:val="en-US" w:eastAsia="zh-CN"/>
              </w:rPr>
              <w:t>6</w:t>
            </w:r>
            <w:r>
              <w:rPr>
                <w:rFonts w:hint="eastAsia" w:ascii="黑体" w:eastAsia="黑体"/>
                <w:sz w:val="24"/>
              </w:rPr>
              <w:t>、C</w:t>
            </w:r>
            <w:r>
              <w:rPr>
                <w:rFonts w:hint="eastAsia" w:cs="Times New Roman"/>
                <w:sz w:val="24"/>
                <w:szCs w:val="24"/>
                <w:vertAlign w:val="subscript"/>
                <w:lang w:val="en-US" w:eastAsia="zh-CN"/>
              </w:rPr>
              <w:t>2</w:t>
            </w:r>
            <w:r>
              <w:rPr>
                <w:rFonts w:hint="eastAsia" w:ascii="黑体" w:eastAsia="黑体"/>
                <w:sz w:val="24"/>
              </w:rPr>
              <w:t>H</w:t>
            </w:r>
            <w:r>
              <w:rPr>
                <w:rFonts w:hint="eastAsia" w:cs="Times New Roman"/>
                <w:sz w:val="24"/>
                <w:szCs w:val="24"/>
                <w:vertAlign w:val="subscript"/>
                <w:lang w:val="en-US" w:eastAsia="zh-CN"/>
              </w:rPr>
              <w:t>2</w:t>
            </w:r>
            <w:r>
              <w:rPr>
                <w:rFonts w:hint="eastAsia" w:ascii="黑体" w:eastAsia="黑体"/>
                <w:sz w:val="24"/>
              </w:rPr>
              <w:t>、CO、CO</w:t>
            </w:r>
            <w:r>
              <w:rPr>
                <w:rFonts w:hint="eastAsia" w:cs="Times New Roman"/>
                <w:sz w:val="24"/>
                <w:szCs w:val="24"/>
                <w:vertAlign w:val="subscript"/>
                <w:lang w:val="en-US" w:eastAsia="zh-CN"/>
              </w:rPr>
              <w:t>2</w:t>
            </w:r>
          </w:p>
        </w:tc>
        <w:tc>
          <w:tcPr>
            <w:tcW w:w="4536" w:type="dxa"/>
          </w:tcPr>
          <w:p w14:paraId="0D82B09E">
            <w:pPr>
              <w:spacing w:before="40" w:after="40" w:line="276" w:lineRule="auto"/>
              <w:jc w:val="center"/>
            </w:pPr>
            <w:r>
              <w:rPr>
                <w:rFonts w:ascii="Times New Roman" w:hAnsi="Times New Roman" w:eastAsia="宋体" w:cs="Times New Roman"/>
                <w:sz w:val="21"/>
                <w:szCs w:val="21"/>
              </w:rPr>
              <w:t>七种气体浓度（μL/L）</w:t>
            </w:r>
          </w:p>
        </w:tc>
      </w:tr>
    </w:tbl>
    <w:p w14:paraId="3F267721"/>
    <w:p w14:paraId="6740F193">
      <w:pPr>
        <w:pStyle w:val="3"/>
        <w:spacing w:before="0" w:after="0" w:line="360" w:lineRule="auto"/>
        <w:ind w:firstLine="420"/>
        <w:jc w:val="both"/>
      </w:pPr>
      <w:r>
        <w:rPr>
          <w:rFonts w:hint="eastAsia" w:ascii="黑体" w:eastAsia="黑体"/>
          <w:sz w:val="24"/>
        </w:rPr>
        <w:t>表5.2　设备基本信息表（transformers，对齐分析报告）主要字段</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536"/>
        <w:gridCol w:w="4536"/>
      </w:tblGrid>
      <w:tr w14:paraId="1A139403">
        <w:tc>
          <w:tcPr>
            <w:tcW w:w="4536" w:type="dxa"/>
            <w:tcBorders>
              <w:bottom w:val="single" w:color="000000" w:sz="6" w:space="0"/>
            </w:tcBorders>
          </w:tcPr>
          <w:p w14:paraId="247E8809">
            <w:pPr>
              <w:spacing w:before="40" w:after="40" w:line="276" w:lineRule="auto"/>
              <w:jc w:val="center"/>
            </w:pPr>
            <w:r>
              <w:rPr>
                <w:rFonts w:ascii="Times New Roman" w:hAnsi="Times New Roman" w:eastAsia="宋体" w:cs="Times New Roman"/>
                <w:sz w:val="21"/>
                <w:szCs w:val="21"/>
              </w:rPr>
              <w:t>字段</w:t>
            </w:r>
          </w:p>
        </w:tc>
        <w:tc>
          <w:tcPr>
            <w:tcW w:w="4536" w:type="dxa"/>
            <w:tcBorders>
              <w:bottom w:val="single" w:color="000000" w:sz="6" w:space="0"/>
            </w:tcBorders>
          </w:tcPr>
          <w:p w14:paraId="3BE2D3D2">
            <w:pPr>
              <w:spacing w:before="40" w:after="40" w:line="276" w:lineRule="auto"/>
              <w:jc w:val="center"/>
            </w:pPr>
            <w:r>
              <w:rPr>
                <w:rFonts w:ascii="Times New Roman" w:hAnsi="Times New Roman" w:eastAsia="宋体" w:cs="Times New Roman"/>
                <w:sz w:val="21"/>
                <w:szCs w:val="21"/>
              </w:rPr>
              <w:t>含义</w:t>
            </w:r>
          </w:p>
        </w:tc>
      </w:tr>
      <w:tr w14:paraId="58DF41E2">
        <w:tc>
          <w:tcPr>
            <w:tcW w:w="4536" w:type="dxa"/>
          </w:tcPr>
          <w:p w14:paraId="49D0B6C8">
            <w:pPr>
              <w:spacing w:before="40" w:after="40" w:line="276" w:lineRule="auto"/>
              <w:jc w:val="center"/>
            </w:pPr>
            <w:r>
              <w:rPr>
                <w:rFonts w:ascii="Times New Roman" w:hAnsi="Times New Roman" w:eastAsia="宋体" w:cs="Times New Roman"/>
                <w:sz w:val="21"/>
                <w:szCs w:val="21"/>
              </w:rPr>
              <w:t>transformer_id</w:t>
            </w:r>
          </w:p>
        </w:tc>
        <w:tc>
          <w:tcPr>
            <w:tcW w:w="4536" w:type="dxa"/>
          </w:tcPr>
          <w:p w14:paraId="15E3D029">
            <w:pPr>
              <w:spacing w:before="40" w:after="40" w:line="276" w:lineRule="auto"/>
              <w:jc w:val="center"/>
            </w:pPr>
            <w:r>
              <w:rPr>
                <w:rFonts w:ascii="Times New Roman" w:hAnsi="Times New Roman" w:eastAsia="宋体" w:cs="Times New Roman"/>
                <w:sz w:val="21"/>
                <w:szCs w:val="21"/>
              </w:rPr>
              <w:t>设备编号</w:t>
            </w:r>
          </w:p>
        </w:tc>
      </w:tr>
      <w:tr w14:paraId="37A8E0C9">
        <w:tc>
          <w:tcPr>
            <w:tcW w:w="4536" w:type="dxa"/>
          </w:tcPr>
          <w:p w14:paraId="68BC119B">
            <w:pPr>
              <w:spacing w:before="40" w:after="40" w:line="276" w:lineRule="auto"/>
              <w:jc w:val="center"/>
            </w:pPr>
            <w:r>
              <w:rPr>
                <w:rFonts w:ascii="Times New Roman" w:hAnsi="Times New Roman" w:eastAsia="宋体" w:cs="Times New Roman"/>
                <w:sz w:val="21"/>
                <w:szCs w:val="21"/>
              </w:rPr>
              <w:t>bureau, model, voltage_capacity</w:t>
            </w:r>
          </w:p>
        </w:tc>
        <w:tc>
          <w:tcPr>
            <w:tcW w:w="4536" w:type="dxa"/>
          </w:tcPr>
          <w:p w14:paraId="61B13F51">
            <w:pPr>
              <w:spacing w:before="40" w:after="40" w:line="276" w:lineRule="auto"/>
              <w:jc w:val="center"/>
            </w:pPr>
            <w:r>
              <w:rPr>
                <w:rFonts w:ascii="Times New Roman" w:hAnsi="Times New Roman" w:eastAsia="宋体" w:cs="Times New Roman"/>
                <w:sz w:val="21"/>
                <w:szCs w:val="21"/>
              </w:rPr>
              <w:t>局（厂、所）、型号、电压等级/容量</w:t>
            </w:r>
          </w:p>
        </w:tc>
      </w:tr>
      <w:tr w14:paraId="58590F70">
        <w:tc>
          <w:tcPr>
            <w:tcW w:w="4536" w:type="dxa"/>
          </w:tcPr>
          <w:p w14:paraId="09619C54">
            <w:pPr>
              <w:spacing w:before="40" w:after="40" w:line="276" w:lineRule="auto"/>
              <w:jc w:val="center"/>
            </w:pPr>
            <w:r>
              <w:rPr>
                <w:rFonts w:ascii="Times New Roman" w:hAnsi="Times New Roman" w:eastAsia="宋体" w:cs="Times New Roman"/>
                <w:sz w:val="21"/>
                <w:szCs w:val="21"/>
              </w:rPr>
              <w:t>oil_weight_t, oil_type</w:t>
            </w:r>
          </w:p>
        </w:tc>
        <w:tc>
          <w:tcPr>
            <w:tcW w:w="4536" w:type="dxa"/>
          </w:tcPr>
          <w:p w14:paraId="448C8530">
            <w:pPr>
              <w:spacing w:before="40" w:after="40" w:line="276" w:lineRule="auto"/>
              <w:jc w:val="center"/>
            </w:pPr>
            <w:r>
              <w:rPr>
                <w:rFonts w:ascii="Times New Roman" w:hAnsi="Times New Roman" w:eastAsia="宋体" w:cs="Times New Roman"/>
                <w:sz w:val="21"/>
                <w:szCs w:val="21"/>
              </w:rPr>
              <w:t>油重（t）、油种</w:t>
            </w:r>
          </w:p>
        </w:tc>
      </w:tr>
      <w:tr w14:paraId="54A3BF8B">
        <w:tc>
          <w:tcPr>
            <w:tcW w:w="4536" w:type="dxa"/>
          </w:tcPr>
          <w:p w14:paraId="0E72479D">
            <w:pPr>
              <w:spacing w:before="40" w:after="40" w:line="276" w:lineRule="auto"/>
              <w:jc w:val="center"/>
            </w:pPr>
            <w:r>
              <w:rPr>
                <w:rFonts w:ascii="Times New Roman" w:hAnsi="Times New Roman" w:eastAsia="宋体" w:cs="Times New Roman"/>
                <w:sz w:val="21"/>
                <w:szCs w:val="21"/>
              </w:rPr>
              <w:t>manufacturer, serial_no</w:t>
            </w:r>
          </w:p>
        </w:tc>
        <w:tc>
          <w:tcPr>
            <w:tcW w:w="4536" w:type="dxa"/>
          </w:tcPr>
          <w:p w14:paraId="08A9FDFF">
            <w:pPr>
              <w:spacing w:before="40" w:after="40" w:line="276" w:lineRule="auto"/>
              <w:jc w:val="center"/>
            </w:pPr>
            <w:r>
              <w:rPr>
                <w:rFonts w:ascii="Times New Roman" w:hAnsi="Times New Roman" w:eastAsia="宋体" w:cs="Times New Roman"/>
                <w:sz w:val="21"/>
                <w:szCs w:val="21"/>
              </w:rPr>
              <w:t>制造厂、出厂序号</w:t>
            </w:r>
          </w:p>
        </w:tc>
      </w:tr>
      <w:tr w14:paraId="75A19FE1">
        <w:tc>
          <w:tcPr>
            <w:tcW w:w="4536" w:type="dxa"/>
          </w:tcPr>
          <w:p w14:paraId="0BB8AFE9">
            <w:pPr>
              <w:spacing w:before="40" w:after="40" w:line="276" w:lineRule="auto"/>
              <w:jc w:val="center"/>
            </w:pPr>
            <w:r>
              <w:rPr>
                <w:rFonts w:ascii="Times New Roman" w:hAnsi="Times New Roman" w:eastAsia="宋体" w:cs="Times New Roman"/>
                <w:sz w:val="21"/>
                <w:szCs w:val="21"/>
              </w:rPr>
              <w:t>manufacture_date, commission_date</w:t>
            </w:r>
          </w:p>
        </w:tc>
        <w:tc>
          <w:tcPr>
            <w:tcW w:w="4536" w:type="dxa"/>
          </w:tcPr>
          <w:p w14:paraId="2936BB5C">
            <w:pPr>
              <w:spacing w:before="40" w:after="40" w:line="276" w:lineRule="auto"/>
              <w:jc w:val="center"/>
            </w:pPr>
            <w:r>
              <w:rPr>
                <w:rFonts w:ascii="Times New Roman" w:hAnsi="Times New Roman" w:eastAsia="宋体" w:cs="Times New Roman"/>
                <w:sz w:val="21"/>
                <w:szCs w:val="21"/>
              </w:rPr>
              <w:t>出厂年月、投运日期</w:t>
            </w:r>
          </w:p>
        </w:tc>
      </w:tr>
      <w:tr w14:paraId="0F39320F">
        <w:tc>
          <w:tcPr>
            <w:tcW w:w="4536" w:type="dxa"/>
          </w:tcPr>
          <w:p w14:paraId="000A2145">
            <w:pPr>
              <w:spacing w:before="40" w:after="40" w:line="276" w:lineRule="auto"/>
              <w:jc w:val="center"/>
            </w:pPr>
            <w:r>
              <w:rPr>
                <w:rFonts w:ascii="Times New Roman" w:hAnsi="Times New Roman" w:eastAsia="宋体" w:cs="Times New Roman"/>
                <w:sz w:val="21"/>
                <w:szCs w:val="21"/>
              </w:rPr>
              <w:t>cooling, tap_changer, oil_protection</w:t>
            </w:r>
          </w:p>
        </w:tc>
        <w:tc>
          <w:tcPr>
            <w:tcW w:w="4536" w:type="dxa"/>
          </w:tcPr>
          <w:p w14:paraId="436E3775">
            <w:pPr>
              <w:spacing w:before="40" w:after="40" w:line="276" w:lineRule="auto"/>
              <w:jc w:val="center"/>
            </w:pPr>
            <w:r>
              <w:rPr>
                <w:rFonts w:ascii="Times New Roman" w:hAnsi="Times New Roman" w:eastAsia="宋体" w:cs="Times New Roman"/>
                <w:sz w:val="21"/>
                <w:szCs w:val="21"/>
              </w:rPr>
              <w:t>冷却方式、调压方式、油保护方式</w:t>
            </w:r>
          </w:p>
        </w:tc>
      </w:tr>
    </w:tbl>
    <w:p w14:paraId="490D3CD2"/>
    <w:p w14:paraId="0E64FE08">
      <w:pPr>
        <w:pStyle w:val="6"/>
        <w:spacing w:before="120" w:after="120" w:line="360" w:lineRule="auto"/>
        <w:ind w:firstLine="0"/>
        <w:jc w:val="left"/>
      </w:pPr>
      <w:bookmarkStart w:id="146" w:name="_Toc419347016"/>
      <w:bookmarkStart w:id="147" w:name="_Toc932027174"/>
      <w:r>
        <w:rPr>
          <w:rFonts w:ascii="Times New Roman" w:hAnsi="Times New Roman" w:eastAsia="黑体" w:cs="Times New Roman"/>
          <w:sz w:val="24"/>
          <w:szCs w:val="24"/>
        </w:rPr>
        <w:t>5.3.2 端到端数据流转设计</w:t>
      </w:r>
      <w:bookmarkEnd w:id="146"/>
      <w:bookmarkEnd w:id="147"/>
    </w:p>
    <w:p w14:paraId="1579A457">
      <w:pPr>
        <w:pStyle w:val="3"/>
        <w:spacing w:before="0" w:after="0" w:line="360" w:lineRule="auto"/>
        <w:ind w:firstLine="420"/>
        <w:jc w:val="both"/>
      </w:pPr>
      <w:r>
        <w:rPr>
          <w:rFonts w:hint="eastAsia" w:ascii="黑体" w:eastAsia="黑体"/>
          <w:sz w:val="24"/>
        </w:rPr>
        <w:t>先把气体浓度时序和设备基本信息写入数据库。用户选定监测日后，接口层发起分析：算法引擎算出分级、趋势、紧急度、判型和监测决策，智能体层按七步汇总并生成报告，再送到各页面显示。页面自己不算判据。</w:t>
      </w:r>
    </w:p>
    <w:p w14:paraId="20AA0261">
      <w:pPr>
        <w:pStyle w:val="4"/>
        <w:spacing w:before="156" w:beforeLines="50" w:after="156" w:afterLines="50" w:line="360" w:lineRule="auto"/>
        <w:ind w:left="0"/>
        <w:jc w:val="both"/>
        <w:rPr>
          <w:rFonts w:hint="eastAsia" w:eastAsia="黑体"/>
          <w:b w:val="0"/>
          <w:bCs/>
          <w:sz w:val="24"/>
          <w:szCs w:val="18"/>
        </w:rPr>
      </w:pPr>
      <w:bookmarkStart w:id="148" w:name="_Toc834992200"/>
      <w:bookmarkStart w:id="149" w:name="_Toc2071452105"/>
      <w:r>
        <w:rPr>
          <w:rFonts w:hint="eastAsia" w:eastAsia="黑体"/>
          <w:b w:val="0"/>
          <w:bCs/>
          <w:sz w:val="24"/>
          <w:szCs w:val="18"/>
        </w:rPr>
        <w:t>5.4 原型系统实现与界面展示</w:t>
      </w:r>
      <w:bookmarkEnd w:id="148"/>
      <w:bookmarkEnd w:id="149"/>
    </w:p>
    <w:p w14:paraId="0210C999">
      <w:pPr>
        <w:pStyle w:val="3"/>
        <w:spacing w:before="0" w:after="0" w:line="360" w:lineRule="auto"/>
        <w:ind w:firstLine="420"/>
        <w:jc w:val="both"/>
      </w:pPr>
      <w:r>
        <w:rPr>
          <w:rFonts w:hint="eastAsia" w:ascii="黑体" w:eastAsia="黑体"/>
          <w:sz w:val="24"/>
        </w:rPr>
        <w:t>本节截图取自系统实际运行界面，演示数据为合成时序，示例监测日取2024-08-09。下面按侧栏菜单依次说明各页面。</w:t>
      </w:r>
    </w:p>
    <w:p w14:paraId="334D727C">
      <w:pPr>
        <w:pStyle w:val="6"/>
        <w:spacing w:before="120" w:after="120" w:line="360" w:lineRule="auto"/>
        <w:ind w:firstLine="0"/>
        <w:jc w:val="left"/>
      </w:pPr>
      <w:bookmarkStart w:id="150" w:name="_Toc2055755902"/>
      <w:bookmarkEnd w:id="150"/>
      <w:bookmarkStart w:id="151" w:name="_Toc2038127218"/>
      <w:bookmarkEnd w:id="151"/>
      <w:r>
        <w:rPr>
          <w:rFonts w:hint="eastAsia" w:ascii="Times New Roman" w:hAnsi="Times New Roman" w:eastAsia="黑体" w:cs="Times New Roman"/>
          <w:kern w:val="2"/>
          <w:sz w:val="24"/>
          <w:szCs w:val="18"/>
          <w:lang w:val="en-US" w:eastAsia="zh-CN" w:bidi="ar-SA"/>
        </w:rPr>
        <w:t>5.4.1 数据集页面</w:t>
      </w:r>
    </w:p>
    <w:p w14:paraId="5EC7667A">
      <w:pPr>
        <w:pStyle w:val="3"/>
        <w:spacing w:before="0" w:after="0" w:line="360" w:lineRule="auto"/>
        <w:ind w:firstLine="420"/>
        <w:jc w:val="both"/>
      </w:pPr>
      <w:r>
        <w:rPr>
          <w:rFonts w:ascii="Times New Roman" w:hAnsi="Times New Roman" w:eastAsia="宋体" w:cs="Times New Roman"/>
          <w:sz w:val="24"/>
          <w:szCs w:val="24"/>
        </w:rPr>
        <w:t>数据集页按监测日分页列出七种气体浓度，也可跳到检测分级页。界面如图5.1所示。</w:t>
      </w:r>
    </w:p>
    <w:p w14:paraId="6101BC79">
      <w:pPr>
        <w:spacing w:before="120" w:after="60"/>
        <w:ind w:firstLine="0"/>
        <w:jc w:val="center"/>
      </w:pPr>
      <w:r>
        <w:rPr>
          <w:rFonts w:ascii="Times New Roman" w:hAnsi="Times New Roman" w:eastAsia="宋体" w:cs="Times New Roman"/>
          <w:b w:val="0"/>
          <w:sz w:val="24"/>
          <w:szCs w:val="24"/>
        </w:rPr>
        <w:drawing>
          <wp:inline distT="0" distB="0" distL="114300" distR="114300">
            <wp:extent cx="4859655" cy="3712210"/>
            <wp:effectExtent l="0" t="0" r="17145" b="215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1"/>
                    <a:stretch>
                      <a:fillRect/>
                    </a:stretch>
                  </pic:blipFill>
                  <pic:spPr>
                    <a:xfrm>
                      <a:off x="0" y="0"/>
                      <a:ext cx="4860000" cy="3712500"/>
                    </a:xfrm>
                    <a:prstGeom prst="rect">
                      <a:avLst/>
                    </a:prstGeom>
                  </pic:spPr>
                </pic:pic>
              </a:graphicData>
            </a:graphic>
          </wp:inline>
        </w:drawing>
      </w:r>
    </w:p>
    <w:p w14:paraId="69F57A5D">
      <w:pPr>
        <w:pStyle w:val="15"/>
        <w:spacing w:before="120" w:after="120" w:line="360" w:lineRule="auto"/>
        <w:ind w:firstLine="0"/>
        <w:jc w:val="center"/>
      </w:pPr>
      <w:r>
        <w:rPr>
          <w:rFonts w:ascii="Times New Roman" w:hAnsi="Times New Roman" w:eastAsia="宋体" w:cs="Times New Roman"/>
          <w:sz w:val="21"/>
          <w:szCs w:val="21"/>
        </w:rPr>
        <w:t>图5.1　数据集页面</w:t>
      </w:r>
    </w:p>
    <w:p w14:paraId="01226B8B">
      <w:pPr>
        <w:pStyle w:val="6"/>
        <w:spacing w:before="120" w:after="120" w:line="360" w:lineRule="auto"/>
        <w:ind w:firstLine="0"/>
        <w:jc w:val="left"/>
      </w:pPr>
      <w:bookmarkStart w:id="152" w:name="_Toc225048331"/>
      <w:bookmarkEnd w:id="152"/>
      <w:bookmarkStart w:id="153" w:name="_Toc292499629"/>
      <w:bookmarkEnd w:id="153"/>
      <w:r>
        <w:rPr>
          <w:rFonts w:hint="eastAsia" w:ascii="Times New Roman" w:hAnsi="Times New Roman" w:eastAsia="黑体" w:cs="Times New Roman"/>
          <w:kern w:val="2"/>
          <w:sz w:val="24"/>
          <w:szCs w:val="18"/>
          <w:lang w:val="en-US" w:eastAsia="zh-CN" w:bidi="ar-SA"/>
        </w:rPr>
        <w:t>5.4.2 检测分级页面</w:t>
      </w:r>
    </w:p>
    <w:p w14:paraId="2D9E460F">
      <w:pPr>
        <w:pStyle w:val="3"/>
        <w:spacing w:before="0" w:after="0" w:line="360" w:lineRule="auto"/>
        <w:ind w:firstLine="420"/>
        <w:jc w:val="both"/>
      </w:pPr>
      <w:r>
        <w:rPr>
          <w:rFonts w:ascii="Times New Roman" w:hAnsi="Times New Roman" w:eastAsia="宋体" w:cs="Times New Roman"/>
          <w:sz w:val="24"/>
          <w:szCs w:val="24"/>
        </w:rPr>
        <w:t>检测分级页以日历筛选形式展示各日检测分级；选定监测日后可查看第2章表2.1各项结果，以及总烃月环比、涨势预警和处置紧急度。界面如图5.2所示。</w:t>
      </w:r>
    </w:p>
    <w:p w14:paraId="24416237">
      <w:pPr>
        <w:spacing w:before="120" w:after="60"/>
        <w:ind w:firstLine="0"/>
        <w:jc w:val="center"/>
      </w:pPr>
      <w:r>
        <w:rPr>
          <w:rFonts w:ascii="Times New Roman" w:hAnsi="Times New Roman" w:eastAsia="宋体" w:cs="Times New Roman"/>
          <w:b w:val="0"/>
          <w:sz w:val="24"/>
          <w:szCs w:val="24"/>
        </w:rPr>
        <w:drawing>
          <wp:inline distT="0" distB="0" distL="114300" distR="114300">
            <wp:extent cx="4859655" cy="3712210"/>
            <wp:effectExtent l="0" t="0" r="17145" b="21590"/>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pic:cNvPicPr>
                      <a:picLocks noChangeAspect="1"/>
                    </pic:cNvPicPr>
                  </pic:nvPicPr>
                  <pic:blipFill>
                    <a:blip r:embed="rId32"/>
                    <a:stretch>
                      <a:fillRect/>
                    </a:stretch>
                  </pic:blipFill>
                  <pic:spPr>
                    <a:xfrm>
                      <a:off x="0" y="0"/>
                      <a:ext cx="4860000" cy="3712500"/>
                    </a:xfrm>
                    <a:prstGeom prst="rect">
                      <a:avLst/>
                    </a:prstGeom>
                  </pic:spPr>
                </pic:pic>
              </a:graphicData>
            </a:graphic>
          </wp:inline>
        </w:drawing>
      </w:r>
    </w:p>
    <w:p w14:paraId="553D24EC">
      <w:pPr>
        <w:pStyle w:val="15"/>
        <w:spacing w:before="120" w:after="120" w:line="360" w:lineRule="auto"/>
        <w:ind w:firstLine="0"/>
        <w:jc w:val="center"/>
      </w:pPr>
      <w:r>
        <w:rPr>
          <w:rFonts w:ascii="Times New Roman" w:hAnsi="Times New Roman" w:eastAsia="宋体" w:cs="Times New Roman"/>
          <w:sz w:val="21"/>
          <w:szCs w:val="21"/>
        </w:rPr>
        <w:t>图5.2　检测分级页面</w:t>
      </w:r>
    </w:p>
    <w:p w14:paraId="4D3A4AD5">
      <w:pPr>
        <w:pStyle w:val="6"/>
        <w:spacing w:before="120" w:after="120" w:line="360" w:lineRule="auto"/>
        <w:ind w:firstLine="0"/>
        <w:jc w:val="left"/>
        <w:rPr>
          <w:rFonts w:hint="eastAsia" w:ascii="Times New Roman" w:hAnsi="Times New Roman" w:eastAsia="黑体" w:cs="Times New Roman"/>
          <w:b w:val="0"/>
          <w:bCs/>
          <w:kern w:val="2"/>
          <w:sz w:val="24"/>
          <w:szCs w:val="18"/>
          <w:lang w:val="en-US" w:eastAsia="zh-CN" w:bidi="ar-SA"/>
        </w:rPr>
      </w:pPr>
      <w:r>
        <w:rPr>
          <w:rFonts w:hint="eastAsia" w:ascii="Times New Roman" w:hAnsi="Times New Roman" w:eastAsia="黑体" w:cs="Times New Roman"/>
          <w:kern w:val="2"/>
          <w:sz w:val="24"/>
          <w:szCs w:val="18"/>
          <w:lang w:val="en-US" w:eastAsia="zh-CN" w:bidi="ar-SA"/>
        </w:rPr>
        <w:t>5.4.3 告警列表页面</w:t>
      </w:r>
    </w:p>
    <w:p w14:paraId="141BA2B0">
      <w:pPr>
        <w:pStyle w:val="3"/>
        <w:spacing w:before="0" w:after="0" w:line="360" w:lineRule="auto"/>
        <w:ind w:firstLine="420"/>
        <w:jc w:val="both"/>
      </w:pPr>
      <w:r>
        <w:rPr>
          <w:rFonts w:ascii="Times New Roman" w:hAnsi="Times New Roman" w:eastAsia="宋体" w:cs="Times New Roman"/>
          <w:sz w:val="24"/>
          <w:szCs w:val="24"/>
        </w:rPr>
        <w:t>告警列表按日汇总全年记录，可按四档或“仅涨势预警”等条件筛选，也可检索日期、超标判据或故障类型，并查看单日详情。界面如图5.3所示。</w:t>
      </w:r>
    </w:p>
    <w:p w14:paraId="097B524A">
      <w:pPr>
        <w:spacing w:before="120" w:after="60"/>
        <w:ind w:firstLine="0"/>
        <w:jc w:val="center"/>
      </w:pPr>
      <w:r>
        <w:rPr>
          <w:rFonts w:ascii="Times New Roman" w:hAnsi="Times New Roman" w:eastAsia="宋体" w:cs="Times New Roman"/>
          <w:b w:val="0"/>
          <w:sz w:val="24"/>
          <w:szCs w:val="24"/>
        </w:rPr>
        <w:drawing>
          <wp:inline distT="0" distB="0" distL="114300" distR="114300">
            <wp:extent cx="4859655" cy="2649855"/>
            <wp:effectExtent l="0" t="0" r="17145" b="17145"/>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33"/>
                    <a:stretch>
                      <a:fillRect/>
                    </a:stretch>
                  </pic:blipFill>
                  <pic:spPr>
                    <a:xfrm>
                      <a:off x="0" y="0"/>
                      <a:ext cx="4860000" cy="2649855"/>
                    </a:xfrm>
                    <a:prstGeom prst="rect">
                      <a:avLst/>
                    </a:prstGeom>
                  </pic:spPr>
                </pic:pic>
              </a:graphicData>
            </a:graphic>
          </wp:inline>
        </w:drawing>
      </w:r>
    </w:p>
    <w:p w14:paraId="4AA1D84D">
      <w:pPr>
        <w:pStyle w:val="15"/>
        <w:spacing w:before="120" w:after="120" w:line="360" w:lineRule="auto"/>
        <w:ind w:firstLine="0"/>
        <w:jc w:val="center"/>
      </w:pPr>
      <w:r>
        <w:rPr>
          <w:rFonts w:ascii="Times New Roman" w:hAnsi="Times New Roman" w:eastAsia="宋体" w:cs="Times New Roman"/>
          <w:sz w:val="21"/>
          <w:szCs w:val="21"/>
        </w:rPr>
        <w:t>图5.3　告警列表页面</w:t>
      </w:r>
    </w:p>
    <w:p w14:paraId="16BFADD1">
      <w:pPr>
        <w:pStyle w:val="6"/>
        <w:spacing w:before="120" w:after="120" w:line="360" w:lineRule="auto"/>
        <w:ind w:firstLine="0"/>
        <w:jc w:val="left"/>
      </w:pPr>
      <w:bookmarkStart w:id="154" w:name="_Toc451196620"/>
      <w:bookmarkEnd w:id="154"/>
      <w:bookmarkStart w:id="155" w:name="_Toc668596750"/>
      <w:bookmarkEnd w:id="155"/>
      <w:r>
        <w:rPr>
          <w:rFonts w:hint="eastAsia" w:ascii="Times New Roman" w:hAnsi="Times New Roman" w:eastAsia="黑体" w:cs="Times New Roman"/>
          <w:kern w:val="2"/>
          <w:sz w:val="24"/>
          <w:szCs w:val="18"/>
          <w:lang w:val="en-US" w:eastAsia="zh-CN" w:bidi="ar-SA"/>
        </w:rPr>
        <w:t>5.4.4 产气趋势页面</w:t>
      </w:r>
    </w:p>
    <w:p w14:paraId="6C431848">
      <w:pPr>
        <w:pStyle w:val="3"/>
        <w:spacing w:before="0" w:after="0" w:line="360" w:lineRule="auto"/>
        <w:ind w:firstLine="420"/>
        <w:jc w:val="both"/>
      </w:pPr>
      <w:r>
        <w:rPr>
          <w:rFonts w:ascii="Times New Roman" w:hAnsi="Times New Roman" w:eastAsia="宋体" w:cs="Times New Roman"/>
          <w:b w:val="0"/>
          <w:sz w:val="24"/>
          <w:szCs w:val="24"/>
        </w:rPr>
        <w:t>产气趋势页画出总烃月环比曲线，标出DL/T 722—2014相对产气速率注意线，并列出涨势预警事件。界面如图5.4所示。</w:t>
      </w:r>
    </w:p>
    <w:p w14:paraId="371D64D6">
      <w:pPr>
        <w:spacing w:before="120" w:after="60"/>
        <w:ind w:firstLine="0"/>
        <w:jc w:val="center"/>
      </w:pPr>
      <w:r>
        <w:rPr>
          <w:rFonts w:ascii="Times New Roman" w:hAnsi="Times New Roman" w:eastAsia="宋体" w:cs="Times New Roman"/>
          <w:b w:val="0"/>
          <w:sz w:val="24"/>
          <w:szCs w:val="24"/>
        </w:rPr>
        <w:drawing>
          <wp:inline distT="0" distB="0" distL="114300" distR="114300">
            <wp:extent cx="4859655" cy="3712210"/>
            <wp:effectExtent l="0" t="0" r="17145" b="2159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34"/>
                    <a:stretch>
                      <a:fillRect/>
                    </a:stretch>
                  </pic:blipFill>
                  <pic:spPr>
                    <a:xfrm>
                      <a:off x="0" y="0"/>
                      <a:ext cx="4860000" cy="3712500"/>
                    </a:xfrm>
                    <a:prstGeom prst="rect">
                      <a:avLst/>
                    </a:prstGeom>
                  </pic:spPr>
                </pic:pic>
              </a:graphicData>
            </a:graphic>
          </wp:inline>
        </w:drawing>
      </w:r>
    </w:p>
    <w:p w14:paraId="3BE8EA6B">
      <w:pPr>
        <w:pStyle w:val="15"/>
        <w:spacing w:before="120" w:after="120" w:line="360" w:lineRule="auto"/>
        <w:ind w:firstLine="0"/>
        <w:jc w:val="center"/>
      </w:pPr>
      <w:r>
        <w:rPr>
          <w:rFonts w:ascii="Times New Roman" w:hAnsi="Times New Roman" w:eastAsia="宋体" w:cs="Times New Roman"/>
          <w:sz w:val="21"/>
          <w:szCs w:val="21"/>
        </w:rPr>
        <w:t>图5.4　产气趋势页面</w:t>
      </w:r>
    </w:p>
    <w:p w14:paraId="782564AE">
      <w:pPr>
        <w:pStyle w:val="6"/>
        <w:spacing w:before="120" w:after="120" w:line="360" w:lineRule="auto"/>
        <w:ind w:firstLine="0"/>
        <w:jc w:val="left"/>
      </w:pPr>
      <w:bookmarkStart w:id="156" w:name="_Toc1471136146"/>
      <w:bookmarkEnd w:id="156"/>
      <w:bookmarkStart w:id="157" w:name="_Toc496834783"/>
      <w:bookmarkEnd w:id="157"/>
      <w:r>
        <w:rPr>
          <w:rFonts w:hint="eastAsia" w:ascii="Times New Roman" w:hAnsi="Times New Roman" w:eastAsia="黑体" w:cs="Times New Roman"/>
          <w:kern w:val="2"/>
          <w:sz w:val="24"/>
          <w:szCs w:val="18"/>
          <w:lang w:val="en-US" w:eastAsia="zh-CN" w:bidi="ar-SA"/>
        </w:rPr>
        <w:t>5.4.5 决策列表页面</w:t>
      </w:r>
    </w:p>
    <w:p w14:paraId="27EED310">
      <w:pPr>
        <w:pStyle w:val="3"/>
        <w:spacing w:before="0" w:after="0" w:line="360" w:lineRule="auto"/>
        <w:ind w:firstLine="420"/>
        <w:jc w:val="both"/>
      </w:pPr>
      <w:r>
        <w:rPr>
          <w:rFonts w:ascii="Times New Roman" w:hAnsi="Times New Roman" w:eastAsia="宋体" w:cs="Times New Roman"/>
          <w:sz w:val="24"/>
          <w:szCs w:val="24"/>
        </w:rPr>
        <w:t>决策列表页按日汇总监测决策，可按检测周期、二次采样、有无试验建议等条件筛选，也可检索并查看单日决策内容；规则与智能体分析第6步相同。界面如图5.5所示。</w:t>
      </w:r>
    </w:p>
    <w:p w14:paraId="3ECA2AED">
      <w:pPr>
        <w:spacing w:before="120" w:after="60"/>
        <w:ind w:firstLine="0"/>
        <w:jc w:val="center"/>
      </w:pPr>
      <w:r>
        <w:rPr>
          <w:rFonts w:ascii="Times New Roman" w:hAnsi="Times New Roman" w:eastAsia="宋体" w:cs="Times New Roman"/>
          <w:b w:val="0"/>
          <w:sz w:val="24"/>
          <w:szCs w:val="24"/>
        </w:rPr>
        <w:drawing>
          <wp:inline distT="0" distB="0" distL="114300" distR="114300">
            <wp:extent cx="4859655" cy="2625725"/>
            <wp:effectExtent l="0" t="0" r="17145" b="15875"/>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pic:cNvPicPr>
                  </pic:nvPicPr>
                  <pic:blipFill>
                    <a:blip r:embed="rId35"/>
                    <a:stretch>
                      <a:fillRect/>
                    </a:stretch>
                  </pic:blipFill>
                  <pic:spPr>
                    <a:xfrm>
                      <a:off x="0" y="0"/>
                      <a:ext cx="4860000" cy="2625725"/>
                    </a:xfrm>
                    <a:prstGeom prst="rect">
                      <a:avLst/>
                    </a:prstGeom>
                  </pic:spPr>
                </pic:pic>
              </a:graphicData>
            </a:graphic>
          </wp:inline>
        </w:drawing>
      </w:r>
    </w:p>
    <w:p w14:paraId="1D528E09">
      <w:pPr>
        <w:pStyle w:val="15"/>
        <w:spacing w:before="120" w:after="120" w:line="360" w:lineRule="auto"/>
        <w:ind w:firstLine="0"/>
        <w:jc w:val="center"/>
      </w:pPr>
      <w:r>
        <w:rPr>
          <w:rFonts w:ascii="Times New Roman" w:hAnsi="Times New Roman" w:eastAsia="宋体" w:cs="Times New Roman"/>
          <w:sz w:val="21"/>
          <w:szCs w:val="21"/>
        </w:rPr>
        <w:t>图5.5　决策列表页面</w:t>
      </w:r>
    </w:p>
    <w:p w14:paraId="379BBDD2">
      <w:pPr>
        <w:pStyle w:val="6"/>
        <w:spacing w:before="120" w:after="120" w:line="360" w:lineRule="auto"/>
        <w:ind w:firstLine="0"/>
        <w:jc w:val="left"/>
      </w:pPr>
      <w:bookmarkStart w:id="158" w:name="_Toc1405977911"/>
      <w:bookmarkEnd w:id="158"/>
      <w:bookmarkStart w:id="159" w:name="_Toc885778345"/>
      <w:bookmarkEnd w:id="159"/>
      <w:r>
        <w:rPr>
          <w:rFonts w:hint="eastAsia" w:ascii="Times New Roman" w:hAnsi="Times New Roman" w:eastAsia="黑体" w:cs="Times New Roman"/>
          <w:kern w:val="2"/>
          <w:sz w:val="24"/>
          <w:szCs w:val="18"/>
          <w:lang w:val="en-US" w:eastAsia="zh-CN" w:bidi="ar-SA"/>
        </w:rPr>
        <w:t>5.4.6 故障判型页面</w:t>
      </w:r>
    </w:p>
    <w:p w14:paraId="231366DB">
      <w:pPr>
        <w:pStyle w:val="3"/>
        <w:spacing w:before="0" w:after="0" w:line="360" w:lineRule="auto"/>
        <w:ind w:firstLine="420"/>
        <w:jc w:val="both"/>
      </w:pPr>
      <w:r>
        <w:rPr>
          <w:rFonts w:ascii="Times New Roman" w:hAnsi="Times New Roman" w:eastAsia="宋体" w:cs="Times New Roman"/>
          <w:sz w:val="24"/>
          <w:szCs w:val="24"/>
        </w:rPr>
        <w:t>故障判型页以日历筛选形式选定监测日；达到判型门槛时可对照三比值法、大卫三角形法和特征气体法的结果，以及交叉后的主结论与可信度，未达到则提示不做判型。试验建议的完整清单在智能体分析页查看。界面如图5.6所示。</w:t>
      </w:r>
    </w:p>
    <w:p w14:paraId="18BEDC5E">
      <w:pPr>
        <w:spacing w:before="120" w:after="60"/>
        <w:ind w:firstLine="0"/>
        <w:jc w:val="center"/>
      </w:pPr>
      <w:r>
        <w:rPr>
          <w:rFonts w:ascii="Times New Roman" w:hAnsi="Times New Roman" w:eastAsia="宋体" w:cs="Times New Roman"/>
          <w:b w:val="0"/>
          <w:sz w:val="24"/>
          <w:szCs w:val="24"/>
        </w:rPr>
        <w:drawing>
          <wp:inline distT="0" distB="0" distL="114300" distR="114300">
            <wp:extent cx="4859655" cy="4636770"/>
            <wp:effectExtent l="0" t="0" r="17145" b="1143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pic:cNvPicPr>
                  </pic:nvPicPr>
                  <pic:blipFill>
                    <a:blip r:embed="rId36"/>
                    <a:stretch>
                      <a:fillRect/>
                    </a:stretch>
                  </pic:blipFill>
                  <pic:spPr>
                    <a:xfrm>
                      <a:off x="0" y="0"/>
                      <a:ext cx="4860000" cy="4636770"/>
                    </a:xfrm>
                    <a:prstGeom prst="rect">
                      <a:avLst/>
                    </a:prstGeom>
                  </pic:spPr>
                </pic:pic>
              </a:graphicData>
            </a:graphic>
          </wp:inline>
        </w:drawing>
      </w:r>
    </w:p>
    <w:p w14:paraId="2D8F699D">
      <w:pPr>
        <w:pStyle w:val="15"/>
        <w:spacing w:before="120" w:after="120" w:line="360" w:lineRule="auto"/>
        <w:ind w:firstLine="0"/>
        <w:jc w:val="center"/>
      </w:pPr>
      <w:r>
        <w:rPr>
          <w:rFonts w:ascii="Times New Roman" w:hAnsi="Times New Roman" w:eastAsia="宋体" w:cs="Times New Roman"/>
          <w:sz w:val="21"/>
          <w:szCs w:val="21"/>
        </w:rPr>
        <w:t>图5.6　故障判型页面</w:t>
      </w:r>
    </w:p>
    <w:p w14:paraId="28EE839F">
      <w:pPr>
        <w:pStyle w:val="6"/>
        <w:spacing w:before="120" w:after="120" w:line="360" w:lineRule="auto"/>
        <w:ind w:firstLine="0"/>
        <w:jc w:val="left"/>
      </w:pPr>
      <w:bookmarkStart w:id="160" w:name="_Toc920003411"/>
      <w:bookmarkEnd w:id="160"/>
      <w:bookmarkStart w:id="161" w:name="_Toc1508182236"/>
      <w:bookmarkEnd w:id="161"/>
      <w:r>
        <w:rPr>
          <w:rFonts w:hint="eastAsia" w:ascii="Times New Roman" w:hAnsi="Times New Roman" w:eastAsia="黑体" w:cs="Times New Roman"/>
          <w:kern w:val="2"/>
          <w:sz w:val="24"/>
          <w:szCs w:val="18"/>
          <w:lang w:val="en-US" w:eastAsia="zh-CN" w:bidi="ar-SA"/>
        </w:rPr>
        <w:t>5.4.7 智能体分析页面</w:t>
      </w:r>
    </w:p>
    <w:p w14:paraId="1D2F3B03">
      <w:pPr>
        <w:pStyle w:val="3"/>
        <w:spacing w:before="0" w:after="0" w:line="360" w:lineRule="auto"/>
        <w:ind w:firstLine="420"/>
        <w:jc w:val="both"/>
      </w:pPr>
      <w:r>
        <w:rPr>
          <w:rFonts w:ascii="Times New Roman" w:hAnsi="Times New Roman" w:eastAsia="宋体" w:cs="Times New Roman"/>
          <w:b w:val="0"/>
          <w:sz w:val="24"/>
          <w:szCs w:val="24"/>
        </w:rPr>
        <w:t>智能体分析页按固定七步做完一次分析，可查看七步进度与运行日志，并预览监测决策与分析报告；运行日志带标准角标。主界面如图5.7所示。</w:t>
      </w:r>
    </w:p>
    <w:p w14:paraId="260F9619">
      <w:pPr>
        <w:spacing w:before="120" w:after="60"/>
        <w:ind w:firstLine="0"/>
        <w:jc w:val="center"/>
      </w:pPr>
      <w:r>
        <w:rPr>
          <w:rFonts w:ascii="Times New Roman" w:hAnsi="Times New Roman" w:eastAsia="宋体" w:cs="Times New Roman"/>
          <w:b w:val="0"/>
          <w:sz w:val="24"/>
          <w:szCs w:val="24"/>
        </w:rPr>
        <w:drawing>
          <wp:inline distT="0" distB="0" distL="114300" distR="114300">
            <wp:extent cx="4859655" cy="4049395"/>
            <wp:effectExtent l="0" t="0" r="17145" b="14605"/>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37"/>
                    <a:stretch>
                      <a:fillRect/>
                    </a:stretch>
                  </pic:blipFill>
                  <pic:spPr>
                    <a:xfrm>
                      <a:off x="0" y="0"/>
                      <a:ext cx="4860000" cy="4050000"/>
                    </a:xfrm>
                    <a:prstGeom prst="rect">
                      <a:avLst/>
                    </a:prstGeom>
                  </pic:spPr>
                </pic:pic>
              </a:graphicData>
            </a:graphic>
          </wp:inline>
        </w:drawing>
      </w:r>
    </w:p>
    <w:p w14:paraId="58D8F9AE">
      <w:pPr>
        <w:pStyle w:val="15"/>
        <w:spacing w:before="120" w:after="120" w:line="360" w:lineRule="auto"/>
        <w:ind w:firstLine="0"/>
        <w:jc w:val="center"/>
      </w:pPr>
      <w:r>
        <w:rPr>
          <w:rFonts w:ascii="Times New Roman" w:hAnsi="Times New Roman" w:eastAsia="宋体" w:cs="Times New Roman"/>
          <w:sz w:val="21"/>
          <w:szCs w:val="21"/>
        </w:rPr>
        <w:t>图5.7　智能体分析页面</w:t>
      </w:r>
    </w:p>
    <w:p w14:paraId="4F16E2FE">
      <w:pPr>
        <w:pStyle w:val="3"/>
        <w:spacing w:before="120" w:after="60"/>
        <w:ind w:firstLine="0"/>
        <w:jc w:val="center"/>
      </w:pPr>
      <w:r>
        <w:rPr>
          <w:rFonts w:ascii="Times New Roman" w:hAnsi="Times New Roman" w:eastAsia="宋体" w:cs="Times New Roman"/>
          <w:sz w:val="24"/>
          <w:szCs w:val="24"/>
        </w:rPr>
        <w:t>分析助手嵌在智能体分析页里：先用规则判断用户想问什么，大模型只润色文字。可以指定某天做分析、追问最近一次结果，也可问四档分级、产气速率、三比值等常见标准问题。助手和主界面用的是同一次七步结果。分析助手界面如图5.8所示。</w:t>
      </w:r>
    </w:p>
    <w:p w14:paraId="78449ED7">
      <w:pPr>
        <w:jc w:val="center"/>
      </w:pPr>
      <w:r>
        <w:drawing>
          <wp:inline distT="0" distB="0" distL="114300" distR="114300">
            <wp:extent cx="4859655" cy="40493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8"/>
                    <a:stretch>
                      <a:fillRect/>
                    </a:stretch>
                  </pic:blipFill>
                  <pic:spPr>
                    <a:xfrm>
                      <a:off x="0" y="0"/>
                      <a:ext cx="4860000" cy="4050000"/>
                    </a:xfrm>
                    <a:prstGeom prst="rect">
                      <a:avLst/>
                    </a:prstGeom>
                  </pic:spPr>
                </pic:pic>
              </a:graphicData>
            </a:graphic>
          </wp:inline>
        </w:drawing>
      </w:r>
    </w:p>
    <w:p w14:paraId="3A3029CD">
      <w:pPr>
        <w:pStyle w:val="15"/>
        <w:spacing w:before="120" w:after="120" w:line="360" w:lineRule="auto"/>
        <w:ind w:firstLine="0"/>
        <w:jc w:val="center"/>
      </w:pPr>
      <w:r>
        <w:rPr>
          <w:rFonts w:ascii="Times New Roman" w:hAnsi="Times New Roman" w:eastAsia="宋体" w:cs="Times New Roman"/>
          <w:sz w:val="21"/>
          <w:szCs w:val="21"/>
        </w:rPr>
        <w:t>图5.8　分析助手</w:t>
      </w:r>
    </w:p>
    <w:p w14:paraId="7AF7524A">
      <w:pPr>
        <w:pStyle w:val="6"/>
        <w:spacing w:before="120" w:after="120" w:line="360" w:lineRule="auto"/>
        <w:ind w:firstLine="0"/>
        <w:jc w:val="left"/>
      </w:pPr>
      <w:bookmarkStart w:id="162" w:name="_Toc1269354911"/>
      <w:bookmarkEnd w:id="162"/>
      <w:bookmarkStart w:id="163" w:name="_Toc615070277"/>
      <w:bookmarkEnd w:id="163"/>
      <w:r>
        <w:rPr>
          <w:rFonts w:hint="eastAsia" w:ascii="Times New Roman" w:hAnsi="Times New Roman" w:eastAsia="黑体" w:cs="Times New Roman"/>
          <w:kern w:val="2"/>
          <w:sz w:val="24"/>
          <w:szCs w:val="18"/>
          <w:lang w:val="en-US" w:eastAsia="zh-CN" w:bidi="ar-SA"/>
        </w:rPr>
        <w:t>5.4.8 分析报告与导出</w:t>
      </w:r>
    </w:p>
    <w:p w14:paraId="53DDB060">
      <w:pPr>
        <w:pStyle w:val="3"/>
        <w:spacing w:before="0" w:after="0" w:line="360" w:lineRule="auto"/>
        <w:ind w:firstLine="420"/>
        <w:jc w:val="both"/>
      </w:pPr>
      <w:r>
        <w:rPr>
          <w:rFonts w:ascii="Times New Roman" w:hAnsi="Times New Roman" w:eastAsia="宋体" w:cs="Times New Roman"/>
          <w:sz w:val="24"/>
          <w:szCs w:val="24"/>
        </w:rPr>
        <w:t>系统生成分析报告后，可在智能体分析页预览并下载PDF；导出直接用已有结果，不再重跑工作流。报告按第4章分析报告版式组织，字段与规则判定一致。报告样例如图5.9所示，带下载入口的界面如图5.10所示。</w:t>
      </w:r>
    </w:p>
    <w:p w14:paraId="764B896A">
      <w:pPr>
        <w:jc w:val="center"/>
      </w:pPr>
      <w:r>
        <w:drawing>
          <wp:inline distT="0" distB="0" distL="114300" distR="114300">
            <wp:extent cx="4859655" cy="5713143"/>
            <wp:effectExtent l="0" t="0" r="17145"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9"/>
                    <a:stretch>
                      <a:fillRect/>
                    </a:stretch>
                  </pic:blipFill>
                  <pic:spPr>
                    <a:xfrm>
                      <a:off x="0" y="0"/>
                      <a:ext cx="4860000" cy="5713548"/>
                    </a:xfrm>
                    <a:prstGeom prst="rect">
                      <a:avLst/>
                    </a:prstGeom>
                  </pic:spPr>
                </pic:pic>
              </a:graphicData>
            </a:graphic>
          </wp:inline>
        </w:drawing>
      </w:r>
    </w:p>
    <w:p w14:paraId="7169CA45">
      <w:pPr>
        <w:pStyle w:val="15"/>
        <w:spacing w:before="120" w:after="120" w:line="360" w:lineRule="auto"/>
        <w:ind w:firstLine="0"/>
        <w:jc w:val="center"/>
      </w:pPr>
      <w:r>
        <w:rPr>
          <w:rFonts w:ascii="Times New Roman" w:hAnsi="Times New Roman" w:eastAsia="宋体" w:cs="Times New Roman"/>
          <w:b w:val="0"/>
          <w:sz w:val="21"/>
          <w:szCs w:val="21"/>
        </w:rPr>
        <w:t>图5.9　分析报告样例</w:t>
      </w:r>
    </w:p>
    <w:p w14:paraId="5A21DD2F">
      <w:pPr>
        <w:spacing w:before="120" w:after="60"/>
        <w:ind w:firstLine="0"/>
        <w:jc w:val="center"/>
      </w:pPr>
      <w:bookmarkStart w:id="234" w:name="_GoBack"/>
      <w:r>
        <w:rPr>
          <w:rFonts w:ascii="Times New Roman" w:hAnsi="Times New Roman" w:eastAsia="宋体" w:cs="Times New Roman"/>
          <w:b w:val="0"/>
          <w:sz w:val="24"/>
          <w:szCs w:val="24"/>
        </w:rPr>
        <w:drawing>
          <wp:inline distT="0" distB="0" distL="114300" distR="114300">
            <wp:extent cx="3971925" cy="3714750"/>
            <wp:effectExtent l="0" t="0" r="15875" b="1905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5"/>
                    <pic:cNvPicPr>
                      <a:picLocks noChangeAspect="1"/>
                    </pic:cNvPicPr>
                  </pic:nvPicPr>
                  <pic:blipFill>
                    <a:blip r:embed="rId40"/>
                    <a:stretch>
                      <a:fillRect/>
                    </a:stretch>
                  </pic:blipFill>
                  <pic:spPr>
                    <a:xfrm>
                      <a:off x="0" y="0"/>
                      <a:ext cx="3972198" cy="3714750"/>
                    </a:xfrm>
                    <a:prstGeom prst="rect">
                      <a:avLst/>
                    </a:prstGeom>
                  </pic:spPr>
                </pic:pic>
              </a:graphicData>
            </a:graphic>
          </wp:inline>
        </w:drawing>
      </w:r>
      <w:bookmarkEnd w:id="234"/>
    </w:p>
    <w:p w14:paraId="684C6F45">
      <w:pPr>
        <w:pStyle w:val="15"/>
        <w:spacing w:before="120" w:after="120" w:line="360" w:lineRule="auto"/>
        <w:ind w:firstLine="0"/>
        <w:jc w:val="center"/>
      </w:pPr>
      <w:r>
        <w:rPr>
          <w:rFonts w:ascii="Times New Roman" w:hAnsi="Times New Roman" w:eastAsia="宋体" w:cs="Times New Roman"/>
          <w:sz w:val="21"/>
          <w:szCs w:val="21"/>
        </w:rPr>
        <w:t>图5.10　智能体分析完整报告与导出</w:t>
      </w:r>
    </w:p>
    <w:p w14:paraId="0759BE6B">
      <w:pPr>
        <w:pStyle w:val="6"/>
        <w:spacing w:before="120" w:after="120" w:line="360" w:lineRule="auto"/>
        <w:ind w:firstLine="0"/>
        <w:jc w:val="left"/>
      </w:pPr>
      <w:bookmarkStart w:id="164" w:name="_Toc1647352528"/>
      <w:bookmarkEnd w:id="164"/>
      <w:bookmarkStart w:id="165" w:name="_Toc945439879"/>
      <w:bookmarkEnd w:id="165"/>
      <w:r>
        <w:rPr>
          <w:rFonts w:hint="eastAsia" w:ascii="Times New Roman" w:hAnsi="Times New Roman" w:eastAsia="黑体" w:cs="Times New Roman"/>
          <w:kern w:val="2"/>
          <w:sz w:val="24"/>
          <w:szCs w:val="18"/>
          <w:lang w:val="en-US" w:eastAsia="zh-CN" w:bidi="ar-SA"/>
        </w:rPr>
        <w:t>5.4.9 判据知识库页面</w:t>
      </w:r>
    </w:p>
    <w:p w14:paraId="24E145DE">
      <w:pPr>
        <w:pStyle w:val="3"/>
        <w:spacing w:before="0" w:after="0" w:line="360" w:lineRule="auto"/>
        <w:ind w:firstLine="420"/>
        <w:jc w:val="both"/>
      </w:pPr>
      <w:r>
        <w:rPr>
          <w:rFonts w:ascii="Times New Roman" w:hAnsi="Times New Roman" w:eastAsia="宋体" w:cs="Times New Roman"/>
          <w:b w:val="0"/>
          <w:sz w:val="24"/>
          <w:szCs w:val="24"/>
        </w:rPr>
        <w:t>判据知识库页列出结构化判据条目，可按模块筛选，打开后查看阈值、说明和条文出处；条目编号与Agent运行日志角标对应，可从角标跳入。界面如图5.11所示。</w:t>
      </w:r>
    </w:p>
    <w:p w14:paraId="2EDD80FC">
      <w:pPr>
        <w:spacing w:before="120" w:after="60"/>
        <w:ind w:firstLine="0"/>
        <w:jc w:val="center"/>
      </w:pPr>
      <w:r>
        <w:rPr>
          <w:rFonts w:ascii="Times New Roman" w:hAnsi="Times New Roman" w:eastAsia="宋体" w:cs="Times New Roman"/>
          <w:b w:val="0"/>
          <w:sz w:val="24"/>
          <w:szCs w:val="24"/>
        </w:rPr>
        <w:drawing>
          <wp:inline distT="0" distB="0" distL="114300" distR="114300">
            <wp:extent cx="4859655" cy="3712210"/>
            <wp:effectExtent l="0" t="0" r="17145" b="21590"/>
            <wp:docPr id="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6"/>
                    <pic:cNvPicPr>
                      <a:picLocks noChangeAspect="1"/>
                    </pic:cNvPicPr>
                  </pic:nvPicPr>
                  <pic:blipFill>
                    <a:blip r:embed="rId41"/>
                    <a:stretch>
                      <a:fillRect/>
                    </a:stretch>
                  </pic:blipFill>
                  <pic:spPr>
                    <a:xfrm>
                      <a:off x="0" y="0"/>
                      <a:ext cx="4860000" cy="3712500"/>
                    </a:xfrm>
                    <a:prstGeom prst="rect">
                      <a:avLst/>
                    </a:prstGeom>
                  </pic:spPr>
                </pic:pic>
              </a:graphicData>
            </a:graphic>
          </wp:inline>
        </w:drawing>
      </w:r>
    </w:p>
    <w:p w14:paraId="7C16D2D5">
      <w:pPr>
        <w:pStyle w:val="15"/>
        <w:spacing w:before="120" w:after="120" w:line="360" w:lineRule="auto"/>
        <w:ind w:firstLine="0"/>
        <w:jc w:val="center"/>
      </w:pPr>
      <w:r>
        <w:rPr>
          <w:rFonts w:ascii="Times New Roman" w:hAnsi="Times New Roman" w:eastAsia="宋体" w:cs="Times New Roman"/>
          <w:sz w:val="21"/>
          <w:szCs w:val="21"/>
        </w:rPr>
        <w:t>图5.11　判据知识库页面</w:t>
      </w:r>
    </w:p>
    <w:p w14:paraId="0A739A42">
      <w:pPr>
        <w:pStyle w:val="4"/>
        <w:spacing w:before="156" w:beforeLines="50" w:after="156" w:afterLines="50" w:line="360" w:lineRule="auto"/>
        <w:ind w:left="0"/>
        <w:jc w:val="both"/>
        <w:rPr>
          <w:rFonts w:hint="eastAsia" w:eastAsia="黑体"/>
          <w:b w:val="0"/>
          <w:bCs/>
          <w:sz w:val="24"/>
          <w:szCs w:val="18"/>
        </w:rPr>
      </w:pPr>
      <w:bookmarkStart w:id="166" w:name="_Toc1694760972"/>
      <w:bookmarkStart w:id="167" w:name="_Toc776542200"/>
      <w:r>
        <w:rPr>
          <w:rFonts w:hint="eastAsia" w:eastAsia="黑体"/>
          <w:b w:val="0"/>
          <w:bCs/>
          <w:sz w:val="24"/>
          <w:szCs w:val="18"/>
        </w:rPr>
        <w:t>5.5 系统验证与演示分析</w:t>
      </w:r>
      <w:bookmarkEnd w:id="166"/>
      <w:bookmarkEnd w:id="167"/>
    </w:p>
    <w:p w14:paraId="37FEDD85">
      <w:pPr>
        <w:pStyle w:val="6"/>
        <w:spacing w:before="120" w:after="120" w:line="360" w:lineRule="auto"/>
        <w:ind w:firstLine="0"/>
        <w:jc w:val="left"/>
      </w:pPr>
      <w:bookmarkStart w:id="168" w:name="_Toc1772046243"/>
      <w:bookmarkStart w:id="169" w:name="_Toc1086632581"/>
      <w:r>
        <w:rPr>
          <w:rFonts w:ascii="Times New Roman" w:hAnsi="Times New Roman" w:eastAsia="黑体" w:cs="Times New Roman"/>
          <w:sz w:val="24"/>
          <w:szCs w:val="24"/>
        </w:rPr>
        <w:t>5.5.1 端到端流程验证</w:t>
      </w:r>
      <w:bookmarkEnd w:id="168"/>
      <w:bookmarkEnd w:id="169"/>
    </w:p>
    <w:p w14:paraId="29E8E0D0">
      <w:pPr>
        <w:pStyle w:val="3"/>
        <w:spacing w:before="0" w:after="0" w:line="360" w:lineRule="auto"/>
        <w:ind w:firstLine="420"/>
        <w:jc w:val="both"/>
      </w:pPr>
      <w:r>
        <w:rPr>
          <w:rFonts w:hint="eastAsia" w:ascii="黑体" w:eastAsia="黑体"/>
          <w:b w:val="0"/>
          <w:sz w:val="24"/>
        </w:rPr>
        <w:t>导入合成演示时序和设备基本信息后，任选一天跑智能体分析，七步能跑通，报告也能生成。再用第2.8.4节、第2.8.5节与第3.9.4节的验证案例做核对：分别看检测分级、处置紧急度与故障性质大类，结果与前面章节一致。</w:t>
      </w:r>
    </w:p>
    <w:p w14:paraId="4EFFE5E8">
      <w:pPr>
        <w:pStyle w:val="6"/>
        <w:spacing w:before="120" w:after="120" w:line="360" w:lineRule="auto"/>
        <w:ind w:firstLine="0"/>
        <w:jc w:val="left"/>
      </w:pPr>
      <w:bookmarkStart w:id="170" w:name="_Toc832854779"/>
      <w:bookmarkStart w:id="171" w:name="_Toc1477989505"/>
      <w:r>
        <w:rPr>
          <w:rFonts w:ascii="Times New Roman" w:hAnsi="Times New Roman" w:eastAsia="黑体" w:cs="Times New Roman"/>
          <w:sz w:val="24"/>
          <w:szCs w:val="24"/>
        </w:rPr>
        <w:t>5.5.2 典型场景演示与结果分析</w:t>
      </w:r>
      <w:bookmarkEnd w:id="170"/>
      <w:bookmarkEnd w:id="171"/>
    </w:p>
    <w:p w14:paraId="72D6F491">
      <w:pPr>
        <w:pStyle w:val="3"/>
        <w:spacing w:before="0" w:after="0" w:line="360" w:lineRule="auto"/>
        <w:ind w:firstLine="420"/>
        <w:jc w:val="both"/>
      </w:pPr>
      <w:r>
        <w:rPr>
          <w:rFonts w:hint="eastAsia" w:ascii="黑体" w:eastAsia="黑体"/>
          <w:b w:val="0"/>
          <w:sz w:val="24"/>
        </w:rPr>
        <w:t>典型演示走三条路径。一是，在智能体分析页选监测日跑七步，再打开分析助手追问分级条件、涨势预警或试验建议，对照主界面日志。二是，直接在分析助手里请求分析某天，主界面跟着更新；以2024-08-09为例，两个入口给出的分级、紧急度和判型相同。三是，从检测分级页或告警列表页进到智能体分析，并导出PDF。三条路径合起来看，第2至第4章的方法已经落到界面上，各入口结论一致。</w:t>
      </w:r>
    </w:p>
    <w:p w14:paraId="0A02ED42">
      <w:pPr>
        <w:pStyle w:val="4"/>
        <w:spacing w:before="156" w:beforeLines="50" w:after="156" w:afterLines="50" w:line="360" w:lineRule="auto"/>
        <w:ind w:left="0"/>
        <w:jc w:val="both"/>
        <w:rPr>
          <w:rFonts w:hint="eastAsia" w:eastAsia="黑体"/>
          <w:b w:val="0"/>
          <w:bCs/>
          <w:sz w:val="24"/>
          <w:szCs w:val="18"/>
        </w:rPr>
      </w:pPr>
      <w:bookmarkStart w:id="172" w:name="_Toc626265686"/>
      <w:bookmarkStart w:id="173" w:name="_Toc491859507"/>
      <w:r>
        <w:rPr>
          <w:rFonts w:hint="eastAsia" w:eastAsia="黑体"/>
          <w:b w:val="0"/>
          <w:bCs/>
          <w:sz w:val="24"/>
          <w:szCs w:val="18"/>
        </w:rPr>
        <w:t>5.6 本章小结</w:t>
      </w:r>
      <w:bookmarkEnd w:id="172"/>
      <w:bookmarkEnd w:id="173"/>
    </w:p>
    <w:p w14:paraId="50E65BD2">
      <w:pPr>
        <w:pStyle w:val="3"/>
        <w:spacing w:before="0" w:after="0" w:line="360" w:lineRule="auto"/>
        <w:ind w:firstLine="420"/>
        <w:jc w:val="both"/>
      </w:pPr>
      <w:r>
        <w:rPr>
          <w:rFonts w:hint="eastAsia" w:ascii="黑体" w:eastAsia="黑体"/>
          <w:b w:val="0"/>
          <w:sz w:val="24"/>
        </w:rPr>
        <w:t>本章把第2至第4章的方法实现为原型系统。系统前后端分离，按五层划分，设置检测分级与告警、故障判型、智能体三大模块：前两者负责第2、第3章规则计算，智能体负责七步工作流编排。数据存储层保存气体浓度时序和设备基本信息，结论按规则即时计算，并在数据集、检测分级、告警列表、产气趋势、决策列表、故障判型、智能体分析（含助手和报告导出）以及判据知识库等界面中展示。端到端演示和行业标准案例核对表明，系统可正常运行，结果也与第2、第3章规则一致。</w:t>
      </w:r>
    </w:p>
    <w:p w14:paraId="15ECACEF">
      <w:r>
        <w:rPr>
          <w:rFonts w:ascii="Times New Roman" w:hAnsi="Times New Roman" w:eastAsia="宋体" w:cs="Times New Roman"/>
          <w:b w:val="0"/>
          <w:sz w:val="24"/>
          <w:szCs w:val="24"/>
        </w:rPr>
        <w:br w:type="page"/>
      </w:r>
    </w:p>
    <w:p w14:paraId="5D6D1A4F">
      <w:pPr>
        <w:pStyle w:val="2"/>
        <w:bidi w:val="0"/>
        <w:rPr>
          <w:lang w:val="en-US" w:eastAsia="zh-CN"/>
        </w:rPr>
      </w:pPr>
      <w:bookmarkStart w:id="174" w:name="_TocConclusion"/>
      <w:r>
        <w:rPr>
          <w:lang w:val="en-US" w:eastAsia="zh-CN"/>
        </w:rPr>
        <w:t>结论与展望</w:t>
      </w:r>
      <w:bookmarkEnd w:id="174"/>
    </w:p>
    <w:p w14:paraId="61E54A55">
      <w:pPr>
        <w:pStyle w:val="3"/>
        <w:spacing w:before="0" w:after="0" w:line="360" w:lineRule="auto"/>
        <w:ind w:firstLine="420"/>
        <w:jc w:val="both"/>
      </w:pPr>
      <w:r>
        <w:rPr>
          <w:rFonts w:ascii="Times New Roman" w:hAnsi="Times New Roman" w:eastAsia="宋体" w:cs="Times New Roman"/>
          <w:sz w:val="24"/>
          <w:szCs w:val="24"/>
        </w:rPr>
        <w:t xml:space="preserve">油中溶解气体分析的标准分散，评价规则容易混用，故障判型门槛也不够清楚，人工分析流程不规范，分析结果也不易汇总成规范报告。本文以220kV及以下油浸式变压器为对象，围绕状态分析、故障研判、流程编排与系统实现开展了研究。</w:t>
      </w:r>
    </w:p>
    <w:p w14:paraId="07F02743">
      <w:pPr>
        <w:pStyle w:val="3"/>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 xml:space="preserve">第一，针对两类相对速率口径容易混淆、边界不清的问题，本文分别依据DL/T 1498.2—2025表A.3和DL/T 722—2014建立了相互独立的状态评价方式。前者用于设备检测分级，后者用于处置紧急度判断与涨势预警。标准案例验证结果表明，本文方法与DL/T 1685—2017附录D真实色谱样本的检测分级、处置紧急度评价结果完全吻合。</w:t>
      </w:r>
    </w:p>
    <w:p w14:paraId="36190AD7">
      <w:pPr>
        <w:pStyle w:val="3"/>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 xml:space="preserve">第二，针对故障判型启动条件不清、单一诊断方法结果不稳定的问题，本文建立了多条件触发、多规则协同的故障研判机制。当检测分级达到注意值2或告警、或相对产气速率超过注意值时，系统启动故障判型流程，并行采用特征气体法、三比值法与大卫三角形法进行交叉研判，给出故障结论与进一步试验建议。基于DL/T 722—2014附录E的17组故障样本测试结果表明，本文方法对变压器故障大类性质的判别准确率可达88.2%。</w:t>
      </w:r>
    </w:p>
    <w:p w14:paraId="5DC19217">
      <w:pPr>
        <w:pStyle w:val="3"/>
        <w:keepNext w:val="0"/>
        <w:keepLines w:val="0"/>
        <w:pageBreakBefore w:val="0"/>
        <w:widowControl w:val="0"/>
        <w:numPr>
          <w:ilvl w:val="0"/>
          <w:numId w:val="14"/>
        </w:numPr>
        <w:kinsoku/>
        <w:wordWrap/>
        <w:overflowPunct/>
        <w:topLinePunct w:val="0"/>
        <w:autoSpaceDE/>
        <w:autoSpaceDN/>
        <w:bidi w:val="0"/>
        <w:adjustRightInd/>
        <w:snapToGrid/>
        <w:spacing w:before="0" w:after="0" w:line="360" w:lineRule="auto"/>
        <w:ind w:left="0" w:leftChars="0" w:firstLine="425" w:firstLineChars="0"/>
        <w:jc w:val="both"/>
        <w:textAlignment w:val="auto"/>
      </w:pPr>
      <w:r>
        <w:rPr>
          <w:rFonts w:ascii="Times New Roman" w:hAnsi="Times New Roman" w:eastAsia="宋体" w:cs="Times New Roman"/>
          <w:sz w:val="24"/>
          <w:szCs w:val="24"/>
        </w:rPr>
        <w:t xml:space="preserve">第三，针对人工分析流程不规范、分析结果不易汇总成规范报告的问题，本文设计了固定七步智能工作流，把色谱数据分析、状态分析、监测决策与报告生成串成一次完整流程。系统核心判定严格依据行业标准执行，大模型只负责润色报告文字，不改写规则判定结果。这样可以使分析过程更容易核对，输出口径也更统一。</w:t>
      </w:r>
    </w:p>
    <w:p w14:paraId="17265E37">
      <w:pPr>
        <w:pStyle w:val="3"/>
        <w:spacing w:before="0" w:after="0" w:line="360" w:lineRule="auto"/>
        <w:ind w:firstLine="420"/>
        <w:jc w:val="both"/>
        <w:rPr>
          <w:rFonts w:ascii="Times New Roman" w:hAnsi="Times New Roman" w:eastAsia="宋体" w:cs="Times New Roman"/>
          <w:sz w:val="24"/>
          <w:szCs w:val="24"/>
        </w:rPr>
      </w:pPr>
      <w:r>
        <w:rPr>
          <w:rFonts w:ascii="Times New Roman" w:hAnsi="Times New Roman" w:eastAsia="宋体" w:cs="Times New Roman"/>
          <w:sz w:val="24"/>
          <w:szCs w:val="24"/>
        </w:rPr>
        <w:t xml:space="preserve">第四，依托上述分析方法与智能工作流，本文完成了油中溶解气体分析智能体系统的开发与功能验证。系统实现了流程编排、监测决策、报告生成、PDF导出及分析助手等功能，形成了从规则判定到结果输出的一套实现方案。</w:t>
      </w:r>
    </w:p>
    <w:p w14:paraId="35362F83">
      <w:pPr>
        <w:pStyle w:val="3"/>
        <w:spacing w:before="0" w:after="0" w:line="360" w:lineRule="auto"/>
        <w:ind w:firstLine="420"/>
        <w:jc w:val="both"/>
        <w:rPr>
          <w:rFonts w:ascii="Times New Roman" w:hAnsi="Times New Roman" w:eastAsia="宋体" w:cs="Times New Roman"/>
          <w:sz w:val="24"/>
          <w:szCs w:val="24"/>
          <w:lang w:val="en-US" w:eastAsia="zh-CN"/>
        </w:rPr>
      </w:pPr>
    </w:p>
    <w:p w14:paraId="69689CA3">
      <w:pPr>
        <w:pStyle w:val="3"/>
        <w:spacing w:before="0" w:after="0" w:line="360" w:lineRule="auto"/>
        <w:ind w:firstLine="420"/>
        <w:jc w:val="both"/>
      </w:pPr>
      <w:r>
        <w:rPr>
          <w:rFonts w:ascii="Times New Roman" w:hAnsi="Times New Roman" w:eastAsia="宋体" w:cs="Times New Roman"/>
          <w:sz w:val="24"/>
          <w:szCs w:val="24"/>
        </w:rPr>
        <w:t xml:space="preserve">本文的研究与验证仍存在一定局限。当前验证主要依赖行业标准附录案例和合成时序，还没有接入现场连续在线监测数据，后续仍需结合真实运行数据进一步检验方法在实际工况下的表现。与此同时，系统在多台设备联合分析、权限管理、报告归档和日志记录等方面还可以继续完善。后续研究可在保持行业标准规则为主判据的前提下，继续补充真实数据验证，并完善系统的实际应用能力。</w:t>
      </w:r>
    </w:p>
    <w:p w14:paraId="70C4CEFE">
      <w:r>
        <w:rPr>
          <w:rFonts w:ascii="Times New Roman" w:hAnsi="Times New Roman" w:eastAsia="宋体" w:cs="Times New Roman"/>
          <w:b w:val="0"/>
          <w:sz w:val="24"/>
          <w:szCs w:val="24"/>
        </w:rPr>
        <w:br w:type="page"/>
      </w:r>
    </w:p>
    <w:p w14:paraId="52F3ACF7">
      <w:pPr>
        <w:pStyle w:val="2"/>
        <w:bidi w:val="0"/>
        <w:rPr>
          <w:lang w:val="en-US" w:eastAsia="zh-CN"/>
        </w:rPr>
      </w:pPr>
      <w:bookmarkStart w:id="175" w:name="_TocAck"/>
      <w:r>
        <w:rPr>
          <w:lang w:val="en-US" w:eastAsia="zh-CN"/>
        </w:rPr>
        <w:t>致谢</w:t>
      </w:r>
      <w:bookmarkEnd w:id="175"/>
    </w:p>
    <w:p w14:paraId="2E00AA8D">
      <w:pPr>
        <w:pStyle w:val="3"/>
        <w:spacing w:before="0" w:after="0" w:line="360" w:lineRule="auto"/>
        <w:ind w:firstLine="420"/>
        <w:jc w:val="both"/>
      </w:pPr>
      <w:r>
        <w:rPr>
          <w:rFonts w:ascii="Times New Roman" w:hAnsi="Times New Roman" w:eastAsia="宋体" w:cs="Times New Roman"/>
          <w:sz w:val="24"/>
          <w:szCs w:val="24"/>
        </w:rPr>
        <w:t xml:space="preserve">本论文的顺利完成，离不开老师、家人的支持与帮助，在此致以诚挚的谢意。</w:t>
      </w:r>
    </w:p>
    <w:p w14:paraId="6F1F9472">
      <w:pPr>
        <w:pStyle w:val="3"/>
        <w:spacing w:before="0" w:after="0" w:line="360" w:lineRule="auto"/>
        <w:ind w:firstLine="420"/>
        <w:jc w:val="both"/>
      </w:pPr>
      <w:r>
        <w:rPr>
          <w:rFonts w:ascii="Times New Roman" w:hAnsi="Times New Roman" w:eastAsia="宋体" w:cs="Times New Roman"/>
          <w:sz w:val="24"/>
          <w:szCs w:val="24"/>
        </w:rPr>
        <w:t xml:space="preserve">首先，衷心感谢我的导师阮利老师。从论文选题、技术路线规划到论文修改完善，阮老师都给予了悉心指导与专业建议。老师严谨的治学态度与务实的科研作风令我受益匪浅，为本课题研究及论文的顺利完成提供了重要保障。</w:t>
      </w:r>
    </w:p>
    <w:p w14:paraId="3CD2822D">
      <w:pPr>
        <w:pStyle w:val="3"/>
        <w:spacing w:before="0" w:after="0" w:line="360" w:lineRule="auto"/>
        <w:ind w:firstLine="420"/>
        <w:jc w:val="both"/>
      </w:pPr>
      <w:r>
        <w:rPr>
          <w:rFonts w:ascii="Times New Roman" w:hAnsi="Times New Roman" w:eastAsia="宋体" w:cs="Times New Roman"/>
          <w:sz w:val="24"/>
          <w:szCs w:val="24"/>
        </w:rPr>
        <w:t xml:space="preserve">感谢北京航空航天大学与继续教育学院为我提供了良好的学习平台与科研环境。两年半的求学时光，浓厚的学术氛围、完善的教学资源，让我夯实了专业基础、拓宽了学术视野，为本次课题研究和未来职业发展筑牢根基。</w:t>
      </w:r>
    </w:p>
    <w:p w14:paraId="0FDAFC9E">
      <w:pPr>
        <w:pStyle w:val="3"/>
        <w:spacing w:before="0" w:after="0" w:line="360" w:lineRule="auto"/>
        <w:ind w:firstLine="420"/>
        <w:jc w:val="both"/>
      </w:pPr>
      <w:r>
        <w:rPr>
          <w:rFonts w:ascii="Times New Roman" w:hAnsi="Times New Roman" w:eastAsia="宋体" w:cs="Times New Roman"/>
          <w:sz w:val="24"/>
          <w:szCs w:val="24"/>
        </w:rPr>
        <w:t xml:space="preserve">感谢家人一直以来的理解与默默支持。在职求学期间，正是家人的包容与鼓励，让我能够平衡工作与学业，全身心投入课题研究，顺利完成论文撰写工作。</w:t>
      </w:r>
    </w:p>
    <w:p w14:paraId="6730D5D6">
      <w:pPr>
        <w:pStyle w:val="3"/>
        <w:spacing w:before="0" w:after="0" w:line="360" w:lineRule="auto"/>
        <w:ind w:firstLine="420"/>
        <w:jc w:val="both"/>
      </w:pPr>
      <w:r>
        <w:rPr>
          <w:rFonts w:ascii="Times New Roman" w:hAnsi="Times New Roman" w:eastAsia="宋体" w:cs="Times New Roman"/>
          <w:sz w:val="24"/>
          <w:szCs w:val="24"/>
        </w:rPr>
        <w:t xml:space="preserve">最后，感谢始终坚持、从未轻言放弃的自己。攻读学位期间，我兼顾本职工作与学业研究，论文的核心工作均利用业余时间完成。这段经历让我真切体会到科研工作的严谨与不易，也磨砺了自身的毅力与执行力，让我更加懂得脚踏实地、持之以恒的意义。未来我将继续秉持严谨务实的态度，踏实精进，直面各项工作与挑战。</w:t>
      </w:r>
    </w:p>
    <w:p w14:paraId="5237C173">
      <w:r>
        <w:rPr>
          <w:rFonts w:ascii="Times New Roman" w:hAnsi="Times New Roman" w:eastAsia="宋体" w:cs="Times New Roman"/>
          <w:b w:val="0"/>
          <w:sz w:val="24"/>
          <w:szCs w:val="24"/>
        </w:rPr>
        <w:t xml:space="preserve">同时，衷心感谢本文所有参考文献的作者，以及电力行业标准、公开DGA数据的提供者，为本次论文研究提供了扎实的理论依据与数据支撑。</w:t>
      </w:r>
    </w:p>
    <w:p w14:paraId="0003A7B7">
      <w:pPr>
        <w:pStyle w:val="2"/>
        <w:bidi w:val="0"/>
        <w:rPr>
          <w:lang w:val="en-US" w:eastAsia="zh-CN"/>
        </w:rPr>
      </w:pPr>
      <w:bookmarkStart w:id="176" w:name="_TocRefs"/>
      <w:r>
        <w:rPr>
          <w:lang w:val="en-US" w:eastAsia="zh-CN"/>
        </w:rPr>
        <w:t>参考文献</w:t>
      </w:r>
      <w:bookmarkEnd w:id="176"/>
    </w:p>
    <w:p w14:paraId="5AB30DD5">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77" w:name="_Ref343432044"/>
      <w:r>
        <w:rPr>
          <w:rFonts w:hint="eastAsia" w:ascii="宋体" w:hAnsi="宋体" w:eastAsia="宋体" w:cs="宋体"/>
          <w:b w:val="0"/>
          <w:kern w:val="2"/>
          <w:sz w:val="24"/>
          <w:szCs w:val="24"/>
          <w:lang w:val="en-US" w:eastAsia="zh-CN" w:bidi="ar-SA"/>
        </w:rPr>
        <w:t>国家发展改革委, 国家能源局. "十四五"现代能源体系规划[EB/OL]. (2022-03-22). https://www.ndrc.gov.cn/xxgk/zcfb/ghwb/202203/t20220322_1320016.html.</w:t>
      </w:r>
      <w:bookmarkEnd w:id="177"/>
    </w:p>
    <w:p w14:paraId="0B5EB7E0">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78" w:name="_Ref344221973"/>
      <w:r>
        <w:rPr>
          <w:rFonts w:hint="eastAsia" w:ascii="宋体" w:hAnsi="宋体" w:eastAsia="宋体" w:cs="宋体"/>
          <w:b w:val="0"/>
          <w:kern w:val="2"/>
          <w:sz w:val="24"/>
          <w:szCs w:val="24"/>
          <w:lang w:val="en-US" w:eastAsia="zh-CN" w:bidi="ar-SA"/>
        </w:rPr>
        <w:t>国家发展改革委, 国家能源局, 国家数据局. 加快构建新型电力系统行动方案（2024—2027年）[EB/OL]. (2024-07-25). https://www.gov.cn/zhengce/zhengceku/202408/content_6966863.htm.</w:t>
      </w:r>
      <w:bookmarkEnd w:id="178"/>
    </w:p>
    <w:p w14:paraId="790D0B5B">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79" w:name="_Ref346087550"/>
      <w:r>
        <w:rPr>
          <w:rFonts w:hint="eastAsia" w:ascii="宋体" w:hAnsi="宋体" w:eastAsia="宋体" w:cs="宋体"/>
          <w:b w:val="0"/>
          <w:kern w:val="2"/>
          <w:sz w:val="24"/>
          <w:szCs w:val="24"/>
          <w:lang w:val="en-US" w:eastAsia="zh-CN" w:bidi="ar-SA"/>
        </w:rPr>
        <w:t>国家发展改革委, 国家能源局. 关于推进"人工智能+"能源高质量发展的实施意见[EB/OL]. (2025-09-04). https://www.gov.cn/zhengce/zhengceku/202509/content_7040253.htm.</w:t>
      </w:r>
      <w:bookmarkEnd w:id="179"/>
    </w:p>
    <w:p w14:paraId="4CCE8859">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80" w:name="_Ref346776637"/>
      <w:r>
        <w:rPr>
          <w:rFonts w:hint="eastAsia" w:ascii="宋体" w:hAnsi="宋体" w:eastAsia="宋体" w:cs="宋体"/>
          <w:b w:val="0"/>
          <w:kern w:val="2"/>
          <w:sz w:val="24"/>
          <w:szCs w:val="24"/>
          <w:lang w:val="en-US" w:eastAsia="zh-CN" w:bidi="ar-SA"/>
        </w:rPr>
        <w:t>国家电网有限公司. 电力"人工智能+"白皮书[R]. 北京: 国家电网有限公司, 2025.</w:t>
      </w:r>
      <w:bookmarkEnd w:id="180"/>
    </w:p>
    <w:p w14:paraId="5A963672">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81" w:name="_Ref347247233"/>
      <w:r>
        <w:rPr>
          <w:rFonts w:hint="eastAsia" w:ascii="宋体" w:hAnsi="宋体" w:eastAsia="宋体" w:cs="宋体"/>
          <w:b w:val="0"/>
          <w:kern w:val="2"/>
          <w:sz w:val="24"/>
          <w:szCs w:val="24"/>
          <w:lang w:val="en-US" w:eastAsia="zh-CN" w:bidi="ar-SA"/>
        </w:rPr>
        <w:t>中国南方电网有限责任公司. 南方电网公司2025年"人工智能+"工作方案[EB/OL]. (2025-08-06). http://mm.chinapower.com.cn/dlxxh/zhxw/20250806/282341.html.</w:t>
      </w:r>
      <w:bookmarkEnd w:id="181"/>
    </w:p>
    <w:p w14:paraId="254FB65F">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82" w:name="_Ref348373302"/>
      <w:r>
        <w:rPr>
          <w:rFonts w:hint="eastAsia" w:ascii="宋体" w:hAnsi="宋体" w:eastAsia="宋体" w:cs="宋体"/>
          <w:b w:val="0"/>
          <w:kern w:val="2"/>
          <w:sz w:val="24"/>
          <w:szCs w:val="24"/>
          <w:lang w:val="en-US" w:eastAsia="zh-CN" w:bidi="ar-SA"/>
        </w:rPr>
        <w:t>国家能源局. DL/T 722—2014 变压器油中溶解气体分析和判断导则[S]. 北京: 中国电力出版社, 2014.</w:t>
      </w:r>
      <w:bookmarkEnd w:id="182"/>
    </w:p>
    <w:p w14:paraId="2E081904">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83" w:name="_RefCite007"/>
      <w:r>
        <w:rPr>
          <w:rFonts w:hint="eastAsia" w:ascii="宋体" w:hAnsi="宋体" w:eastAsia="宋体" w:cs="宋体"/>
          <w:b w:val="0"/>
          <w:kern w:val="2"/>
          <w:sz w:val="24"/>
          <w:szCs w:val="24"/>
          <w:lang w:val="en-US" w:eastAsia="zh-CN" w:bidi="ar-SA"/>
        </w:rPr>
        <w:t>国家能源局. DL/T 1498.2—2025 变电设备在线监测装置技术规范 第2部分：变压器油中溶解气体在线监测装置[S]. 北京: 中国电力出版社, 2025.</w:t>
      </w:r>
      <w:bookmarkEnd w:id="183"/>
    </w:p>
    <w:p w14:paraId="354E7DE8">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84" w:name="_RefCite008"/>
      <w:r>
        <w:rPr>
          <w:rFonts w:hint="eastAsia" w:ascii="宋体" w:hAnsi="宋体" w:eastAsia="宋体" w:cs="宋体"/>
          <w:b w:val="0"/>
          <w:kern w:val="2"/>
          <w:sz w:val="24"/>
          <w:szCs w:val="24"/>
          <w:lang w:val="en-US" w:eastAsia="zh-CN" w:bidi="ar-SA"/>
        </w:rPr>
        <w:t>国家能源局. DL/T 1685—2017 油浸式变压器（电抗器）状态评价导则[S]. 北京: 中国电力出版社, 2017.</w:t>
      </w:r>
      <w:bookmarkEnd w:id="184"/>
    </w:p>
    <w:p w14:paraId="4A5D5D98">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85" w:name="_RefCite009"/>
      <w:r>
        <w:rPr>
          <w:rFonts w:hint="eastAsia" w:ascii="Times New Roman" w:hAnsi="Times New Roman" w:eastAsia="宋体" w:cs="Times New Roman"/>
          <w:b w:val="0"/>
          <w:kern w:val="2"/>
          <w:sz w:val="24"/>
          <w:szCs w:val="24"/>
          <w:lang w:val="en-US" w:eastAsia="zh-CN" w:bidi="ar-SA"/>
        </w:rPr>
        <w:t>IEEE Power and Energy Society. IEEE Guide for the Interpretation of Gases Generated in Mineral Oil-Immersed Transformers: IEEE C57.104-2019[S]. New York: IEEE, 2019.</w:t>
      </w:r>
      <w:bookmarkEnd w:id="185"/>
    </w:p>
    <w:p w14:paraId="00C63930">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86" w:name="_RefCite010"/>
      <w:r>
        <w:rPr>
          <w:rFonts w:hint="eastAsia" w:ascii="Times New Roman" w:hAnsi="Times New Roman" w:eastAsia="宋体" w:cs="Times New Roman"/>
          <w:b w:val="0"/>
          <w:kern w:val="2"/>
          <w:sz w:val="24"/>
          <w:szCs w:val="24"/>
          <w:lang w:val="en-US" w:eastAsia="zh-CN" w:bidi="ar-SA"/>
        </w:rPr>
        <w:t>IEC. Mineral oil-filled electrical equipment in service — Guidance on the interpretation of dissolved and free gases analysis: IEC 60599:2022[S]. Geneva: IEC, 2022.</w:t>
      </w:r>
      <w:bookmarkEnd w:id="186"/>
    </w:p>
    <w:p w14:paraId="01DCF11D">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87" w:name="_RefCite011"/>
      <w:r>
        <w:rPr>
          <w:rFonts w:hint="eastAsia" w:ascii="宋体" w:hAnsi="宋体" w:eastAsia="宋体" w:cs="宋体"/>
          <w:b w:val="0"/>
          <w:kern w:val="2"/>
          <w:sz w:val="24"/>
          <w:szCs w:val="24"/>
          <w:lang w:val="en-US" w:eastAsia="zh-CN" w:bidi="ar-SA"/>
        </w:rPr>
        <w:t>李子欣, 高范强, 赵聪, 等. 电力电子变压器技术研究综述[J]. 中国电机工程学报, 2018, 38(5): 1274-1289.</w:t>
      </w:r>
      <w:bookmarkEnd w:id="187"/>
    </w:p>
    <w:p w14:paraId="11E99179">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88" w:name="_RefCite012"/>
      <w:r>
        <w:rPr>
          <w:rFonts w:hint="eastAsia" w:ascii="宋体" w:hAnsi="宋体" w:eastAsia="宋体" w:cs="宋体"/>
          <w:b w:val="0"/>
          <w:kern w:val="2"/>
          <w:sz w:val="24"/>
          <w:szCs w:val="24"/>
          <w:lang w:val="en-US" w:eastAsia="zh-CN" w:bidi="ar-SA"/>
        </w:rPr>
        <w:t>蒲天骄, 乔骥, 韩笑, 等. 人工智能技术在电力设备运维检修中的研究及应用[J]. 高电压技术, 2020, 46(2): 369-383.</w:t>
      </w:r>
      <w:bookmarkEnd w:id="188"/>
    </w:p>
    <w:p w14:paraId="01F31828">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89" w:name="_RefCite013"/>
      <w:r>
        <w:rPr>
          <w:rFonts w:hint="eastAsia" w:ascii="Times New Roman" w:hAnsi="Times New Roman" w:eastAsia="宋体" w:cs="Times New Roman"/>
          <w:b w:val="0"/>
          <w:kern w:val="2"/>
          <w:sz w:val="24"/>
          <w:szCs w:val="24"/>
          <w:lang w:val="en-US" w:eastAsia="zh-CN" w:bidi="ar-SA"/>
        </w:rPr>
        <w:t>Bessa A R, Fardin J F, Ciarelli P M, et al. Conventional dissolved gas analysis in power transformers: A review[J]. Energies, 2023, 16(21).</w:t>
      </w:r>
      <w:bookmarkEnd w:id="189"/>
    </w:p>
    <w:p w14:paraId="07F3EB27">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90" w:name="_RefCite014"/>
      <w:r>
        <w:rPr>
          <w:rFonts w:hint="eastAsia" w:ascii="宋体" w:hAnsi="宋体" w:eastAsia="宋体" w:cs="宋体"/>
          <w:b w:val="0"/>
          <w:kern w:val="2"/>
          <w:sz w:val="24"/>
          <w:szCs w:val="24"/>
          <w:lang w:val="en-US" w:eastAsia="zh-CN" w:bidi="ar-SA"/>
        </w:rPr>
        <w:t>任双赞, 吴昊, 刘晓立, 等. 变压器油中溶解气体在线监测技术研究现状[J]. 电工技术, 2020(19): 86-90.</w:t>
      </w:r>
      <w:bookmarkEnd w:id="190"/>
    </w:p>
    <w:p w14:paraId="71E59A87">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91" w:name="_RefCite015"/>
      <w:r>
        <w:rPr>
          <w:rFonts w:hint="eastAsia" w:ascii="宋体" w:hAnsi="宋体" w:eastAsia="宋体" w:cs="宋体"/>
          <w:b w:val="0"/>
          <w:kern w:val="2"/>
          <w:sz w:val="24"/>
          <w:szCs w:val="24"/>
          <w:lang w:val="en-US" w:eastAsia="zh-CN" w:bidi="ar-SA"/>
        </w:rPr>
        <w:t>李元, 林金山, 边畅, 等. 电力设备智能运维大模型的技术挑战与发展路径[J/OL]. 西安交通大学学报: 1-16[2026-06-25]. http://kns.cnki.net/kcms/detail/61.1069.T.20260624.1643.009.html.</w:t>
      </w:r>
      <w:bookmarkEnd w:id="191"/>
    </w:p>
    <w:p w14:paraId="77079783">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92" w:name="_RefCite016"/>
      <w:r>
        <w:rPr>
          <w:rFonts w:hint="eastAsia" w:ascii="宋体" w:hAnsi="宋体" w:eastAsia="宋体" w:cs="宋体"/>
          <w:b w:val="0"/>
          <w:kern w:val="2"/>
          <w:sz w:val="24"/>
          <w:szCs w:val="24"/>
          <w:lang w:val="en-US" w:eastAsia="zh-CN" w:bidi="ar-SA"/>
        </w:rPr>
        <w:t>曾文龙. 基于DGA数据电力变压器在线状态监测综述及其智能化展望[J]. 电子世界, 2018(22): 13-14+17.</w:t>
      </w:r>
      <w:bookmarkEnd w:id="192"/>
    </w:p>
    <w:p w14:paraId="4E0F3FA7">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93" w:name="_RefCite017"/>
      <w:r>
        <w:rPr>
          <w:rFonts w:hint="eastAsia" w:ascii="Times New Roman" w:hAnsi="Times New Roman" w:eastAsia="宋体" w:cs="Times New Roman"/>
          <w:b w:val="0"/>
          <w:kern w:val="2"/>
          <w:sz w:val="24"/>
          <w:szCs w:val="24"/>
          <w:lang w:val="en-US" w:eastAsia="zh-CN" w:bidi="ar-SA"/>
        </w:rPr>
        <w:t>Motepe S, Hasan A N, Thango B A, et al. Fault classification in power transformers via dissolved gas analysis and machine learning algorithms: A systematic literature review[J]. Applied Sciences, 2025, 15(5): 2395.</w:t>
      </w:r>
      <w:bookmarkEnd w:id="193"/>
    </w:p>
    <w:p w14:paraId="60906DA8">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94" w:name="_RefCite018"/>
      <w:r>
        <w:rPr>
          <w:rFonts w:hint="eastAsia" w:ascii="宋体" w:hAnsi="宋体" w:eastAsia="宋体" w:cs="宋体"/>
          <w:b w:val="0"/>
          <w:kern w:val="2"/>
          <w:sz w:val="24"/>
          <w:szCs w:val="24"/>
          <w:lang w:val="en-US" w:eastAsia="zh-CN" w:bidi="ar-SA"/>
        </w:rPr>
        <w:t>刘芳, 张强, 王勇. 人工智能大模型在电力设备运维场景中的应用探讨[J]. 电力信息与通信技术, 2024, 22(3): 10-18.</w:t>
      </w:r>
      <w:bookmarkEnd w:id="194"/>
    </w:p>
    <w:p w14:paraId="66EE0E97">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95" w:name="_RefCite019"/>
      <w:r>
        <w:rPr>
          <w:rFonts w:hint="eastAsia" w:ascii="Times New Roman" w:hAnsi="Times New Roman" w:eastAsia="宋体" w:cs="Times New Roman"/>
          <w:b w:val="0"/>
          <w:kern w:val="2"/>
          <w:sz w:val="24"/>
          <w:szCs w:val="24"/>
          <w:lang w:val="en-US" w:eastAsia="zh-CN" w:bidi="ar-SA"/>
        </w:rPr>
        <w:t>Thobejane L T, Thango B A. Partial discharge source classification in power transformers: A systematic literature review[J]. Applied Sciences, 2024, 14(14): 6097.</w:t>
      </w:r>
      <w:bookmarkEnd w:id="195"/>
    </w:p>
    <w:p w14:paraId="6E354BCB">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96" w:name="_RefCite020"/>
      <w:r>
        <w:rPr>
          <w:rFonts w:hint="eastAsia" w:ascii="宋体" w:hAnsi="宋体" w:eastAsia="宋体" w:cs="宋体"/>
          <w:b w:val="0"/>
          <w:kern w:val="2"/>
          <w:sz w:val="24"/>
          <w:szCs w:val="24"/>
          <w:lang w:val="en-US" w:eastAsia="zh-CN" w:bidi="ar-SA"/>
        </w:rPr>
        <w:t>齐波, 朱柯翰, 罗远, 等. 电力变压器健康状态智能感知与评估技术研究现状及未来展望[J]. 高电压技术, 2025, 51(08): 4395-4416.</w:t>
      </w:r>
      <w:bookmarkEnd w:id="196"/>
    </w:p>
    <w:p w14:paraId="11DC2DEB">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97" w:name="_Ref344978288"/>
      <w:r>
        <w:rPr>
          <w:rFonts w:hint="eastAsia" w:ascii="Times New Roman" w:hAnsi="Times New Roman" w:eastAsia="宋体" w:cs="Times New Roman"/>
          <w:b w:val="0"/>
          <w:kern w:val="2"/>
          <w:sz w:val="24"/>
          <w:szCs w:val="24"/>
          <w:lang w:val="en-US" w:eastAsia="zh-CN" w:bidi="ar-SA"/>
        </w:rPr>
        <w:t>Powell J, McCafferty-Leroux A, Hilal W, et al. Smart grids: A comprehensive survey of challenges, industry applications, and future trends[J]. Energy Reports, 2024, 11: 5760-5785.</w:t>
      </w:r>
      <w:bookmarkEnd w:id="197"/>
    </w:p>
    <w:p w14:paraId="37EDC5FA">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98" w:name="_RefCite022"/>
      <w:r>
        <w:rPr>
          <w:rFonts w:hint="eastAsia" w:ascii="Times New Roman" w:hAnsi="Times New Roman" w:eastAsia="宋体" w:cs="Times New Roman"/>
          <w:b w:val="0"/>
          <w:kern w:val="2"/>
          <w:sz w:val="24"/>
          <w:szCs w:val="24"/>
          <w:lang w:val="en-US" w:eastAsia="zh-CN" w:bidi="ar-SA"/>
        </w:rPr>
        <w:t>Duval M. A review of faults detectable by gas-in-oil analysis in transformers[J]. IEEE Electrical Insulation Magazine, 2002, 18(3): 8-17.</w:t>
      </w:r>
      <w:bookmarkEnd w:id="198"/>
    </w:p>
    <w:p w14:paraId="369FDA85">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199" w:name="_RefCite023"/>
      <w:r>
        <w:rPr>
          <w:rFonts w:hint="eastAsia" w:ascii="宋体" w:hAnsi="宋体" w:eastAsia="宋体" w:cs="宋体"/>
          <w:b w:val="0"/>
          <w:kern w:val="2"/>
          <w:sz w:val="24"/>
          <w:szCs w:val="24"/>
          <w:lang w:val="en-US" w:eastAsia="zh-CN" w:bidi="ar-SA"/>
        </w:rPr>
        <w:t>尹琦琳. 基于油色谱异常数据的220kV变压器分析处置[J]. 电工技术, 2026, 47(7): 150-152.</w:t>
      </w:r>
      <w:bookmarkEnd w:id="199"/>
    </w:p>
    <w:p w14:paraId="7E9D5603">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00" w:name="_RefCite024"/>
      <w:r>
        <w:rPr>
          <w:rFonts w:hint="eastAsia" w:ascii="宋体" w:hAnsi="宋体" w:eastAsia="宋体" w:cs="宋体"/>
          <w:b w:val="0"/>
          <w:kern w:val="2"/>
          <w:sz w:val="24"/>
          <w:szCs w:val="24"/>
          <w:lang w:val="en-US" w:eastAsia="zh-CN" w:bidi="ar-SA"/>
        </w:rPr>
        <w:t>黄福顺. 电力变压器油中溶解气体的分析及故障判断[J]. 电力设备管理, 2026(08): 28-30.</w:t>
      </w:r>
      <w:bookmarkEnd w:id="200"/>
    </w:p>
    <w:p w14:paraId="36B3BF56">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01" w:name="_RefCite025"/>
      <w:r>
        <w:rPr>
          <w:rFonts w:hint="eastAsia" w:ascii="宋体" w:hAnsi="宋体" w:eastAsia="宋体" w:cs="宋体"/>
          <w:b w:val="0"/>
          <w:kern w:val="2"/>
          <w:sz w:val="24"/>
          <w:szCs w:val="24"/>
          <w:lang w:val="en-US" w:eastAsia="zh-CN" w:bidi="ar-SA"/>
        </w:rPr>
        <w:t>杨子建, 闫乃欣, 陈思远, 等. 电力设备智能运维与产业化应用研究——以多源数据融合驱动的电厂油液色谱智能诊断系统为例[J]. 创新世界周刊, 2026(06): 125-127.</w:t>
      </w:r>
      <w:bookmarkEnd w:id="201"/>
    </w:p>
    <w:p w14:paraId="0140B08B">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02" w:name="_RefCite026"/>
      <w:r>
        <w:rPr>
          <w:rFonts w:hint="eastAsia" w:ascii="宋体" w:hAnsi="宋体" w:eastAsia="宋体" w:cs="宋体"/>
          <w:b w:val="0"/>
          <w:kern w:val="2"/>
          <w:sz w:val="24"/>
          <w:szCs w:val="24"/>
          <w:lang w:val="en-US" w:eastAsia="zh-CN" w:bidi="ar-SA"/>
        </w:rPr>
        <w:t>马国梅, 张建所. 基于三比值法的油中溶解气体异常案例分析[J]. 电气技术与经济, 2025(11): 327-330.</w:t>
      </w:r>
      <w:bookmarkEnd w:id="202"/>
    </w:p>
    <w:p w14:paraId="614BDE22">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03" w:name="_RefCite027"/>
      <w:r>
        <w:rPr>
          <w:rFonts w:hint="eastAsia" w:ascii="宋体" w:hAnsi="宋体" w:eastAsia="宋体" w:cs="宋体"/>
          <w:b w:val="0"/>
          <w:kern w:val="2"/>
          <w:sz w:val="24"/>
          <w:szCs w:val="24"/>
          <w:lang w:val="en-US" w:eastAsia="zh-CN" w:bidi="ar-SA"/>
        </w:rPr>
        <w:t>王蒙. 基于油色谱的变压器在线故障监测系统研究[D]. 西安理工大学, 2024.</w:t>
      </w:r>
      <w:bookmarkEnd w:id="203"/>
    </w:p>
    <w:p w14:paraId="18B16E0B">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04" w:name="_RefCite028"/>
      <w:r>
        <w:rPr>
          <w:rFonts w:hint="eastAsia" w:ascii="宋体" w:hAnsi="宋体" w:eastAsia="宋体" w:cs="宋体"/>
          <w:b w:val="0"/>
          <w:kern w:val="2"/>
          <w:sz w:val="24"/>
          <w:szCs w:val="24"/>
          <w:lang w:val="en-US" w:eastAsia="zh-CN" w:bidi="ar-SA"/>
        </w:rPr>
        <w:t>解宵. 面向电力变压器油色谱数据特征参量的研究[D]. 西安理工大学, 2021.</w:t>
      </w:r>
      <w:bookmarkEnd w:id="204"/>
    </w:p>
    <w:p w14:paraId="4AE11416">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05" w:name="_RefCite029"/>
      <w:r>
        <w:rPr>
          <w:rFonts w:hint="eastAsia" w:ascii="宋体" w:hAnsi="宋体" w:eastAsia="宋体" w:cs="宋体"/>
          <w:b w:val="0"/>
          <w:kern w:val="2"/>
          <w:sz w:val="24"/>
          <w:szCs w:val="24"/>
          <w:lang w:val="en-US" w:eastAsia="zh-CN" w:bidi="ar-SA"/>
        </w:rPr>
        <w:t>许自强. 数据驱动的电力变压器智能化健康管理关键技术研究[D]. 华北电力大学(北京), 2020.</w:t>
      </w:r>
      <w:bookmarkEnd w:id="205"/>
    </w:p>
    <w:p w14:paraId="1969A489">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06" w:name="_RefCite030"/>
      <w:r>
        <w:rPr>
          <w:rFonts w:hint="eastAsia" w:ascii="宋体" w:hAnsi="宋体" w:eastAsia="宋体" w:cs="宋体"/>
          <w:b w:val="0"/>
          <w:kern w:val="2"/>
          <w:sz w:val="24"/>
          <w:szCs w:val="24"/>
          <w:lang w:val="en-US" w:eastAsia="zh-CN" w:bidi="ar-SA"/>
        </w:rPr>
        <w:t>潘育龙. 变压器油中溶解气体在线监测技术的研究[D]. 郑州大学, 2019.</w:t>
      </w:r>
      <w:bookmarkEnd w:id="206"/>
    </w:p>
    <w:p w14:paraId="28DC5001">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07" w:name="_RefCite031"/>
      <w:r>
        <w:rPr>
          <w:rFonts w:hint="eastAsia" w:ascii="宋体" w:hAnsi="宋体" w:eastAsia="宋体" w:cs="宋体"/>
          <w:b w:val="0"/>
          <w:kern w:val="2"/>
          <w:sz w:val="24"/>
          <w:szCs w:val="24"/>
          <w:lang w:val="en-US" w:eastAsia="zh-CN" w:bidi="ar-SA"/>
        </w:rPr>
        <w:t>徐湘忆, 陈璐, 熊鸣翔, 等. 变压器油中溶解气体在线监测装置准确性分析[J]. 电力与能源, 2016, 37(03): 295-300.</w:t>
      </w:r>
      <w:bookmarkEnd w:id="207"/>
    </w:p>
    <w:p w14:paraId="6FD353D1">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08" w:name="_RefCite032"/>
      <w:r>
        <w:rPr>
          <w:rFonts w:hint="eastAsia" w:ascii="宋体" w:hAnsi="宋体" w:eastAsia="宋体" w:cs="宋体"/>
          <w:b w:val="0"/>
          <w:kern w:val="2"/>
          <w:sz w:val="24"/>
          <w:szCs w:val="24"/>
          <w:lang w:val="en-US" w:eastAsia="zh-CN" w:bidi="ar-SA"/>
        </w:rPr>
        <w:t>李征, 杨勇, 杨智, 等. 人工智能技术在电力变压器运维检修中的应用[J]. 浙江电力, 2026, 45(5): 114-116.</w:t>
      </w:r>
      <w:bookmarkEnd w:id="208"/>
    </w:p>
    <w:p w14:paraId="5A27DA0D">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09" w:name="_RefCite033"/>
      <w:r>
        <w:rPr>
          <w:rFonts w:hint="eastAsia" w:ascii="宋体" w:hAnsi="宋体" w:eastAsia="宋体" w:cs="宋体"/>
          <w:b w:val="0"/>
          <w:kern w:val="2"/>
          <w:sz w:val="24"/>
          <w:szCs w:val="24"/>
          <w:lang w:val="en-US" w:eastAsia="zh-CN" w:bidi="ar-SA"/>
        </w:rPr>
        <w:t>珺陆. 基于人工智能的变电运维故障诊断新方法[J]. Engineering Research and Application, 2025, 3(2): 111-113.</w:t>
      </w:r>
      <w:bookmarkEnd w:id="209"/>
    </w:p>
    <w:p w14:paraId="6FB1BE13">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10" w:name="_RefCite034"/>
      <w:r>
        <w:rPr>
          <w:rFonts w:hint="eastAsia" w:ascii="宋体" w:hAnsi="宋体" w:eastAsia="宋体" w:cs="宋体"/>
          <w:b w:val="0"/>
          <w:kern w:val="2"/>
          <w:sz w:val="24"/>
          <w:szCs w:val="24"/>
          <w:lang w:val="en-US" w:eastAsia="zh-CN" w:bidi="ar-SA"/>
        </w:rPr>
        <w:t>李汉君, 何龙, 李东霖, 等. 基于人工智能的变电站智能巡检技术应用研究[J]. 工程与技术创新, 2025, 1(8).</w:t>
      </w:r>
      <w:bookmarkEnd w:id="210"/>
    </w:p>
    <w:p w14:paraId="001BDAA7">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11" w:name="_RefCite035"/>
      <w:r>
        <w:rPr>
          <w:rFonts w:hint="eastAsia" w:ascii="Times New Roman" w:hAnsi="Times New Roman" w:eastAsia="宋体" w:cs="Times New Roman"/>
          <w:b w:val="0"/>
          <w:kern w:val="2"/>
          <w:sz w:val="24"/>
          <w:szCs w:val="24"/>
          <w:lang w:val="en-US" w:eastAsia="zh-CN" w:bidi="ar-SA"/>
        </w:rPr>
        <w:t>Duval M. New techniques for dissolved gas-in-oil analysis[J]. IEEE Electrical Insulation Magazine, 2003, 19(2).</w:t>
      </w:r>
      <w:bookmarkEnd w:id="211"/>
    </w:p>
    <w:p w14:paraId="5576CE01">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12" w:name="_RefCite036"/>
      <w:r>
        <w:rPr>
          <w:rFonts w:hint="eastAsia" w:ascii="宋体" w:hAnsi="宋体" w:eastAsia="宋体" w:cs="宋体"/>
          <w:b w:val="0"/>
          <w:kern w:val="2"/>
          <w:sz w:val="24"/>
          <w:szCs w:val="24"/>
          <w:lang w:val="en-US" w:eastAsia="zh-CN" w:bidi="ar-SA"/>
        </w:rPr>
        <w:t>李钢, 权沙沙, 赵宏飞. 基于油中溶解气体分析的变压器故障诊断研究[J]. 设备管理与维修, 2026(12): 170-172.</w:t>
      </w:r>
      <w:bookmarkEnd w:id="212"/>
    </w:p>
    <w:p w14:paraId="5C9E4700">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13" w:name="_RefCite037"/>
      <w:r>
        <w:rPr>
          <w:rFonts w:hint="eastAsia" w:ascii="宋体" w:hAnsi="宋体" w:eastAsia="宋体" w:cs="宋体"/>
          <w:b w:val="0"/>
          <w:kern w:val="2"/>
          <w:sz w:val="24"/>
          <w:szCs w:val="24"/>
          <w:lang w:val="en-US" w:eastAsia="zh-CN" w:bidi="ar-SA"/>
        </w:rPr>
        <w:t>易静. 电力变压器油中气体精准监测及在线校准技术的研究与应用[J]. 电气时代, 2020(10): 67-69.</w:t>
      </w:r>
      <w:bookmarkEnd w:id="213"/>
    </w:p>
    <w:p w14:paraId="64ABBF4B">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14" w:name="_RefCite038"/>
      <w:r>
        <w:rPr>
          <w:rFonts w:hint="eastAsia" w:ascii="宋体" w:hAnsi="宋体" w:eastAsia="宋体" w:cs="宋体"/>
          <w:b w:val="0"/>
          <w:kern w:val="2"/>
          <w:sz w:val="24"/>
          <w:szCs w:val="24"/>
          <w:lang w:val="en-US" w:eastAsia="zh-CN" w:bidi="ar-SA"/>
        </w:rPr>
        <w:t>陈铁, 陈卫东, 李咸善, 等. 基于油中溶解气体分析的变压器故障预测[J]. 电子测量技术, 2021, 44(22): 25-31.</w:t>
      </w:r>
      <w:bookmarkEnd w:id="214"/>
    </w:p>
    <w:p w14:paraId="3751C66F">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15" w:name="_RefCite039"/>
      <w:r>
        <w:rPr>
          <w:rFonts w:hint="eastAsia" w:ascii="宋体" w:hAnsi="宋体" w:eastAsia="宋体" w:cs="宋体"/>
          <w:b w:val="0"/>
          <w:kern w:val="2"/>
          <w:sz w:val="24"/>
          <w:szCs w:val="24"/>
          <w:lang w:val="en-US" w:eastAsia="zh-CN" w:bidi="ar-SA"/>
        </w:rPr>
        <w:t>姜有泉, 黄良, 吕黔苏, 等. 基于DGA和深度置信网络的变压器内部故障诊断[J]. 武汉大学学报(工学版), 2017, 50(5): 749-753.</w:t>
      </w:r>
      <w:bookmarkEnd w:id="215"/>
    </w:p>
    <w:p w14:paraId="2D8E3E3C">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16" w:name="_RefCite040"/>
      <w:r>
        <w:rPr>
          <w:rFonts w:hint="eastAsia" w:ascii="宋体" w:hAnsi="宋体" w:eastAsia="宋体" w:cs="宋体"/>
          <w:b w:val="0"/>
          <w:kern w:val="2"/>
          <w:sz w:val="24"/>
          <w:szCs w:val="24"/>
          <w:lang w:val="en-US" w:eastAsia="zh-CN" w:bidi="ar-SA"/>
        </w:rPr>
        <w:t>王飞, 邹云博. 变压器油溶解气体分析及故障诊断方法[J]. 设备管理与维修, 2025(12): 167-169.</w:t>
      </w:r>
      <w:bookmarkEnd w:id="216"/>
    </w:p>
    <w:p w14:paraId="13673A32">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17" w:name="_RefCite041"/>
      <w:r>
        <w:rPr>
          <w:rFonts w:hint="eastAsia" w:ascii="宋体" w:hAnsi="宋体" w:eastAsia="宋体" w:cs="宋体"/>
          <w:b w:val="0"/>
          <w:kern w:val="2"/>
          <w:sz w:val="24"/>
          <w:szCs w:val="24"/>
          <w:lang w:val="en-US" w:eastAsia="zh-CN" w:bidi="ar-SA"/>
        </w:rPr>
        <w:t>邓华璞, 罗浪, 吴荻玮, 等. 基于机器学习的油浸式变压器故障状态诊断模型[J]. 粘接, 2025, 52(9): 188-192.</w:t>
      </w:r>
      <w:bookmarkEnd w:id="217"/>
    </w:p>
    <w:p w14:paraId="799D02E3">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18" w:name="_RefCite042"/>
      <w:r>
        <w:rPr>
          <w:rFonts w:hint="eastAsia" w:ascii="宋体" w:hAnsi="宋体" w:eastAsia="宋体" w:cs="宋体"/>
          <w:b w:val="0"/>
          <w:kern w:val="2"/>
          <w:sz w:val="24"/>
          <w:szCs w:val="24"/>
          <w:lang w:val="en-US" w:eastAsia="zh-CN" w:bidi="ar-SA"/>
        </w:rPr>
        <w:t>王雪霞. 油中溶解气体分析在变压器故障分析中的应用[J]. 电子元器件与信息技术, 2024, 8(03): 24-26+30.</w:t>
      </w:r>
      <w:bookmarkEnd w:id="218"/>
    </w:p>
    <w:p w14:paraId="4D0C7982">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19" w:name="_RefCite043"/>
      <w:r>
        <w:rPr>
          <w:rFonts w:hint="eastAsia" w:ascii="宋体" w:hAnsi="宋体" w:eastAsia="宋体" w:cs="宋体"/>
          <w:b w:val="0"/>
          <w:kern w:val="2"/>
          <w:sz w:val="24"/>
          <w:szCs w:val="24"/>
          <w:lang w:val="en-US" w:eastAsia="zh-CN" w:bidi="ar-SA"/>
        </w:rPr>
        <w:t>马世峰. 基于油中溶解气体分析的电力变压器智能故障诊断研究[D]. 河北科技大学, 2023.</w:t>
      </w:r>
      <w:bookmarkEnd w:id="219"/>
    </w:p>
    <w:p w14:paraId="11CFBCB5">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20" w:name="_RefCite044"/>
      <w:r>
        <w:rPr>
          <w:rFonts w:hint="eastAsia" w:ascii="宋体" w:hAnsi="宋体" w:eastAsia="宋体" w:cs="宋体"/>
          <w:b w:val="0"/>
          <w:kern w:val="2"/>
          <w:sz w:val="24"/>
          <w:szCs w:val="24"/>
          <w:lang w:val="en-US" w:eastAsia="zh-CN" w:bidi="ar-SA"/>
        </w:rPr>
        <w:t>李新鹏. 面向国内智能电网的电力调度控制系统异常智能检测方法与故障定位技术研究[D]. 北京邮电大学, 2023.</w:t>
      </w:r>
      <w:bookmarkEnd w:id="220"/>
    </w:p>
    <w:p w14:paraId="3E7F8686">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21" w:name="_RefCite045"/>
      <w:r>
        <w:rPr>
          <w:rFonts w:hint="eastAsia" w:ascii="宋体" w:hAnsi="宋体" w:eastAsia="宋体" w:cs="宋体"/>
          <w:b w:val="0"/>
          <w:kern w:val="2"/>
          <w:sz w:val="24"/>
          <w:szCs w:val="24"/>
          <w:lang w:val="en-US" w:eastAsia="zh-CN" w:bidi="ar-SA"/>
        </w:rPr>
        <w:t>曹琦, 葛翔. 智能电网背景下异常用电检测与诊断模型研究[J]. 设备管理与维修, 2024(591): 156-158.</w:t>
      </w:r>
      <w:bookmarkEnd w:id="221"/>
    </w:p>
    <w:p w14:paraId="0615A63F">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22" w:name="_RefCite046"/>
      <w:r>
        <w:rPr>
          <w:rFonts w:hint="eastAsia" w:ascii="宋体" w:hAnsi="宋体" w:eastAsia="宋体" w:cs="宋体"/>
          <w:b w:val="0"/>
          <w:kern w:val="2"/>
          <w:sz w:val="24"/>
          <w:szCs w:val="24"/>
          <w:lang w:val="en-US" w:eastAsia="zh-CN" w:bidi="ar-SA"/>
        </w:rPr>
        <w:t>刘吉涛. 可视化技术在电力调度自动化系统中的运用研究[J]. 科技资讯, 2024, 22(717): 45-53.</w:t>
      </w:r>
      <w:bookmarkEnd w:id="222"/>
    </w:p>
    <w:p w14:paraId="2DB6DAE4">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23" w:name="_RefCite047"/>
      <w:r>
        <w:rPr>
          <w:rFonts w:hint="eastAsia" w:ascii="宋体" w:hAnsi="宋体" w:eastAsia="宋体" w:cs="宋体"/>
          <w:b w:val="0"/>
          <w:kern w:val="2"/>
          <w:sz w:val="24"/>
          <w:szCs w:val="24"/>
          <w:lang w:val="en-US" w:eastAsia="zh-CN" w:bidi="ar-SA"/>
        </w:rPr>
        <w:t>杨成碧, 周力恒, 杨龙保. 基于多智能体的电力系统设备预知维护研究[J]. 中国设备工程, 2025(20): 77-79.</w:t>
      </w:r>
      <w:bookmarkEnd w:id="223"/>
    </w:p>
    <w:p w14:paraId="2822C62A">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24" w:name="_RefCite048"/>
      <w:r>
        <w:rPr>
          <w:rFonts w:hint="eastAsia" w:ascii="宋体" w:hAnsi="宋体" w:eastAsia="宋体" w:cs="宋体"/>
          <w:b w:val="0"/>
          <w:kern w:val="2"/>
          <w:sz w:val="24"/>
          <w:szCs w:val="24"/>
          <w:lang w:val="en-US" w:eastAsia="zh-CN" w:bidi="ar-SA"/>
        </w:rPr>
        <w:t>中国电力企业联合会. 2024年全国电力工业统计快报[R]. 2025.</w:t>
      </w:r>
      <w:bookmarkEnd w:id="224"/>
    </w:p>
    <w:p w14:paraId="782FCF48">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25" w:name="_RefCite049"/>
      <w:r>
        <w:rPr>
          <w:rFonts w:hint="eastAsia" w:ascii="Times New Roman" w:hAnsi="Times New Roman" w:eastAsia="宋体" w:cs="Times New Roman"/>
          <w:b w:val="0"/>
          <w:kern w:val="2"/>
          <w:sz w:val="24"/>
          <w:szCs w:val="24"/>
          <w:lang w:val="en-US" w:eastAsia="zh-CN" w:bidi="ar-SA"/>
        </w:rPr>
        <w:t>Abdelwahab S A M, Taha I B M, Fahim R, et al. Transformer fault diagnose intelligent system based on DGA methods[J]. Scientific Reports, 2025, 15(1): 8263.</w:t>
      </w:r>
      <w:bookmarkEnd w:id="225"/>
    </w:p>
    <w:p w14:paraId="29F9108F">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26" w:name="_RefCite050"/>
      <w:r>
        <w:rPr>
          <w:rFonts w:hint="eastAsia" w:ascii="Times New Roman" w:hAnsi="Times New Roman" w:eastAsia="宋体" w:cs="Times New Roman"/>
          <w:b w:val="0"/>
          <w:kern w:val="2"/>
          <w:sz w:val="24"/>
          <w:szCs w:val="24"/>
          <w:lang w:val="en-US" w:eastAsia="zh-CN" w:bidi="ar-SA"/>
        </w:rPr>
        <w:t>Costa J V, Silva D F F, Branco P J C. Large-power transformers: Time now for addressing their monitoring and failure investigation techniques[J]. Energies, 2022, 15(13): 4697.</w:t>
      </w:r>
      <w:bookmarkEnd w:id="226"/>
    </w:p>
    <w:p w14:paraId="6DCCF427">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27" w:name="_RefCite051"/>
      <w:r>
        <w:rPr>
          <w:rFonts w:hint="eastAsia" w:ascii="Times New Roman" w:hAnsi="Times New Roman" w:eastAsia="宋体" w:cs="Times New Roman"/>
          <w:b w:val="0"/>
          <w:kern w:val="2"/>
          <w:sz w:val="24"/>
          <w:szCs w:val="24"/>
          <w:lang w:val="en-US" w:eastAsia="zh-CN" w:bidi="ar-SA"/>
        </w:rPr>
        <w:t>Tao W, Sun Z, Yang Z, et al. Transformer fault diagnosis technology based on AdaBoost enhanced transferred convolutional neural network[J]. Expert Systems with Applications, 2025, 264: 125972.</w:t>
      </w:r>
      <w:bookmarkEnd w:id="227"/>
    </w:p>
    <w:p w14:paraId="49CC95A6">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28" w:name="_RefCite052"/>
      <w:r>
        <w:rPr>
          <w:rFonts w:hint="eastAsia" w:ascii="Times New Roman" w:hAnsi="Times New Roman" w:eastAsia="宋体" w:cs="Times New Roman"/>
          <w:b w:val="0"/>
          <w:kern w:val="2"/>
          <w:sz w:val="24"/>
          <w:szCs w:val="24"/>
          <w:lang w:val="en-US" w:eastAsia="zh-CN" w:bidi="ar-SA"/>
        </w:rPr>
        <w:t>Xing Z, He Y. Multi-modal information analysis for fault diagnosis with time-series data from power transformer[J]. International Journal of Electrical Power &amp; Energy Systems, 2023, 144: 108567.</w:t>
      </w:r>
      <w:bookmarkEnd w:id="228"/>
    </w:p>
    <w:p w14:paraId="2E27159B">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29" w:name="_RefCite053"/>
      <w:r>
        <w:rPr>
          <w:rFonts w:hint="eastAsia" w:ascii="Times New Roman" w:hAnsi="Times New Roman" w:eastAsia="宋体" w:cs="Times New Roman"/>
          <w:b w:val="0"/>
          <w:kern w:val="2"/>
          <w:sz w:val="24"/>
          <w:szCs w:val="24"/>
          <w:lang w:val="en-US" w:eastAsia="zh-CN" w:bidi="ar-SA"/>
        </w:rPr>
        <w:t>Qu X, Yang Y, Lai J, et al. Exploring the application and effectiveness of current large models in power inspection[C]//2024 6th International Conference on Electronic Engineering and Informatics (EEI). IEEE, 2024: 574-583.</w:t>
      </w:r>
      <w:bookmarkEnd w:id="229"/>
    </w:p>
    <w:p w14:paraId="52C6EF68">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30" w:name="_RefCite054"/>
      <w:r>
        <w:rPr>
          <w:rFonts w:hint="eastAsia" w:ascii="Times New Roman" w:hAnsi="Times New Roman" w:eastAsia="宋体" w:cs="Times New Roman"/>
          <w:b w:val="0"/>
          <w:kern w:val="2"/>
          <w:sz w:val="24"/>
          <w:szCs w:val="24"/>
          <w:lang w:val="en-US" w:eastAsia="zh-CN" w:bidi="ar-SA"/>
        </w:rPr>
        <w:t>Kumar D, Dutta S, Illias H A. Streamlining fault classification of dissolved gases in transformer using data synthesis and dimension reduction[J]. IEEE Transactions on Dielectrics and Electrical Insulation, 2024, 31(5): 2451-2460.</w:t>
      </w:r>
      <w:bookmarkEnd w:id="230"/>
    </w:p>
    <w:p w14:paraId="4D72E2E4">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31" w:name="_RefCite055"/>
      <w:r>
        <w:rPr>
          <w:rFonts w:hint="eastAsia" w:ascii="宋体" w:hAnsi="宋体" w:eastAsia="宋体" w:cs="宋体"/>
          <w:b w:val="0"/>
          <w:kern w:val="2"/>
          <w:sz w:val="24"/>
          <w:szCs w:val="24"/>
          <w:lang w:val="en-US" w:eastAsia="zh-CN" w:bidi="ar-SA"/>
        </w:rPr>
        <w:t>林金山, 李元, 方荠萱, 等. 电力变压器故障诊断多智能体大模型构建与初步应用[J/OL]. 西安交通大学学报, (2025-05-21)[2025-05-22]. https://link.cnki.net/urlid/61.1069.T.20250521.0839.002.</w:t>
      </w:r>
      <w:bookmarkEnd w:id="231"/>
    </w:p>
    <w:p w14:paraId="3C9185B0">
      <w:pPr>
        <w:numPr>
          <w:ilvl w:val="0"/>
          <w:numId w:val="15"/>
        </w:numPr>
        <w:adjustRightInd w:val="0"/>
        <w:snapToGrid w:val="0"/>
        <w:spacing w:line="360" w:lineRule="auto"/>
        <w:ind w:left="425" w:leftChars="0" w:hanging="425" w:firstLineChars="0"/>
        <w:jc w:val="left"/>
        <w:rPr>
          <w:rFonts w:hint="eastAsia" w:ascii="宋体" w:hAnsi="宋体" w:eastAsia="宋体" w:cs="宋体"/>
          <w:kern w:val="2"/>
          <w:sz w:val="24"/>
          <w:szCs w:val="24"/>
          <w:lang w:val="en-US" w:eastAsia="zh-CN" w:bidi="ar-SA"/>
        </w:rPr>
      </w:pPr>
      <w:bookmarkStart w:id="232" w:name="_RefCite056"/>
      <w:r>
        <w:rPr>
          <w:rFonts w:hint="eastAsia" w:ascii="Times New Roman" w:hAnsi="Times New Roman" w:eastAsia="宋体" w:cs="Times New Roman"/>
          <w:b w:val="0"/>
          <w:kern w:val="2"/>
          <w:sz w:val="24"/>
          <w:szCs w:val="24"/>
          <w:lang w:val="en-US" w:eastAsia="zh-CN" w:bidi="ar-SA"/>
        </w:rPr>
        <w:t>Miao J, Du P, Liu Y, et al. AgentIAD: Tool-Augmented Single-Agent for Industrial Anomaly Detection[EB/OL]. arXiv:2512.13671, 2025.</w:t>
      </w:r>
      <w:bookmarkEnd w:id="232"/>
    </w:p>
    <w:p w14:paraId="2675B2F0">
      <w:r>
        <w:rPr>
          <w:rFonts w:ascii="Times New Roman" w:hAnsi="Times New Roman" w:eastAsia="宋体" w:cs="Times New Roman"/>
          <w:b w:val="0"/>
          <w:sz w:val="24"/>
          <w:szCs w:val="24"/>
        </w:rPr>
        <w:br w:type="page"/>
      </w:r>
    </w:p>
    <w:p w14:paraId="3F77344A">
      <w:pPr>
        <w:pStyle w:val="2"/>
        <w:bidi w:val="0"/>
        <w:rPr>
          <w:lang w:val="en-US" w:eastAsia="zh-CN"/>
        </w:rPr>
      </w:pPr>
      <w:bookmarkStart w:id="233" w:name="_TocAppendixA"/>
      <w:r>
        <w:rPr>
          <w:lang w:val="en-US" w:eastAsia="zh-CN"/>
        </w:rPr>
        <w:t>附录</w:t>
      </w:r>
      <w:bookmarkEnd w:id="233"/>
    </w:p>
    <w:p w14:paraId="088699BD">
      <w:pPr>
        <w:pStyle w:val="4"/>
        <w:spacing w:before="156" w:beforeLines="50" w:after="156" w:afterLines="50" w:line="360" w:lineRule="auto"/>
        <w:ind w:left="0"/>
        <w:jc w:val="both"/>
        <w:rPr>
          <w:rFonts w:hint="eastAsia" w:eastAsia="黑体"/>
          <w:b w:val="0"/>
          <w:bCs/>
          <w:sz w:val="24"/>
          <w:szCs w:val="18"/>
        </w:rPr>
      </w:pPr>
      <w:r>
        <w:rPr>
          <w:rFonts w:hint="eastAsia" w:eastAsia="黑体"/>
          <w:b w:val="0"/>
          <w:bCs/>
          <w:sz w:val="24"/>
          <w:szCs w:val="18"/>
        </w:rPr>
        <w:t xml:space="preserve">附录A　模块—行业标准对照表</w:t>
      </w:r>
    </w:p>
    <w:p w14:paraId="4B755F27">
      <w:pPr>
        <w:pStyle w:val="3"/>
      </w:pPr>
      <w:r>
        <w:rPr>
          <w:rFonts w:ascii="Times New Roman" w:hAnsi="Times New Roman" w:eastAsia="宋体" w:cs="Times New Roman"/>
          <w:sz w:val="24"/>
          <w:szCs w:val="24"/>
        </w:rPr>
        <w:t>本附录汇总系统各分析模块的主要输出及其行业标准依据，便于与正文核对。对照关系如表A1所示。</w:t>
      </w:r>
    </w:p>
    <w:p w14:paraId="0DF0CE60">
      <w:pPr>
        <w:pStyle w:val="15"/>
        <w:spacing w:before="120" w:after="120" w:line="360" w:lineRule="auto"/>
        <w:ind w:firstLine="0"/>
        <w:jc w:val="center"/>
      </w:pPr>
      <w:r>
        <w:rPr>
          <w:rFonts w:ascii="Times New Roman" w:hAnsi="Times New Roman" w:eastAsia="黑体" w:cs="Times New Roman"/>
          <w:b/>
          <w:bCs/>
          <w:sz w:val="21"/>
          <w:szCs w:val="21"/>
        </w:rPr>
        <w:t xml:space="preserve">表A1　模块—行业标准对照表</w:t>
      </w:r>
    </w:p>
    <w:tbl>
      <w:tblPr>
        <w:tblStyle w:val="39"/>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24"/>
        <w:gridCol w:w="3024"/>
        <w:gridCol w:w="3024"/>
      </w:tblGrid>
      <w:tr w14:paraId="57C0566D">
        <w:tc>
          <w:tcPr>
            <w:tcW w:w="3024" w:type="dxa"/>
            <w:tcBorders>
              <w:bottom w:val="single" w:color="000000" w:sz="6" w:space="0"/>
            </w:tcBorders>
          </w:tcPr>
          <w:p w14:paraId="329418E3">
            <w:pPr>
              <w:spacing w:before="40" w:after="40" w:line="276" w:lineRule="auto"/>
              <w:jc w:val="center"/>
            </w:pPr>
            <w:r>
              <w:rPr>
                <w:rFonts w:ascii="Times New Roman" w:hAnsi="Times New Roman" w:eastAsia="宋体" w:cs="Times New Roman"/>
                <w:sz w:val="24"/>
                <w:szCs w:val="24"/>
              </w:rPr>
              <w:t>系统模块</w:t>
            </w:r>
          </w:p>
        </w:tc>
        <w:tc>
          <w:tcPr>
            <w:tcW w:w="3024" w:type="dxa"/>
            <w:tcBorders>
              <w:bottom w:val="single" w:color="000000" w:sz="6" w:space="0"/>
            </w:tcBorders>
          </w:tcPr>
          <w:p w14:paraId="2CA0A2EF">
            <w:pPr>
              <w:spacing w:before="40" w:after="40" w:line="276" w:lineRule="auto"/>
              <w:jc w:val="center"/>
            </w:pPr>
            <w:r>
              <w:rPr>
                <w:rFonts w:ascii="Times New Roman" w:hAnsi="Times New Roman" w:eastAsia="宋体" w:cs="Times New Roman"/>
                <w:sz w:val="24"/>
                <w:szCs w:val="24"/>
              </w:rPr>
              <w:t>主要输出</w:t>
            </w:r>
          </w:p>
        </w:tc>
        <w:tc>
          <w:tcPr>
            <w:tcW w:w="3024" w:type="dxa"/>
            <w:tcBorders>
              <w:bottom w:val="single" w:color="000000" w:sz="6" w:space="0"/>
            </w:tcBorders>
          </w:tcPr>
          <w:p w14:paraId="30B252EC">
            <w:pPr>
              <w:spacing w:before="40" w:after="40" w:line="276" w:lineRule="auto"/>
              <w:jc w:val="center"/>
            </w:pPr>
            <w:r>
              <w:rPr>
                <w:rFonts w:ascii="Times New Roman" w:hAnsi="Times New Roman" w:eastAsia="宋体" w:cs="Times New Roman"/>
                <w:sz w:val="24"/>
                <w:szCs w:val="24"/>
              </w:rPr>
              <w:t>主要依据</w:t>
            </w:r>
          </w:p>
        </w:tc>
      </w:tr>
      <w:tr w14:paraId="3FB3F81A">
        <w:tc>
          <w:tcPr>
            <w:tcW w:w="3024" w:type="dxa"/>
          </w:tcPr>
          <w:p w14:paraId="0EF189C9">
            <w:pPr>
              <w:spacing w:before="40" w:after="40" w:line="276" w:lineRule="auto"/>
              <w:jc w:val="center"/>
            </w:pPr>
            <w:r>
              <w:rPr>
                <w:rFonts w:ascii="Times New Roman" w:hAnsi="Times New Roman" w:eastAsia="宋体" w:cs="Times New Roman"/>
                <w:sz w:val="24"/>
                <w:szCs w:val="24"/>
              </w:rPr>
              <w:t>检测分级</w:t>
            </w:r>
          </w:p>
        </w:tc>
        <w:tc>
          <w:tcPr>
            <w:tcW w:w="3024" w:type="dxa"/>
          </w:tcPr>
          <w:p w14:paraId="335BF27A">
            <w:pPr>
              <w:spacing w:before="40" w:after="40" w:line="276" w:lineRule="auto"/>
              <w:jc w:val="center"/>
            </w:pPr>
            <w:r>
              <w:rPr>
                <w:rFonts w:ascii="Times New Roman" w:hAnsi="Times New Roman" w:eastAsia="宋体" w:cs="Times New Roman"/>
                <w:sz w:val="24"/>
                <w:szCs w:val="24"/>
              </w:rPr>
              <w:t>四档检测分级、各项指标明细</w:t>
            </w:r>
          </w:p>
        </w:tc>
        <w:tc>
          <w:tcPr>
            <w:tcW w:w="3024" w:type="dxa"/>
          </w:tcPr>
          <w:p w14:paraId="73ADF658">
            <w:pPr>
              <w:spacing w:before="40" w:after="40" w:line="276" w:lineRule="auto"/>
              <w:jc w:val="center"/>
            </w:pPr>
            <w:r>
              <w:rPr>
                <w:rFonts w:ascii="Times New Roman" w:hAnsi="Times New Roman" w:eastAsia="宋体" w:cs="Times New Roman"/>
                <w:sz w:val="24"/>
                <w:szCs w:val="24"/>
              </w:rPr>
              <w:t>DL/T 1498.2—2025表A.3；参比值按该标准A.3.3</w:t>
            </w:r>
          </w:p>
        </w:tc>
      </w:tr>
      <w:tr w14:paraId="7EF976A8">
        <w:tc>
          <w:tcPr>
            <w:tcW w:w="3024" w:type="dxa"/>
          </w:tcPr>
          <w:p w14:paraId="083A4491">
            <w:pPr>
              <w:spacing w:before="40" w:after="40" w:line="276" w:lineRule="auto"/>
              <w:jc w:val="center"/>
            </w:pPr>
            <w:r>
              <w:rPr>
                <w:rFonts w:ascii="Times New Roman" w:hAnsi="Times New Roman" w:eastAsia="宋体" w:cs="Times New Roman"/>
                <w:sz w:val="24"/>
                <w:szCs w:val="24"/>
              </w:rPr>
              <w:t>产气趋势与涨势预警</w:t>
            </w:r>
          </w:p>
        </w:tc>
        <w:tc>
          <w:tcPr>
            <w:tcW w:w="3024" w:type="dxa"/>
          </w:tcPr>
          <w:p w14:paraId="7F410FA7">
            <w:pPr>
              <w:spacing w:before="40" w:after="40" w:line="276" w:lineRule="auto"/>
              <w:jc w:val="center"/>
            </w:pPr>
            <w:r>
              <w:rPr>
                <w:rFonts w:ascii="Times New Roman" w:hAnsi="Times New Roman" w:eastAsia="宋体" w:cs="Times New Roman"/>
                <w:sz w:val="24"/>
                <w:szCs w:val="24"/>
              </w:rPr>
              <w:t>总烃月环比、涨势预警</w:t>
            </w:r>
          </w:p>
        </w:tc>
        <w:tc>
          <w:tcPr>
            <w:tcW w:w="3024" w:type="dxa"/>
          </w:tcPr>
          <w:p w14:paraId="5D477E2C">
            <w:pPr>
              <w:spacing w:before="40" w:after="40" w:line="276" w:lineRule="auto"/>
              <w:jc w:val="center"/>
            </w:pPr>
            <w:r>
              <w:rPr>
                <w:rFonts w:ascii="Times New Roman" w:hAnsi="Times New Roman" w:eastAsia="宋体" w:cs="Times New Roman"/>
                <w:sz w:val="24"/>
                <w:szCs w:val="24"/>
              </w:rPr>
              <w:t>DL/T 722—2014第9.3.2条、第9.3.3条a）</w:t>
            </w:r>
          </w:p>
        </w:tc>
      </w:tr>
      <w:tr w14:paraId="3A3ECFB8">
        <w:tc>
          <w:tcPr>
            <w:tcW w:w="3024" w:type="dxa"/>
          </w:tcPr>
          <w:p w14:paraId="73BEE6F5">
            <w:pPr>
              <w:spacing w:before="40" w:after="40" w:line="276" w:lineRule="auto"/>
              <w:jc w:val="center"/>
            </w:pPr>
            <w:r>
              <w:rPr>
                <w:rFonts w:ascii="Times New Roman" w:hAnsi="Times New Roman" w:eastAsia="宋体" w:cs="Times New Roman"/>
                <w:sz w:val="24"/>
                <w:szCs w:val="24"/>
              </w:rPr>
              <w:t>处置紧急度</w:t>
            </w:r>
          </w:p>
        </w:tc>
        <w:tc>
          <w:tcPr>
            <w:tcW w:w="3024" w:type="dxa"/>
          </w:tcPr>
          <w:p w14:paraId="011BFEFD">
            <w:pPr>
              <w:spacing w:before="40" w:after="40" w:line="276" w:lineRule="auto"/>
              <w:jc w:val="center"/>
            </w:pPr>
            <w:r>
              <w:rPr>
                <w:rFonts w:ascii="Times New Roman" w:hAnsi="Times New Roman" w:eastAsia="宋体" w:cs="Times New Roman"/>
                <w:sz w:val="24"/>
                <w:szCs w:val="24"/>
              </w:rPr>
              <w:t>高、中、低</w:t>
            </w:r>
          </w:p>
        </w:tc>
        <w:tc>
          <w:tcPr>
            <w:tcW w:w="3024" w:type="dxa"/>
          </w:tcPr>
          <w:p w14:paraId="6B42B917">
            <w:pPr>
              <w:spacing w:before="40" w:after="40" w:line="276" w:lineRule="auto"/>
              <w:jc w:val="center"/>
            </w:pPr>
            <w:r>
              <w:rPr>
                <w:rFonts w:ascii="Times New Roman" w:hAnsi="Times New Roman" w:eastAsia="宋体" w:cs="Times New Roman"/>
                <w:sz w:val="24"/>
                <w:szCs w:val="24"/>
              </w:rPr>
              <w:t>DL/T 722—2014第9.3.3条</w:t>
            </w:r>
          </w:p>
        </w:tc>
      </w:tr>
      <w:tr w14:paraId="6F0D1D2E">
        <w:tc>
          <w:tcPr>
            <w:tcW w:w="3024" w:type="dxa"/>
          </w:tcPr>
          <w:p w14:paraId="70FA3537">
            <w:pPr>
              <w:spacing w:before="40" w:after="40" w:line="276" w:lineRule="auto"/>
              <w:jc w:val="center"/>
            </w:pPr>
            <w:r>
              <w:rPr>
                <w:rFonts w:ascii="Times New Roman" w:hAnsi="Times New Roman" w:eastAsia="宋体" w:cs="Times New Roman"/>
                <w:sz w:val="24"/>
                <w:szCs w:val="24"/>
              </w:rPr>
              <w:t>特征气体法</w:t>
            </w:r>
          </w:p>
        </w:tc>
        <w:tc>
          <w:tcPr>
            <w:tcW w:w="3024" w:type="dxa"/>
          </w:tcPr>
          <w:p w14:paraId="203DA718">
            <w:pPr>
              <w:spacing w:before="40" w:after="40" w:line="276" w:lineRule="auto"/>
              <w:jc w:val="center"/>
            </w:pPr>
            <w:r>
              <w:rPr>
                <w:rFonts w:ascii="Times New Roman" w:hAnsi="Times New Roman" w:eastAsia="宋体" w:cs="Times New Roman"/>
                <w:sz w:val="24"/>
                <w:szCs w:val="24"/>
              </w:rPr>
              <w:t>故障类型（对照表5）</w:t>
            </w:r>
          </w:p>
        </w:tc>
        <w:tc>
          <w:tcPr>
            <w:tcW w:w="3024" w:type="dxa"/>
          </w:tcPr>
          <w:p w14:paraId="61D10BDA">
            <w:pPr>
              <w:spacing w:before="40" w:after="40" w:line="276" w:lineRule="auto"/>
              <w:jc w:val="center"/>
            </w:pPr>
            <w:r>
              <w:rPr>
                <w:rFonts w:ascii="Times New Roman" w:hAnsi="Times New Roman" w:eastAsia="宋体" w:cs="Times New Roman"/>
                <w:sz w:val="24"/>
                <w:szCs w:val="24"/>
              </w:rPr>
              <w:t>DL/T 722—2014表5</w:t>
            </w:r>
          </w:p>
        </w:tc>
      </w:tr>
      <w:tr w14:paraId="596FB4F2">
        <w:tc>
          <w:tcPr>
            <w:tcW w:w="3024" w:type="dxa"/>
          </w:tcPr>
          <w:p w14:paraId="47395173">
            <w:pPr>
              <w:spacing w:before="40" w:after="40" w:line="276" w:lineRule="auto"/>
              <w:jc w:val="center"/>
            </w:pPr>
            <w:r>
              <w:rPr>
                <w:rFonts w:ascii="Times New Roman" w:hAnsi="Times New Roman" w:eastAsia="宋体" w:cs="Times New Roman"/>
                <w:sz w:val="24"/>
                <w:szCs w:val="24"/>
              </w:rPr>
              <w:t>三比值法</w:t>
            </w:r>
          </w:p>
        </w:tc>
        <w:tc>
          <w:tcPr>
            <w:tcW w:w="3024" w:type="dxa"/>
          </w:tcPr>
          <w:p w14:paraId="475F8700">
            <w:pPr>
              <w:spacing w:before="40" w:after="40" w:line="276" w:lineRule="auto"/>
              <w:jc w:val="center"/>
            </w:pPr>
            <w:r>
              <w:rPr>
                <w:rFonts w:ascii="Times New Roman" w:hAnsi="Times New Roman" w:eastAsia="宋体" w:cs="Times New Roman"/>
                <w:sz w:val="24"/>
                <w:szCs w:val="24"/>
              </w:rPr>
              <w:t>编码与故障类型（对照表6、表7）</w:t>
            </w:r>
          </w:p>
        </w:tc>
        <w:tc>
          <w:tcPr>
            <w:tcW w:w="3024" w:type="dxa"/>
          </w:tcPr>
          <w:p w14:paraId="7767D49F">
            <w:pPr>
              <w:spacing w:before="40" w:after="40" w:line="276" w:lineRule="auto"/>
              <w:jc w:val="center"/>
            </w:pPr>
            <w:r>
              <w:rPr>
                <w:rFonts w:ascii="Times New Roman" w:hAnsi="Times New Roman" w:eastAsia="宋体" w:cs="Times New Roman"/>
                <w:sz w:val="24"/>
                <w:szCs w:val="24"/>
              </w:rPr>
              <w:t>DL/T 722—2014表6、表7</w:t>
            </w:r>
          </w:p>
        </w:tc>
      </w:tr>
      <w:tr w14:paraId="41F40CC8">
        <w:tc>
          <w:tcPr>
            <w:tcW w:w="3024" w:type="dxa"/>
          </w:tcPr>
          <w:p w14:paraId="04BAABAA">
            <w:pPr>
              <w:spacing w:before="40" w:after="40" w:line="276" w:lineRule="auto"/>
              <w:jc w:val="center"/>
            </w:pPr>
            <w:r>
              <w:rPr>
                <w:rFonts w:ascii="Times New Roman" w:hAnsi="Times New Roman" w:eastAsia="宋体" w:cs="Times New Roman"/>
                <w:sz w:val="24"/>
                <w:szCs w:val="24"/>
              </w:rPr>
              <w:t>大卫三角形法</w:t>
            </w:r>
          </w:p>
        </w:tc>
        <w:tc>
          <w:tcPr>
            <w:tcW w:w="3024" w:type="dxa"/>
          </w:tcPr>
          <w:p w14:paraId="71B9ABFE">
            <w:pPr>
              <w:spacing w:before="40" w:after="40" w:line="276" w:lineRule="auto"/>
              <w:jc w:val="center"/>
            </w:pPr>
            <w:r>
              <w:rPr>
                <w:rFonts w:ascii="Times New Roman" w:hAnsi="Times New Roman" w:eastAsia="宋体" w:cs="Times New Roman"/>
                <w:sz w:val="24"/>
                <w:szCs w:val="24"/>
              </w:rPr>
              <w:t>分区与故障类型</w:t>
            </w:r>
          </w:p>
        </w:tc>
        <w:tc>
          <w:tcPr>
            <w:tcW w:w="3024" w:type="dxa"/>
          </w:tcPr>
          <w:p w14:paraId="23C0C37B">
            <w:pPr>
              <w:spacing w:before="40" w:after="40" w:line="276" w:lineRule="auto"/>
              <w:jc w:val="center"/>
            </w:pPr>
            <w:r>
              <w:rPr>
                <w:rFonts w:ascii="Times New Roman" w:hAnsi="Times New Roman" w:eastAsia="宋体" w:cs="Times New Roman"/>
                <w:sz w:val="24"/>
                <w:szCs w:val="24"/>
              </w:rPr>
              <w:t>DL/T 722—2014附录C</w:t>
            </w:r>
          </w:p>
        </w:tc>
      </w:tr>
      <w:tr w14:paraId="128370E8">
        <w:tc>
          <w:tcPr>
            <w:tcW w:w="3024" w:type="dxa"/>
          </w:tcPr>
          <w:p w14:paraId="5833968E">
            <w:pPr>
              <w:spacing w:before="40" w:after="40" w:line="276" w:lineRule="auto"/>
              <w:jc w:val="center"/>
            </w:pPr>
            <w:r>
              <w:rPr>
                <w:rFonts w:ascii="Times New Roman" w:hAnsi="Times New Roman" w:eastAsia="宋体" w:cs="Times New Roman"/>
                <w:sz w:val="24"/>
                <w:szCs w:val="24"/>
              </w:rPr>
              <w:t>交叉研判与可信度</w:t>
            </w:r>
          </w:p>
        </w:tc>
        <w:tc>
          <w:tcPr>
            <w:tcW w:w="3024" w:type="dxa"/>
          </w:tcPr>
          <w:p w14:paraId="2E422647">
            <w:pPr>
              <w:spacing w:before="40" w:after="40" w:line="276" w:lineRule="auto"/>
              <w:jc w:val="center"/>
            </w:pPr>
            <w:r>
              <w:rPr>
                <w:rFonts w:ascii="Times New Roman" w:hAnsi="Times New Roman" w:eastAsia="宋体" w:cs="Times New Roman"/>
                <w:sz w:val="24"/>
                <w:szCs w:val="24"/>
              </w:rPr>
              <w:t>主结论、可信度、暂定标志</w:t>
            </w:r>
          </w:p>
        </w:tc>
        <w:tc>
          <w:tcPr>
            <w:tcW w:w="3024" w:type="dxa"/>
          </w:tcPr>
          <w:p w14:paraId="27824DDD">
            <w:pPr>
              <w:spacing w:before="40" w:after="40" w:line="276" w:lineRule="auto"/>
              <w:jc w:val="center"/>
            </w:pPr>
            <w:r>
              <w:rPr>
                <w:rFonts w:ascii="Times New Roman" w:hAnsi="Times New Roman" w:eastAsia="宋体" w:cs="Times New Roman"/>
                <w:sz w:val="24"/>
                <w:szCs w:val="24"/>
              </w:rPr>
              <w:t>本文第3章方法</w:t>
            </w:r>
          </w:p>
        </w:tc>
      </w:tr>
      <w:tr w14:paraId="3EAA8028">
        <w:tc>
          <w:tcPr>
            <w:tcW w:w="3024" w:type="dxa"/>
          </w:tcPr>
          <w:p w14:paraId="59801949">
            <w:pPr>
              <w:spacing w:before="40" w:after="40" w:line="276" w:lineRule="auto"/>
              <w:jc w:val="center"/>
            </w:pPr>
            <w:r>
              <w:rPr>
                <w:rFonts w:ascii="Times New Roman" w:hAnsi="Times New Roman" w:eastAsia="宋体" w:cs="Times New Roman"/>
                <w:sz w:val="24"/>
                <w:szCs w:val="24"/>
              </w:rPr>
              <w:t>试验建议</w:t>
            </w:r>
          </w:p>
        </w:tc>
        <w:tc>
          <w:tcPr>
            <w:tcW w:w="3024" w:type="dxa"/>
          </w:tcPr>
          <w:p w14:paraId="7742D761">
            <w:pPr>
              <w:spacing w:before="40" w:after="40" w:line="276" w:lineRule="auto"/>
              <w:jc w:val="center"/>
            </w:pPr>
            <w:r>
              <w:rPr>
                <w:rFonts w:ascii="Times New Roman" w:hAnsi="Times New Roman" w:eastAsia="宋体" w:cs="Times New Roman"/>
                <w:sz w:val="24"/>
                <w:szCs w:val="24"/>
              </w:rPr>
              <w:t>试验项目清单</w:t>
            </w:r>
          </w:p>
        </w:tc>
        <w:tc>
          <w:tcPr>
            <w:tcW w:w="3024" w:type="dxa"/>
          </w:tcPr>
          <w:p w14:paraId="14A14370">
            <w:pPr>
              <w:spacing w:before="40" w:after="40" w:line="276" w:lineRule="auto"/>
              <w:jc w:val="center"/>
            </w:pPr>
            <w:r>
              <w:rPr>
                <w:rFonts w:ascii="Times New Roman" w:hAnsi="Times New Roman" w:eastAsia="宋体" w:cs="Times New Roman"/>
                <w:sz w:val="24"/>
                <w:szCs w:val="24"/>
              </w:rPr>
              <w:t>DL/T 722—2014附录D；DL/T 1685—2017附录B</w:t>
            </w:r>
          </w:p>
        </w:tc>
      </w:tr>
      <w:tr w14:paraId="6D2A45A8">
        <w:tc>
          <w:tcPr>
            <w:tcW w:w="3024" w:type="dxa"/>
          </w:tcPr>
          <w:p w14:paraId="51540F70">
            <w:pPr>
              <w:spacing w:before="40" w:after="40" w:line="276" w:lineRule="auto"/>
              <w:jc w:val="center"/>
            </w:pPr>
            <w:r>
              <w:rPr>
                <w:rFonts w:ascii="Times New Roman" w:hAnsi="Times New Roman" w:eastAsia="宋体" w:cs="Times New Roman"/>
                <w:sz w:val="24"/>
                <w:szCs w:val="24"/>
              </w:rPr>
              <w:t>监测决策</w:t>
            </w:r>
          </w:p>
        </w:tc>
        <w:tc>
          <w:tcPr>
            <w:tcW w:w="3024" w:type="dxa"/>
          </w:tcPr>
          <w:p w14:paraId="63A75067">
            <w:pPr>
              <w:spacing w:before="40" w:after="40" w:line="276" w:lineRule="auto"/>
              <w:jc w:val="center"/>
            </w:pPr>
            <w:r>
              <w:rPr>
                <w:rFonts w:ascii="Times New Roman" w:hAnsi="Times New Roman" w:eastAsia="宋体" w:cs="Times New Roman"/>
                <w:sz w:val="24"/>
                <w:szCs w:val="24"/>
              </w:rPr>
              <w:t>检测周期、二次采样建议</w:t>
            </w:r>
          </w:p>
        </w:tc>
        <w:tc>
          <w:tcPr>
            <w:tcW w:w="3024" w:type="dxa"/>
          </w:tcPr>
          <w:p w14:paraId="75F197A4">
            <w:pPr>
              <w:spacing w:before="40" w:after="40" w:line="276" w:lineRule="auto"/>
              <w:jc w:val="center"/>
            </w:pPr>
            <w:r>
              <w:rPr>
                <w:rFonts w:ascii="Times New Roman" w:hAnsi="Times New Roman" w:eastAsia="宋体" w:cs="Times New Roman"/>
                <w:sz w:val="24"/>
                <w:szCs w:val="24"/>
              </w:rPr>
              <w:t>DL/T 1498.2—2025中A.3.1、第5.5.5条、第5.4.5条；DL/T 722—2014第9.3.3条</w:t>
            </w:r>
          </w:p>
        </w:tc>
      </w:tr>
      <w:tr w14:paraId="02028557">
        <w:tc>
          <w:tcPr>
            <w:tcW w:w="3024" w:type="dxa"/>
          </w:tcPr>
          <w:p w14:paraId="2402C955">
            <w:pPr>
              <w:spacing w:before="40" w:after="40" w:line="276" w:lineRule="auto"/>
              <w:jc w:val="center"/>
            </w:pPr>
            <w:r>
              <w:rPr>
                <w:rFonts w:ascii="Times New Roman" w:hAnsi="Times New Roman" w:eastAsia="宋体" w:cs="Times New Roman"/>
                <w:sz w:val="24"/>
                <w:szCs w:val="24"/>
              </w:rPr>
              <w:t>报告</w:t>
            </w:r>
          </w:p>
        </w:tc>
        <w:tc>
          <w:tcPr>
            <w:tcW w:w="3024" w:type="dxa"/>
          </w:tcPr>
          <w:p w14:paraId="52C89D6C">
            <w:pPr>
              <w:spacing w:before="40" w:after="40" w:line="276" w:lineRule="auto"/>
              <w:jc w:val="center"/>
            </w:pPr>
            <w:r>
              <w:rPr>
                <w:rFonts w:ascii="Times New Roman" w:hAnsi="Times New Roman" w:eastAsia="宋体" w:cs="Times New Roman"/>
                <w:sz w:val="24"/>
                <w:szCs w:val="24"/>
              </w:rPr>
              <w:t>分析报告及PDF</w:t>
            </w:r>
          </w:p>
        </w:tc>
        <w:tc>
          <w:tcPr>
            <w:tcW w:w="3024" w:type="dxa"/>
          </w:tcPr>
          <w:p w14:paraId="35BBE12C">
            <w:r>
              <w:t>DL/T 722—2014</w:t>
            </w:r>
          </w:p>
        </w:tc>
      </w:tr>
      <w:tr w14:paraId="025E2C68">
        <w:tc>
          <w:tcPr>
            <w:tcW w:w="3024" w:type="dxa"/>
          </w:tcPr>
          <w:p w14:paraId="6F783BBD">
            <w:pPr>
              <w:spacing w:before="40" w:after="40" w:line="276" w:lineRule="auto"/>
              <w:jc w:val="center"/>
            </w:pPr>
            <w:r>
              <w:rPr>
                <w:rFonts w:ascii="Times New Roman" w:hAnsi="Times New Roman" w:eastAsia="宋体" w:cs="Times New Roman"/>
                <w:sz w:val="24"/>
                <w:szCs w:val="24"/>
              </w:rPr>
              <w:t>智能体工作流</w:t>
            </w:r>
          </w:p>
        </w:tc>
        <w:tc>
          <w:tcPr>
            <w:tcW w:w="3024" w:type="dxa"/>
          </w:tcPr>
          <w:p w14:paraId="39B36573">
            <w:pPr>
              <w:spacing w:before="40" w:after="40" w:line="276" w:lineRule="auto"/>
              <w:jc w:val="center"/>
            </w:pPr>
            <w:r>
              <w:rPr>
                <w:rFonts w:ascii="Times New Roman" w:hAnsi="Times New Roman" w:eastAsia="宋体" w:cs="Times New Roman"/>
                <w:sz w:val="24"/>
                <w:szCs w:val="24"/>
              </w:rPr>
              <w:t>七步编排与运行日志</w:t>
            </w:r>
          </w:p>
        </w:tc>
        <w:tc>
          <w:tcPr>
            <w:tcW w:w="3024" w:type="dxa"/>
          </w:tcPr>
          <w:p w14:paraId="2B2512A5">
            <w:pPr>
              <w:spacing w:before="40" w:after="40" w:line="276" w:lineRule="auto"/>
              <w:jc w:val="center"/>
            </w:pPr>
            <w:r>
              <w:rPr>
                <w:rFonts w:ascii="Times New Roman" w:hAnsi="Times New Roman" w:eastAsia="宋体" w:cs="Times New Roman"/>
                <w:sz w:val="24"/>
                <w:szCs w:val="24"/>
              </w:rPr>
              <w:t>七步顺序由本系统固定编排（本文第4章）</w:t>
            </w:r>
          </w:p>
        </w:tc>
      </w:tr>
      <w:tr w14:paraId="2D7008B0">
        <w:tc>
          <w:tcPr>
            <w:tcW w:w="3024" w:type="dxa"/>
          </w:tcPr>
          <w:p w14:paraId="35F86B8A">
            <w:pPr>
              <w:spacing w:before="40" w:after="40" w:line="276" w:lineRule="auto"/>
              <w:jc w:val="center"/>
            </w:pPr>
            <w:r>
              <w:rPr>
                <w:rFonts w:ascii="Times New Roman" w:hAnsi="Times New Roman" w:eastAsia="宋体" w:cs="Times New Roman"/>
                <w:sz w:val="24"/>
                <w:szCs w:val="24"/>
              </w:rPr>
              <w:t>分析助手</w:t>
            </w:r>
          </w:p>
        </w:tc>
        <w:tc>
          <w:tcPr>
            <w:tcW w:w="3024" w:type="dxa"/>
          </w:tcPr>
          <w:p w14:paraId="1A860571">
            <w:pPr>
              <w:spacing w:before="40" w:after="40" w:line="276" w:lineRule="auto"/>
              <w:jc w:val="center"/>
            </w:pPr>
            <w:r>
              <w:rPr>
                <w:rFonts w:ascii="Times New Roman" w:hAnsi="Times New Roman" w:eastAsia="宋体" w:cs="Times New Roman"/>
                <w:sz w:val="24"/>
                <w:szCs w:val="24"/>
              </w:rPr>
              <w:t>触发分析、依据解释、标准问答</w:t>
            </w:r>
          </w:p>
        </w:tc>
        <w:tc>
          <w:tcPr>
            <w:tcW w:w="3024" w:type="dxa"/>
          </w:tcPr>
          <w:p w14:paraId="49FE9442">
            <w:pPr>
              <w:spacing w:before="40" w:after="40" w:line="276" w:lineRule="auto"/>
              <w:jc w:val="center"/>
            </w:pPr>
            <w:r>
              <w:rPr>
                <w:rFonts w:ascii="Times New Roman" w:hAnsi="Times New Roman" w:eastAsia="宋体" w:cs="Times New Roman"/>
                <w:sz w:val="24"/>
                <w:szCs w:val="24"/>
              </w:rPr>
              <w:t>调用上述模块与同一套七步编排</w:t>
            </w:r>
          </w:p>
        </w:tc>
      </w:tr>
    </w:tbl>
    <w:p w14:paraId="28FE9EED"/>
    <w:p w14:paraId="49BB9A41">
      <w:pPr>
        <w:pStyle w:val="4"/>
      </w:pPr>
      <w:r>
        <w:t>附录B　通用大语言模型直接作答对话摘录</w:t>
      </w:r>
    </w:p>
    <w:p w14:paraId="7E094C92">
      <w:pPr>
        <w:pStyle w:val="3"/>
      </w:pPr>
      <w:r>
        <w:t>本附录收录第4.8.5节2024-08-09监测日示例对照的对话截图，与正文表4.2对应。通义千问所用模型为Qwen3.7，豆包所用为专家模式（2.1 Turbo）。</w:t>
      </w:r>
    </w:p>
    <w:p w14:paraId="10FE8293">
      <w:pPr>
        <w:pStyle w:val="3"/>
      </w:pPr>
      <w:r>
        <w:rPr>
          <w:b/>
        </w:rPr>
        <w:t>图B1　通义千问直接作答（仅提供当日气体数据）</w:t>
      </w:r>
    </w:p>
    <w:p w14:paraId="7EC1F22E">
      <w:r>
        <w:drawing>
          <wp:inline distT="0" distB="0" distL="114300" distR="114300">
            <wp:extent cx="5039995" cy="6042660"/>
            <wp:effectExtent l="0" t="0" r="14605"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2"/>
                    <a:stretch>
                      <a:fillRect/>
                    </a:stretch>
                  </pic:blipFill>
                  <pic:spPr>
                    <a:xfrm>
                      <a:off x="0" y="0"/>
                      <a:ext cx="5040000" cy="6043279"/>
                    </a:xfrm>
                    <a:prstGeom prst="rect">
                      <a:avLst/>
                    </a:prstGeom>
                  </pic:spPr>
                </pic:pic>
              </a:graphicData>
            </a:graphic>
          </wp:inline>
        </w:drawing>
      </w:r>
    </w:p>
    <w:p w14:paraId="000CC732">
      <w:pPr>
        <w:pStyle w:val="3"/>
      </w:pPr>
      <w:r>
        <w:rPr>
          <w:sz w:val="21"/>
        </w:rPr>
        <w:t>图B2　豆包直接作答（一）</w:t>
      </w:r>
    </w:p>
    <w:p w14:paraId="6087A1F0">
      <w:r>
        <w:drawing>
          <wp:inline distT="0" distB="0" distL="114300" distR="114300">
            <wp:extent cx="5039995" cy="6541135"/>
            <wp:effectExtent l="0" t="0" r="14605" b="1206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3"/>
                    <a:stretch>
                      <a:fillRect/>
                    </a:stretch>
                  </pic:blipFill>
                  <pic:spPr>
                    <a:xfrm>
                      <a:off x="0" y="0"/>
                      <a:ext cx="5040000" cy="6541141"/>
                    </a:xfrm>
                    <a:prstGeom prst="rect">
                      <a:avLst/>
                    </a:prstGeom>
                  </pic:spPr>
                </pic:pic>
              </a:graphicData>
            </a:graphic>
          </wp:inline>
        </w:drawing>
      </w:r>
    </w:p>
    <w:p w14:paraId="3A7F43AA">
      <w:pPr>
        <w:pStyle w:val="3"/>
      </w:pPr>
      <w:r>
        <w:rPr>
          <w:sz w:val="21"/>
        </w:rPr>
        <w:t>图B3　豆包直接作答（二）</w:t>
      </w:r>
    </w:p>
    <w:p w14:paraId="418D10C1">
      <w:r>
        <w:drawing>
          <wp:inline distT="0" distB="0" distL="114300" distR="114300">
            <wp:extent cx="5039995" cy="6541135"/>
            <wp:effectExtent l="0" t="0" r="14605" b="120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4"/>
                    <a:stretch>
                      <a:fillRect/>
                    </a:stretch>
                  </pic:blipFill>
                  <pic:spPr>
                    <a:xfrm>
                      <a:off x="0" y="0"/>
                      <a:ext cx="5040000" cy="6541141"/>
                    </a:xfrm>
                    <a:prstGeom prst="rect">
                      <a:avLst/>
                    </a:prstGeom>
                  </pic:spPr>
                </pic:pic>
              </a:graphicData>
            </a:graphic>
          </wp:inline>
        </w:drawing>
      </w:r>
    </w:p>
    <w:sectPr>
      <w:headerReference r:id="rId21" w:type="first"/>
      <w:headerReference r:id="rId19" w:type="default"/>
      <w:footerReference r:id="rId22" w:type="default"/>
      <w:headerReference r:id="rId20" w:type="even"/>
      <w:pgSz w:w="11906" w:h="16838"/>
      <w:pgMar w:top="1701" w:right="1417" w:bottom="1418" w:left="1417" w:header="510" w:footer="851"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00"/>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Arial Unicode MS">
    <w:panose1 w:val="020B0604020202020204"/>
    <w:charset w:val="86"/>
    <w:family w:val="roman"/>
    <w:pitch w:val="default"/>
    <w:sig w:usb0="FFFFFFFF" w:usb1="E9FFFFFF" w:usb2="0000003F" w:usb3="00000000" w:csb0="603F01FF" w:csb1="FFFF0000"/>
  </w:font>
  <w:font w:name="Lucida Console">
    <w:altName w:val="苹方-简"/>
    <w:panose1 w:val="020B0609040504020204"/>
    <w:charset w:val="00"/>
    <w:family w:val="modern"/>
    <w:pitch w:val="default"/>
    <w:sig w:usb0="00000000" w:usb1="00000000" w:usb2="00000000" w:usb3="00000000" w:csb0="0000001F" w:csb1="00000000"/>
  </w:font>
  <w:font w:name="苹方-简">
    <w:panose1 w:val="020B0400000000000000"/>
    <w:charset w:val="86"/>
    <w:family w:val="auto"/>
    <w:pitch w:val="default"/>
    <w:sig w:usb0="A00002FF" w:usb1="7ACFFDFB" w:usb2="00000017" w:usb3="00000000" w:csb0="00040001" w:csb1="00000000"/>
  </w:font>
  <w:font w:name="华文行楷">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BF4C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4B242">
    <w:pPr>
      <w:pStyle w:val="26"/>
      <w:framePr w:wrap="around" w:vAnchor="text" w:hAnchor="margin" w:xAlign="center" w:y="1"/>
      <w:rPr>
        <w:rStyle w:val="41"/>
      </w:rPr>
    </w:pPr>
    <w:r>
      <w:fldChar w:fldCharType="begin"/>
    </w:r>
    <w:r>
      <w:rPr>
        <w:rStyle w:val="41"/>
      </w:rPr>
      <w:instrText xml:space="preserve">PAGE  </w:instrText>
    </w:r>
    <w:r>
      <w:fldChar w:fldCharType="end"/>
    </w:r>
  </w:p>
  <w:p w14:paraId="465DE888">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FB618">
    <w:pPr>
      <w:pStyle w:val="2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E960E">
    <w:pPr>
      <w:pStyle w:val="2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DF0A2">
    <w:pPr>
      <w:pStyle w:val="2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027A8">
    <w:pPr>
      <w:pStyle w:val="2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60FCD">
    <w:pPr>
      <w:pStyle w:val="2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2257F">
    <w:pPr>
      <w:pStyle w:val="2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4A8C8">
    <w:pPr>
      <w:pStyle w:val="27"/>
      <w:pBdr>
        <w:bottom w:val="none" w:color="auto" w:sz="0" w:space="0"/>
      </w:pBdr>
      <w:jc w:val="both"/>
      <w:rPr>
        <w:rFonts w:hint="eastAsia" w:eastAsia="黑体"/>
        <w:sz w:val="3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FDBD5">
    <w:pPr>
      <w:pStyle w:val="27"/>
      <w:pBdr>
        <w:bottom w:val="none" w:color="auto" w:sz="0" w:space="0"/>
      </w:pBdr>
      <w:jc w:val="both"/>
      <w:rPr>
        <w:rFonts w:hint="eastAsia" w:eastAsia="宋体"/>
        <w:sz w:val="28"/>
        <w:szCs w:val="28"/>
      </w:rPr>
    </w:pPr>
  </w:p>
  <w:p w14:paraId="37E287C4">
    <w:pPr>
      <w:pStyle w:val="27"/>
      <w:pBdr>
        <w:bottom w:val="none" w:color="auto" w:sz="0" w:space="0"/>
      </w:pBdr>
      <w:ind w:firstLine="1350" w:firstLineChars="750"/>
      <w:jc w:val="both"/>
      <w:rPr>
        <w:rFonts w:hint="eastAsia" w:eastAsia="黑体"/>
        <w:szCs w:val="28"/>
      </w:rPr>
    </w:pPr>
  </w:p>
  <w:p w14:paraId="0A123375">
    <w:pPr>
      <w:pStyle w:val="27"/>
      <w:pBdr>
        <w:bottom w:val="none" w:color="auto" w:sz="0" w:space="0"/>
      </w:pBdr>
      <w:ind w:firstLine="1800" w:firstLineChars="750"/>
      <w:jc w:val="both"/>
      <w:rPr>
        <w:rFonts w:hint="eastAsia" w:eastAsia="黑体"/>
        <w:sz w:val="24"/>
        <w:szCs w:val="28"/>
      </w:rPr>
    </w:pPr>
  </w:p>
  <w:p w14:paraId="72B627A1">
    <w:pPr>
      <w:pStyle w:val="27"/>
      <w:pBdr>
        <w:bottom w:val="none" w:color="auto" w:sz="0" w:space="0"/>
      </w:pBdr>
      <w:jc w:val="both"/>
      <w:rPr>
        <w:rFonts w:hint="eastAsia" w:ascii="宋体" w:hAnsi="宋体"/>
      </w:rPr>
    </w:pPr>
    <w:r>
      <w:rPr>
        <w:rFonts w:hint="eastAsia" w:ascii="宋体" w:hAnsi="宋体"/>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0CB61">
    <w:pPr>
      <w:pStyle w:val="2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CA00F">
    <w:pPr>
      <w:pStyle w:val="2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631C6">
    <w:pPr>
      <w:pStyle w:val="27"/>
      <w:pBdr>
        <w:bottom w:val="none" w:color="auto" w:sz="0" w:space="0"/>
      </w:pBdr>
      <w:jc w:val="both"/>
      <w:rPr>
        <w:rFonts w:hint="eastAsia" w:eastAsia="宋体"/>
        <w:sz w:val="28"/>
        <w:szCs w:val="28"/>
      </w:rPr>
    </w:pPr>
  </w:p>
  <w:p w14:paraId="74281ACB">
    <w:pPr>
      <w:pStyle w:val="27"/>
      <w:pBdr>
        <w:bottom w:val="none" w:color="auto" w:sz="0" w:space="0"/>
      </w:pBdr>
      <w:ind w:firstLine="1350" w:firstLineChars="750"/>
      <w:jc w:val="both"/>
      <w:rPr>
        <w:rFonts w:hint="eastAsia" w:eastAsia="黑体"/>
        <w:szCs w:val="28"/>
      </w:rPr>
    </w:pPr>
  </w:p>
  <w:p w14:paraId="3C633171">
    <w:pPr>
      <w:pStyle w:val="27"/>
      <w:pBdr>
        <w:bottom w:val="none" w:color="auto" w:sz="0" w:space="0"/>
      </w:pBdr>
      <w:ind w:firstLine="1800" w:firstLineChars="750"/>
      <w:jc w:val="both"/>
      <w:rPr>
        <w:rFonts w:hint="eastAsia" w:eastAsia="黑体"/>
        <w:sz w:val="24"/>
        <w:szCs w:val="28"/>
      </w:rPr>
    </w:pPr>
  </w:p>
  <w:p w14:paraId="26061027">
    <w:pPr>
      <w:pStyle w:val="27"/>
      <w:pBdr>
        <w:bottom w:val="none" w:color="auto" w:sz="0" w:space="0"/>
      </w:pBdr>
      <w:jc w:val="both"/>
      <w:rPr>
        <w:rFonts w:hint="eastAsia" w:ascii="宋体" w:hAnsi="宋体"/>
      </w:rPr>
    </w:pPr>
    <w:r>
      <w:rPr>
        <w:rFonts w:hint="eastAsia" w:ascii="宋体" w:hAnsi="宋体"/>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AE6BD">
    <w:pPr>
      <w:pStyle w:val="27"/>
      <w:pBdr>
        <w:bottom w:val="none" w:color="auto" w:sz="0" w:space="0"/>
      </w:pBdr>
      <w:jc w:val="both"/>
      <w:rPr>
        <w:rFonts w:hint="eastAsia" w:eastAsia="宋体"/>
        <w:sz w:val="28"/>
        <w:szCs w:val="28"/>
      </w:rPr>
    </w:pPr>
  </w:p>
  <w:p w14:paraId="315D3D0F">
    <w:pPr>
      <w:pStyle w:val="27"/>
      <w:pBdr>
        <w:bottom w:val="none" w:color="auto" w:sz="0" w:space="0"/>
      </w:pBdr>
      <w:ind w:firstLine="1350" w:firstLineChars="750"/>
      <w:jc w:val="both"/>
      <w:rPr>
        <w:rFonts w:hint="eastAsia" w:eastAsia="黑体"/>
        <w:szCs w:val="28"/>
      </w:rPr>
    </w:pPr>
  </w:p>
  <w:p w14:paraId="0F09E3B3">
    <w:pPr>
      <w:pStyle w:val="27"/>
      <w:pBdr>
        <w:bottom w:val="none" w:color="auto" w:sz="0" w:space="0"/>
      </w:pBdr>
      <w:ind w:firstLine="1800" w:firstLineChars="750"/>
      <w:jc w:val="both"/>
      <w:rPr>
        <w:rFonts w:hint="eastAsia" w:eastAsia="黑体"/>
        <w:sz w:val="24"/>
        <w:szCs w:val="28"/>
      </w:rPr>
    </w:pPr>
  </w:p>
  <w:p w14:paraId="73D4376D">
    <w:pPr>
      <w:pStyle w:val="27"/>
      <w:pBdr>
        <w:bottom w:val="none" w:color="auto" w:sz="0" w:space="0"/>
      </w:pBdr>
      <w:jc w:val="both"/>
      <w:rPr>
        <w:rFonts w:hint="eastAsia" w:ascii="宋体" w:hAnsi="宋体"/>
      </w:rPr>
    </w:pPr>
    <w:r>
      <w:rPr>
        <w:rFonts w:hint="eastAsia" w:ascii="宋体" w:hAnsi="宋体"/>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33EB9">
    <w:pPr>
      <w:pStyle w:val="27"/>
      <w:pBdr>
        <w:bottom w:val="none" w:color="auto" w:sz="0" w:space="0"/>
      </w:pBdr>
      <w:tabs>
        <w:tab w:val="left" w:pos="6600"/>
        <w:tab w:val="clear" w:pos="4153"/>
        <w:tab w:val="clear" w:pos="8306"/>
      </w:tabs>
      <w:ind w:firstLine="1575" w:firstLineChars="750"/>
      <w:jc w:val="both"/>
      <w:rPr>
        <w:rFonts w:hint="eastAsia" w:eastAsia="宋体"/>
        <w:kern w:val="0"/>
        <w:sz w:val="21"/>
        <w:szCs w:val="21"/>
      </w:rPr>
    </w:pPr>
    <w:r>
      <w:rPr>
        <w:rFonts w:ascii="Times New Roman" w:hAnsi="Times New Roman" w:eastAsia="宋体" w:cs="Times New Roman"/>
        <w:b w:val="0"/>
        <w:kern w:val="0"/>
        <w:sz w:val="21"/>
        <w:szCs w:val="21"/>
      </w:rPr>
      <w:tab/>
    </w:r>
  </w:p>
  <w:p w14:paraId="71106BA1">
    <w:pPr>
      <w:pStyle w:val="27"/>
      <w:pBdr>
        <w:bottom w:val="none" w:color="auto" w:sz="0" w:space="0"/>
      </w:pBdr>
      <w:jc w:val="both"/>
      <w:rPr>
        <w:rFonts w:hint="eastAsia" w:ascii="宋体" w:hAnsi="宋体"/>
      </w:rPr>
    </w:pPr>
    <w:r>
      <w:rPr>
        <w:rFonts w:hint="eastAsia" w:ascii="Times New Roman" w:hAnsi="Times New Roman" w:eastAsia="宋体" w:cs="Times New Roman"/>
        <w:b w:val="0"/>
        <w:sz w:val="21"/>
        <w:szCs w:val="21"/>
      </w:rPr>
      <w:t xml:space="preserve">                                                </w:t>
    </w:r>
  </w:p>
  <w:p w14:paraId="223938DB">
    <w:pPr>
      <w:pStyle w:val="27"/>
      <w:pBdr>
        <w:bottom w:val="none" w:color="auto" w:sz="0" w:space="0"/>
      </w:pBdr>
      <w:jc w:val="both"/>
      <w:rPr>
        <w:rFonts w:hint="eastAsia" w:ascii="宋体" w:hAnsi="宋体"/>
      </w:rPr>
    </w:pPr>
    <w:r>
      <w:rPr>
        <w:rFonts w:hint="eastAsia" w:ascii="Times New Roman" w:hAnsi="Times New Roman" w:eastAsia="宋体" w:cs="Times New Roman"/>
        <w:b w:val="0"/>
        <w:sz w:val="21"/>
        <w:szCs w:val="21"/>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0C716">
    <w:pPr>
      <w:pStyle w:val="27"/>
      <w:pBdr>
        <w:bottom w:val="none" w:color="auto" w:sz="0" w:space="0"/>
      </w:pBdr>
      <w:ind w:firstLine="1575" w:firstLineChars="750"/>
      <w:jc w:val="both"/>
      <w:rPr>
        <w:rFonts w:hint="eastAsia" w:eastAsia="宋体"/>
        <w:kern w:val="0"/>
        <w:sz w:val="21"/>
        <w:szCs w:val="21"/>
      </w:rPr>
    </w:pPr>
  </w:p>
  <w:p w14:paraId="6ADC7F93">
    <w:pPr>
      <w:pStyle w:val="27"/>
      <w:pBdr>
        <w:bottom w:val="none" w:color="auto" w:sz="0" w:space="0"/>
      </w:pBdr>
      <w:jc w:val="both"/>
      <w:rPr>
        <w:rFonts w:hint="eastAsia" w:ascii="宋体" w:hAnsi="宋体"/>
      </w:rPr>
    </w:pPr>
    <w:r>
      <w:rPr>
        <w:rFonts w:ascii="Times New Roman" w:hAnsi="Times New Roman" w:eastAsia="宋体" w:cs="Times New Roman"/>
        <w:b w:val="0"/>
        <w:sz w:val="21"/>
        <w:szCs w:val="21"/>
      </w:rPr>
      <w:drawing>
        <wp:anchor distT="0" distB="0" distL="114300" distR="114300" simplePos="0" relativeHeight="251661312" behindDoc="0" locked="0" layoutInCell="1" allowOverlap="1">
          <wp:simplePos x="0" y="0"/>
          <wp:positionH relativeFrom="column">
            <wp:posOffset>114300</wp:posOffset>
          </wp:positionH>
          <wp:positionV relativeFrom="paragraph">
            <wp:posOffset>74930</wp:posOffset>
          </wp:positionV>
          <wp:extent cx="457200" cy="457200"/>
          <wp:effectExtent l="0" t="0" r="0" b="0"/>
          <wp:wrapNone/>
          <wp:docPr id="17"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8"/>
                  <pic:cNvPicPr>
                    <a:picLocks noChangeAspect="1"/>
                  </pic:cNvPicPr>
                </pic:nvPicPr>
                <pic:blipFill>
                  <a:blip r:embed="rId1"/>
                  <a:stretch>
                    <a:fillRect/>
                  </a:stretch>
                </pic:blipFill>
                <pic:spPr>
                  <a:xfrm>
                    <a:off x="0" y="0"/>
                    <a:ext cx="457200" cy="457200"/>
                  </a:xfrm>
                  <a:prstGeom prst="rect">
                    <a:avLst/>
                  </a:prstGeom>
                  <a:noFill/>
                  <a:ln>
                    <a:noFill/>
                  </a:ln>
                </pic:spPr>
              </pic:pic>
            </a:graphicData>
          </a:graphic>
        </wp:anchor>
      </w:drawing>
    </w:r>
    <w:r>
      <w:rPr>
        <w:rFonts w:hint="eastAsia" w:ascii="Times New Roman" w:hAnsi="Times New Roman" w:eastAsia="宋体" w:cs="Times New Roman"/>
        <w:b w:val="0"/>
        <w:sz w:val="21"/>
        <w:szCs w:val="21"/>
      </w:rPr>
      <w:t xml:space="preserve">                                                </w:t>
    </w:r>
  </w:p>
  <w:p w14:paraId="2B43E34C">
    <w:pPr>
      <w:pStyle w:val="27"/>
      <w:pBdr>
        <w:bottom w:val="none" w:color="auto" w:sz="0" w:space="0"/>
      </w:pBdr>
      <w:ind w:firstLine="1050" w:firstLineChars="500"/>
      <w:jc w:val="both"/>
      <w:rPr>
        <w:rFonts w:hint="eastAsia" w:eastAsia="宋体"/>
        <w:kern w:val="0"/>
        <w:sz w:val="21"/>
        <w:szCs w:val="21"/>
      </w:rPr>
    </w:pPr>
    <w:r>
      <w:rPr>
        <w:rFonts w:ascii="Times New Roman" w:hAnsi="Times New Roman" w:eastAsia="宋体" w:cs="Times New Roman"/>
        <w:b w:val="0"/>
        <w:sz w:val="21"/>
        <w:szCs w:val="21"/>
      </w:rPr>
      <mc:AlternateContent>
        <mc:Choice Requires="wps">
          <w:drawing>
            <wp:anchor distT="0" distB="0" distL="114300" distR="114300" simplePos="0" relativeHeight="251662336" behindDoc="0" locked="0" layoutInCell="1" allowOverlap="1">
              <wp:simplePos x="0" y="0"/>
              <wp:positionH relativeFrom="margin">
                <wp:posOffset>0</wp:posOffset>
              </wp:positionH>
              <wp:positionV relativeFrom="paragraph">
                <wp:posOffset>36195</wp:posOffset>
              </wp:positionV>
              <wp:extent cx="5756910" cy="360045"/>
              <wp:effectExtent l="0" t="0" r="0" b="0"/>
              <wp:wrapNone/>
              <wp:docPr id="18" name="文本框 89"/>
              <wp:cNvGraphicFramePr/>
              <a:graphic xmlns:a="http://schemas.openxmlformats.org/drawingml/2006/main">
                <a:graphicData uri="http://schemas.microsoft.com/office/word/2010/wordprocessingShape">
                  <wps:wsp>
                    <wps:cNvSpPr txBox="1"/>
                    <wps:spPr>
                      <a:xfrm>
                        <a:off x="0" y="0"/>
                        <a:ext cx="5756910" cy="360045"/>
                      </a:xfrm>
                      <a:prstGeom prst="rect">
                        <a:avLst/>
                      </a:prstGeom>
                      <a:noFill/>
                      <a:ln>
                        <a:noFill/>
                      </a:ln>
                    </wps:spPr>
                    <wps:txbx>
                      <w:txbxContent>
                        <w:p w14:paraId="7BAC7B5B">
                          <w:pPr>
                            <w:pStyle w:val="27"/>
                            <w:pBdr>
                              <w:bottom w:val="single" w:color="auto" w:sz="6" w:space="0"/>
                            </w:pBdr>
                            <w:spacing w:line="360" w:lineRule="auto"/>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rPr>
                              <w:rFonts w:eastAsia="宋体"/>
                              <w:sz w:val="21"/>
                            </w:rPr>
                            <w:t>I</w:t>
                          </w:r>
                          <w:r>
                            <w:rPr>
                              <w:rFonts w:hint="eastAsia" w:eastAsia="宋体"/>
                              <w:sz w:val="21"/>
                            </w:rPr>
                            <w:t xml:space="preserve"> </w:t>
                          </w:r>
                          <w:r>
                            <w:rPr>
                              <w:rFonts w:hint="eastAsia" w:eastAsia="宋体"/>
                              <w:kern w:val="0"/>
                              <w:sz w:val="21"/>
                              <w:szCs w:val="21"/>
                            </w:rPr>
                            <w:t xml:space="preserve"> 页</w:t>
                          </w:r>
                        </w:p>
                      </w:txbxContent>
                    </wps:txbx>
                    <wps:bodyPr wrap="square" lIns="0" tIns="0" rIns="0" bIns="0" upright="0"/>
                  </wps:wsp>
                </a:graphicData>
              </a:graphic>
            </wp:anchor>
          </w:drawing>
        </mc:Choice>
        <mc:Fallback>
          <w:pict>
            <v:shape id="文本框 89" o:spid="_x0000_s1026" o:spt="202" type="#_x0000_t202" style="position:absolute;left:0pt;margin-left:0pt;margin-top:2.85pt;height:28.35pt;width:453.3pt;mso-position-horizontal-relative:margin;z-index:251662336;mso-width-relative:page;mso-height-relative:page;" filled="f" stroked="f" coordsize="21600,21600" o:gfxdata="UEsDBAoAAAAAAIdO4kAAAAAAAAAAAAAAAAAEAAAAZHJzL1BLAwQUAAAACACHTuJA0G3iVtUAAAAF&#10;AQAADwAAAGRycy9kb3ducmV2LnhtbE2PzU7DMBCE70i8g7WVuFG7FQSaZlMhBCckRBoOHJ14m1iN&#10;1yF2f3h7zIkeRzOa+abYnN0gjjQF6xlhMVcgiFtvLHcIn/Xr7SOIEDUbPXgmhB8KsCmvrwqdG3/i&#10;io7b2IlUwiHXCH2MYy5laHtyOsz9SJy8nZ+cjklOnTSTPqVyN8ilUpl02nJa6PVIzz21++3BITx9&#10;cfViv9+bj2pX2bpeKX7L9og3s4Vag4h0jv9h+MNP6FAmpsYf2AQxIKQjEeH+AUQyVyrLQDQI2fIO&#10;ZFnIS/ryF1BLAwQUAAAACACHTuJAMPWhzsYBAACCAwAADgAAAGRycy9lMm9Eb2MueG1srVNLbtsw&#10;EN0X6B0I7mvJaewmguUAhZGiQNEWSHIAmqIsAvxlhrbkC7Q36Kqb7nsunyNDyXI+3WTRDTWaGT3O&#10;e2+0uOqsYTsFqL0r+XSSc6ac9JV2m5Lf3V6/u+AMo3CVMN6pku8V8qvl2zeLNhTqzDfeVAoYgTgs&#10;2lDyJsZQZBnKRlmBEx+Uo2LtwYpIr7DJKhAtoVuTneX5PGs9VAG8VIiUXQ1FfkSE1wD6utZSrbzc&#10;WuXigArKiEiUsNEB+bKftq6VjN/qGlVkpuTENPYnXULxOp3ZciGKDYjQaHkcQbxmhBecrNCOLj1B&#10;rUQUbAv6HyirJXj0dZxIb7OBSK8IsZjmL7S5aURQPReSGsNJdPx/sPLr7jswXdEmkO9OWHL88Ovn&#10;4fffw58f7OIyCdQGLKjvJlBn7D76jprHPFIy8e5qsOlJjBjVSd79SV7VRSYpOfswm19OqSSp9n6e&#10;5+ezBJM9fh0A4yflLUtByYHs61UVuy8Yh9axJV3m/LU2prfQuGcJwkyZLI0+jJii2K27I5+1r/ZE&#10;pyXnS473WwGKM/PZkbRpTcYAxmA9BtsAetP0e5QGSrBkTc/iuEbJ+6fvfdfjr7N8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NBt4lbVAAAABQEAAA8AAAAAAAAAAQAgAAAAIgAAAGRycy9kb3ducmV2&#10;LnhtbFBLAQIUABQAAAAIAIdO4kAw9aHOxgEAAIIDAAAOAAAAAAAAAAEAIAAAACQBAABkcnMvZTJv&#10;RG9jLnhtbFBLBQYAAAAABgAGAFkBAABcBQAAAAA=&#10;">
              <v:fill on="f" focussize="0,0"/>
              <v:stroke on="f"/>
              <v:imagedata o:title=""/>
              <o:lock v:ext="edit" aspectratio="f"/>
              <v:textbox inset="0mm,0mm,0mm,0mm">
                <w:txbxContent>
                  <w:p w14:paraId="7BAC7B5B">
                    <w:pPr>
                      <w:pStyle w:val="27"/>
                      <w:pBdr>
                        <w:bottom w:val="single" w:color="auto" w:sz="6" w:space="0"/>
                      </w:pBdr>
                      <w:spacing w:line="360" w:lineRule="auto"/>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rPr>
                        <w:rFonts w:eastAsia="宋体"/>
                        <w:sz w:val="21"/>
                      </w:rPr>
                      <w:t>I</w:t>
                    </w:r>
                    <w:r>
                      <w:rPr>
                        <w:rFonts w:hint="eastAsia" w:eastAsia="宋体"/>
                        <w:sz w:val="21"/>
                      </w:rPr>
                      <w:t xml:space="preserve"> </w:t>
                    </w:r>
                    <w:r>
                      <w:rPr>
                        <w:rFonts w:hint="eastAsia" w:eastAsia="宋体"/>
                        <w:kern w:val="0"/>
                        <w:sz w:val="21"/>
                        <w:szCs w:val="21"/>
                      </w:rPr>
                      <w:t xml:space="preserve"> 页</w:t>
                    </w:r>
                  </w:p>
                </w:txbxContent>
              </v:textbox>
            </v:shape>
          </w:pict>
        </mc:Fallback>
      </mc:AlternateContent>
    </w:r>
  </w:p>
  <w:p w14:paraId="39A7159E">
    <w:pPr>
      <w:pStyle w:val="27"/>
      <w:pBdr>
        <w:bottom w:val="none" w:color="auto" w:sz="0" w:space="0"/>
      </w:pBdr>
      <w:jc w:val="both"/>
      <w:rPr>
        <w:rFonts w:hint="eastAsia" w:ascii="宋体" w:hAnsi="宋体"/>
      </w:rPr>
    </w:pPr>
    <w:r>
      <w:rPr>
        <w:rFonts w:hint="eastAsia" w:ascii="Times New Roman" w:hAnsi="Times New Roman" w:eastAsia="宋体" w:cs="Times New Roman"/>
        <w:b w:val="0"/>
        <w:sz w:val="21"/>
        <w:szCs w:val="21"/>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CA6DF">
    <w:pPr>
      <w:pStyle w:val="27"/>
      <w:pBdr>
        <w:bottom w:val="none" w:color="auto" w:sz="0" w:space="0"/>
      </w:pBdr>
      <w:ind w:firstLine="1575" w:firstLineChars="750"/>
      <w:jc w:val="both"/>
      <w:rPr>
        <w:rFonts w:hint="eastAsia" w:eastAsia="宋体"/>
        <w:kern w:val="0"/>
        <w:sz w:val="21"/>
        <w:szCs w:val="21"/>
      </w:rPr>
    </w:pPr>
  </w:p>
  <w:p w14:paraId="5FEAFD5A">
    <w:pPr>
      <w:pStyle w:val="27"/>
      <w:pBdr>
        <w:bottom w:val="none" w:color="auto" w:sz="0" w:space="0"/>
      </w:pBdr>
      <w:jc w:val="both"/>
      <w:rPr>
        <w:rFonts w:hint="eastAsia" w:ascii="宋体" w:hAnsi="宋体"/>
      </w:rPr>
    </w:pPr>
    <w:r>
      <w:rPr>
        <w:rFonts w:ascii="Times New Roman" w:hAnsi="Times New Roman" w:eastAsia="宋体" w:cs="Times New Roman"/>
        <w:b w:val="0"/>
        <w:sz w:val="21"/>
        <w:szCs w:val="21"/>
      </w:rPr>
      <w:drawing>
        <wp:anchor distT="0" distB="0" distL="114300" distR="114300" simplePos="0" relativeHeight="251663360" behindDoc="0" locked="0" layoutInCell="1" allowOverlap="1">
          <wp:simplePos x="0" y="0"/>
          <wp:positionH relativeFrom="column">
            <wp:posOffset>114300</wp:posOffset>
          </wp:positionH>
          <wp:positionV relativeFrom="paragraph">
            <wp:posOffset>74930</wp:posOffset>
          </wp:positionV>
          <wp:extent cx="457200" cy="457200"/>
          <wp:effectExtent l="0" t="0" r="0" b="0"/>
          <wp:wrapNone/>
          <wp:docPr id="19"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8"/>
                  <pic:cNvPicPr>
                    <a:picLocks noChangeAspect="1"/>
                  </pic:cNvPicPr>
                </pic:nvPicPr>
                <pic:blipFill>
                  <a:blip r:embed="rId1"/>
                  <a:stretch>
                    <a:fillRect/>
                  </a:stretch>
                </pic:blipFill>
                <pic:spPr>
                  <a:xfrm>
                    <a:off x="0" y="0"/>
                    <a:ext cx="457200" cy="457200"/>
                  </a:xfrm>
                  <a:prstGeom prst="rect">
                    <a:avLst/>
                  </a:prstGeom>
                  <a:noFill/>
                  <a:ln>
                    <a:noFill/>
                  </a:ln>
                </pic:spPr>
              </pic:pic>
            </a:graphicData>
          </a:graphic>
        </wp:anchor>
      </w:drawing>
    </w:r>
    <w:r>
      <w:rPr>
        <w:rFonts w:hint="eastAsia" w:ascii="Times New Roman" w:hAnsi="Times New Roman" w:eastAsia="宋体" w:cs="Times New Roman"/>
        <w:b w:val="0"/>
        <w:sz w:val="21"/>
        <w:szCs w:val="21"/>
      </w:rPr>
      <w:t xml:space="preserve">                                                </w:t>
    </w:r>
  </w:p>
  <w:p w14:paraId="0FA5D431">
    <w:pPr>
      <w:pStyle w:val="27"/>
      <w:pBdr>
        <w:bottom w:val="none" w:color="auto" w:sz="0" w:space="0"/>
      </w:pBdr>
      <w:ind w:firstLine="1050" w:firstLineChars="500"/>
      <w:jc w:val="both"/>
      <w:rPr>
        <w:rFonts w:hint="eastAsia" w:eastAsia="宋体"/>
        <w:kern w:val="0"/>
        <w:sz w:val="21"/>
        <w:szCs w:val="21"/>
      </w:rPr>
    </w:pPr>
    <w:r>
      <w:rPr>
        <w:rFonts w:ascii="Times New Roman" w:hAnsi="Times New Roman" w:eastAsia="宋体" w:cs="Times New Roman"/>
        <w:b w:val="0"/>
        <w:sz w:val="21"/>
        <w:szCs w:val="21"/>
      </w:rPr>
      <mc:AlternateContent>
        <mc:Choice Requires="wps">
          <w:drawing>
            <wp:anchor distT="0" distB="0" distL="114300" distR="114300" simplePos="0" relativeHeight="251664384" behindDoc="0" locked="0" layoutInCell="1" allowOverlap="1">
              <wp:simplePos x="0" y="0"/>
              <wp:positionH relativeFrom="margin">
                <wp:posOffset>0</wp:posOffset>
              </wp:positionH>
              <wp:positionV relativeFrom="paragraph">
                <wp:posOffset>36195</wp:posOffset>
              </wp:positionV>
              <wp:extent cx="5756910" cy="360045"/>
              <wp:effectExtent l="0" t="0" r="0" b="0"/>
              <wp:wrapNone/>
              <wp:docPr id="20" name="文本框 89"/>
              <wp:cNvGraphicFramePr/>
              <a:graphic xmlns:a="http://schemas.openxmlformats.org/drawingml/2006/main">
                <a:graphicData uri="http://schemas.microsoft.com/office/word/2010/wordprocessingShape">
                  <wps:wsp>
                    <wps:cNvSpPr txBox="1"/>
                    <wps:spPr>
                      <a:xfrm>
                        <a:off x="0" y="0"/>
                        <a:ext cx="5756910" cy="360045"/>
                      </a:xfrm>
                      <a:prstGeom prst="rect">
                        <a:avLst/>
                      </a:prstGeom>
                      <a:noFill/>
                      <a:ln>
                        <a:noFill/>
                      </a:ln>
                    </wps:spPr>
                    <wps:txbx>
                      <w:txbxContent>
                        <w:p w14:paraId="71688696">
                          <w:pPr>
                            <w:pStyle w:val="27"/>
                            <w:pBdr>
                              <w:bottom w:val="single" w:color="auto" w:sz="6" w:space="0"/>
                            </w:pBdr>
                            <w:spacing w:line="360" w:lineRule="auto"/>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rPr>
                              <w:rFonts w:eastAsia="宋体"/>
                              <w:sz w:val="21"/>
                            </w:rPr>
                            <w:t>II</w:t>
                          </w:r>
                          <w:r>
                            <w:rPr>
                              <w:rFonts w:hint="eastAsia" w:eastAsia="宋体"/>
                              <w:sz w:val="21"/>
                            </w:rPr>
                            <w:t xml:space="preserve"> </w:t>
                          </w:r>
                          <w:r>
                            <w:rPr>
                              <w:rFonts w:hint="eastAsia" w:eastAsia="宋体"/>
                              <w:kern w:val="0"/>
                              <w:sz w:val="21"/>
                              <w:szCs w:val="21"/>
                            </w:rPr>
                            <w:t xml:space="preserve"> 页</w:t>
                          </w:r>
                        </w:p>
                      </w:txbxContent>
                    </wps:txbx>
                    <wps:bodyPr wrap="square" lIns="0" tIns="0" rIns="0" bIns="0" upright="0"/>
                  </wps:wsp>
                </a:graphicData>
              </a:graphic>
            </wp:anchor>
          </w:drawing>
        </mc:Choice>
        <mc:Fallback>
          <w:pict>
            <v:shape id="文本框 89" o:spid="_x0000_s1026" o:spt="202" type="#_x0000_t202" style="position:absolute;left:0pt;margin-left:0pt;margin-top:2.85pt;height:28.35pt;width:453.3pt;mso-position-horizontal-relative:margin;z-index:251664384;mso-width-relative:page;mso-height-relative:page;" filled="f" stroked="f" coordsize="21600,21600" o:gfxdata="UEsDBAoAAAAAAIdO4kAAAAAAAAAAAAAAAAAEAAAAZHJzL1BLAwQUAAAACACHTuJA0G3iVtUAAAAF&#10;AQAADwAAAGRycy9kb3ducmV2LnhtbE2PzU7DMBCE70i8g7WVuFG7FQSaZlMhBCckRBoOHJ14m1iN&#10;1yF2f3h7zIkeRzOa+abYnN0gjjQF6xlhMVcgiFtvLHcIn/Xr7SOIEDUbPXgmhB8KsCmvrwqdG3/i&#10;io7b2IlUwiHXCH2MYy5laHtyOsz9SJy8nZ+cjklOnTSTPqVyN8ilUpl02nJa6PVIzz21++3BITx9&#10;cfViv9+bj2pX2bpeKX7L9og3s4Vag4h0jv9h+MNP6FAmpsYf2AQxIKQjEeH+AUQyVyrLQDQI2fIO&#10;ZFnIS/ryF1BLAwQUAAAACACHTuJAZuPwmMcBAACCAwAADgAAAGRycy9lMm9Eb2MueG1srVNLbtsw&#10;EN0X6B0I7mvJbuwmguUAhZGiQNEWSHsAmqIsAvxlhrbkC7Q36Kqb7nsunyNDyXLaZJNFNtRwZvT4&#10;3htyed1Zw/YKUHtX8ukk50w56SvttiX//u3mzSVnGIWrhPFOlfygkF+vXr9atqFQM994UylgBOKw&#10;aEPJmxhDkWUoG2UFTnxQjoq1BysibWGbVSBaQrcmm+X5Ims9VAG8VIiUXQ9FfkKE5wD6utZSrb3c&#10;WeXigArKiEiSsNEB+apnW9dKxi91jSoyU3JSGvuVDqF4k9ZstRTFFkRotDxREM+h8EiTFdrRoWeo&#10;tYiC7UA/gbJagkdfx4n0NhuE9I6Qimn+yJvbRgTVayGrMZxNx5eDlZ/3X4HpquQzssQJSxM//vp5&#10;/P33+OcHu7xKBrUBC+q7DdQZu/e+o2sz5pGSSXdXg01fUsSoTliHs72qi0xScv5uvriaUklS7e0i&#10;zy/mCSZ7+DsAxg/KW5aCkgONr3dV7D9hHFrHlnSY8zfamH6Exv2XIMyUyRL1gWKKYrfpTno2vjqQ&#10;nJYmX3K82wlQnJmPjqwlgnEMYAw2Y7ALoLdNf48SoQRLo+lVnK5Rmv2/+77r4ems7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QbeJW1QAAAAUBAAAPAAAAAAAAAAEAIAAAACIAAABkcnMvZG93bnJl&#10;di54bWxQSwECFAAUAAAACACHTuJAZuPwmMcBAACCAwAADgAAAAAAAAABACAAAAAkAQAAZHJzL2Uy&#10;b0RvYy54bWxQSwUGAAAAAAYABgBZAQAAXQUAAAAA&#10;">
              <v:fill on="f" focussize="0,0"/>
              <v:stroke on="f"/>
              <v:imagedata o:title=""/>
              <o:lock v:ext="edit" aspectratio="f"/>
              <v:textbox inset="0mm,0mm,0mm,0mm">
                <w:txbxContent>
                  <w:p w14:paraId="71688696">
                    <w:pPr>
                      <w:pStyle w:val="27"/>
                      <w:pBdr>
                        <w:bottom w:val="single" w:color="auto" w:sz="6" w:space="0"/>
                      </w:pBdr>
                      <w:spacing w:line="360" w:lineRule="auto"/>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rPr>
                        <w:rFonts w:eastAsia="宋体"/>
                        <w:sz w:val="21"/>
                      </w:rPr>
                      <w:t>II</w:t>
                    </w:r>
                    <w:r>
                      <w:rPr>
                        <w:rFonts w:hint="eastAsia" w:eastAsia="宋体"/>
                        <w:sz w:val="21"/>
                      </w:rPr>
                      <w:t xml:space="preserve"> </w:t>
                    </w:r>
                    <w:r>
                      <w:rPr>
                        <w:rFonts w:hint="eastAsia" w:eastAsia="宋体"/>
                        <w:kern w:val="0"/>
                        <w:sz w:val="21"/>
                        <w:szCs w:val="21"/>
                      </w:rPr>
                      <w:t xml:space="preserve"> 页</w:t>
                    </w:r>
                  </w:p>
                </w:txbxContent>
              </v:textbox>
            </v:shape>
          </w:pict>
        </mc:Fallback>
      </mc:AlternateContent>
    </w:r>
  </w:p>
  <w:p w14:paraId="7AD5D872">
    <w:pPr>
      <w:pStyle w:val="27"/>
      <w:pBdr>
        <w:bottom w:val="none" w:color="auto" w:sz="0" w:space="0"/>
      </w:pBdr>
      <w:jc w:val="both"/>
      <w:rPr>
        <w:rFonts w:hint="eastAsia" w:ascii="宋体" w:hAnsi="宋体"/>
      </w:rPr>
    </w:pPr>
    <w:r>
      <w:rPr>
        <w:rFonts w:hint="eastAsia" w:ascii="Times New Roman" w:hAnsi="Times New Roman" w:eastAsia="宋体" w:cs="Times New Roman"/>
        <w:b w:val="0"/>
        <w:sz w:val="21"/>
        <w:szCs w:val="21"/>
      </w:rPr>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BF661">
    <w:pPr>
      <w:pStyle w:val="27"/>
      <w:pBdr>
        <w:bottom w:val="none" w:color="auto" w:sz="0" w:space="0"/>
      </w:pBdr>
      <w:ind w:firstLine="1575" w:firstLineChars="750"/>
      <w:jc w:val="both"/>
      <w:rPr>
        <w:rFonts w:hint="eastAsia" w:eastAsia="宋体"/>
        <w:kern w:val="0"/>
        <w:sz w:val="21"/>
        <w:szCs w:val="21"/>
      </w:rPr>
    </w:pPr>
  </w:p>
  <w:p w14:paraId="71B7D210">
    <w:pPr>
      <w:pStyle w:val="27"/>
      <w:pBdr>
        <w:bottom w:val="none" w:color="auto" w:sz="0" w:space="0"/>
      </w:pBdr>
      <w:jc w:val="both"/>
      <w:rPr>
        <w:rFonts w:hint="eastAsia" w:ascii="宋体" w:hAnsi="宋体"/>
      </w:rPr>
    </w:pPr>
    <w:r>
      <w:rPr>
        <w:rFonts w:ascii="Times New Roman" w:hAnsi="Times New Roman" w:eastAsia="宋体" w:cs="Times New Roman"/>
        <w:b w:val="0"/>
        <w:sz w:val="21"/>
        <w:szCs w:val="21"/>
      </w:rPr>
      <w:drawing>
        <wp:anchor distT="0" distB="0" distL="114300" distR="114300" simplePos="0" relativeHeight="251659264" behindDoc="0" locked="0" layoutInCell="1" allowOverlap="1">
          <wp:simplePos x="0" y="0"/>
          <wp:positionH relativeFrom="column">
            <wp:posOffset>114300</wp:posOffset>
          </wp:positionH>
          <wp:positionV relativeFrom="paragraph">
            <wp:posOffset>74930</wp:posOffset>
          </wp:positionV>
          <wp:extent cx="457200" cy="457200"/>
          <wp:effectExtent l="0" t="0" r="0" b="0"/>
          <wp:wrapNone/>
          <wp:docPr id="11"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9"/>
                  <pic:cNvPicPr>
                    <a:picLocks noChangeAspect="1"/>
                  </pic:cNvPicPr>
                </pic:nvPicPr>
                <pic:blipFill>
                  <a:blip r:embed="rId1"/>
                  <a:stretch>
                    <a:fillRect/>
                  </a:stretch>
                </pic:blipFill>
                <pic:spPr>
                  <a:xfrm>
                    <a:off x="0" y="0"/>
                    <a:ext cx="457200" cy="457200"/>
                  </a:xfrm>
                  <a:prstGeom prst="rect">
                    <a:avLst/>
                  </a:prstGeom>
                  <a:noFill/>
                  <a:ln>
                    <a:noFill/>
                  </a:ln>
                </pic:spPr>
              </pic:pic>
            </a:graphicData>
          </a:graphic>
        </wp:anchor>
      </w:drawing>
    </w:r>
    <w:r>
      <w:rPr>
        <w:rFonts w:hint="eastAsia" w:ascii="Times New Roman" w:hAnsi="Times New Roman" w:eastAsia="宋体" w:cs="Times New Roman"/>
        <w:b w:val="0"/>
        <w:sz w:val="21"/>
        <w:szCs w:val="21"/>
      </w:rPr>
      <w:t xml:space="preserve">                                                </w:t>
    </w:r>
  </w:p>
  <w:p w14:paraId="62E88D2A">
    <w:pPr>
      <w:pStyle w:val="27"/>
      <w:pBdr>
        <w:bottom w:val="none" w:color="auto" w:sz="0" w:space="0"/>
      </w:pBdr>
      <w:ind w:firstLine="1050" w:firstLineChars="500"/>
      <w:jc w:val="both"/>
      <w:rPr>
        <w:rFonts w:hint="eastAsia" w:eastAsia="宋体"/>
        <w:kern w:val="0"/>
        <w:sz w:val="21"/>
        <w:szCs w:val="21"/>
      </w:rPr>
    </w:pPr>
    <w:r>
      <w:rPr>
        <w:rFonts w:ascii="Times New Roman" w:hAnsi="Times New Roman" w:eastAsia="宋体" w:cs="Times New Roman"/>
        <w:b w:val="0"/>
        <w:sz w:val="21"/>
        <w:szCs w:val="21"/>
      </w:rP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paragraph">
                <wp:posOffset>36195</wp:posOffset>
              </wp:positionV>
              <wp:extent cx="5756910" cy="360045"/>
              <wp:effectExtent l="0" t="0" r="0" b="0"/>
              <wp:wrapNone/>
              <wp:docPr id="13" name="文本框 110"/>
              <wp:cNvGraphicFramePr/>
              <a:graphic xmlns:a="http://schemas.openxmlformats.org/drawingml/2006/main">
                <a:graphicData uri="http://schemas.microsoft.com/office/word/2010/wordprocessingShape">
                  <wps:wsp>
                    <wps:cNvSpPr txBox="1"/>
                    <wps:spPr>
                      <a:xfrm>
                        <a:off x="0" y="0"/>
                        <a:ext cx="5756910" cy="360045"/>
                      </a:xfrm>
                      <a:prstGeom prst="rect">
                        <a:avLst/>
                      </a:prstGeom>
                      <a:noFill/>
                      <a:ln>
                        <a:noFill/>
                      </a:ln>
                    </wps:spPr>
                    <wps:txbx>
                      <w:txbxContent>
                        <w:p w14:paraId="171E2797">
                          <w:pPr>
                            <w:pStyle w:val="27"/>
                            <w:pBdr>
                              <w:bottom w:val="single" w:color="auto" w:sz="6" w:space="0"/>
                            </w:pBdr>
                            <w:spacing w:line="360" w:lineRule="auto"/>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rPr>
                              <w:rFonts w:eastAsia="宋体"/>
                              <w:sz w:val="21"/>
                            </w:rPr>
                            <w:fldChar w:fldCharType="begin"/>
                          </w:r>
                          <w:r>
                            <w:rPr>
                              <w:rFonts w:eastAsia="宋体"/>
                              <w:sz w:val="21"/>
                            </w:rPr>
                            <w:instrText xml:space="preserve">PAGE   \* MERGEFORMAT</w:instrText>
                          </w:r>
                          <w:r>
                            <w:rPr>
                              <w:rFonts w:eastAsia="宋体"/>
                              <w:sz w:val="21"/>
                            </w:rPr>
                            <w:fldChar w:fldCharType="separate"/>
                          </w:r>
                          <w:r>
                            <w:rPr>
                              <w:rFonts w:eastAsia="宋体"/>
                              <w:sz w:val="21"/>
                              <w:lang w:val="zh-CN"/>
                            </w:rPr>
                            <w:t>1</w:t>
                          </w:r>
                          <w:r>
                            <w:rPr>
                              <w:rFonts w:eastAsia="宋体"/>
                              <w:sz w:val="21"/>
                            </w:rPr>
                            <w:fldChar w:fldCharType="end"/>
                          </w:r>
                          <w:r>
                            <w:rPr>
                              <w:rFonts w:hint="eastAsia" w:eastAsia="宋体"/>
                              <w:sz w:val="21"/>
                            </w:rPr>
                            <w:t xml:space="preserve"> </w:t>
                          </w:r>
                          <w:r>
                            <w:rPr>
                              <w:rFonts w:hint="eastAsia" w:eastAsia="宋体"/>
                              <w:kern w:val="0"/>
                              <w:sz w:val="21"/>
                              <w:szCs w:val="21"/>
                            </w:rPr>
                            <w:t xml:space="preserve"> 页</w:t>
                          </w:r>
                        </w:p>
                      </w:txbxContent>
                    </wps:txbx>
                    <wps:bodyPr wrap="square" lIns="0" tIns="0" rIns="0" bIns="0" upright="0"/>
                  </wps:wsp>
                </a:graphicData>
              </a:graphic>
            </wp:anchor>
          </w:drawing>
        </mc:Choice>
        <mc:Fallback>
          <w:pict>
            <v:shape id="文本框 110" o:spid="_x0000_s1026" o:spt="202" type="#_x0000_t202" style="position:absolute;left:0pt;margin-left:0pt;margin-top:2.85pt;height:28.35pt;width:453.3pt;mso-position-horizontal-relative:margin;z-index:251660288;mso-width-relative:page;mso-height-relative:page;" filled="f" stroked="f" coordsize="21600,21600" o:gfxdata="UEsDBAoAAAAAAIdO4kAAAAAAAAAAAAAAAAAEAAAAZHJzL1BLAwQUAAAACACHTuJA0G3iVtUAAAAF&#10;AQAADwAAAGRycy9kb3ducmV2LnhtbE2PzU7DMBCE70i8g7WVuFG7FQSaZlMhBCckRBoOHJ14m1iN&#10;1yF2f3h7zIkeRzOa+abYnN0gjjQF6xlhMVcgiFtvLHcIn/Xr7SOIEDUbPXgmhB8KsCmvrwqdG3/i&#10;io7b2IlUwiHXCH2MYy5laHtyOsz9SJy8nZ+cjklOnTSTPqVyN8ilUpl02nJa6PVIzz21++3BITx9&#10;cfViv9+bj2pX2bpeKX7L9og3s4Vag4h0jv9h+MNP6FAmpsYf2AQxIKQjEeH+AUQyVyrLQDQI2fIO&#10;ZFnIS/ryF1BLAwQUAAAACACHTuJAXJbdUcYBAACDAwAADgAAAGRycy9lMm9Eb2MueG1srVNLbtsw&#10;EN0X6B0I7mvJSe0mguUAgZGiQNEWSHMAmqIsAvx1hrbkC7Q36Kqb7nsun6ND+pemmyyyoYYzozfz&#10;3gxnN4M1bKMAtXc1H49KzpSTvtFuVfOHr3dvrjjDKFwjjHeq5luF/Gb++tWsD5W68J03jQJGIA6r&#10;PtS8izFURYGyU1bgyAflKNh6sCLSFVZFA6IndGuKi7KcFr2HJoCXCpG8i32QHxDhOYC+bbVUCy/X&#10;Vrm4RwVlRCRK2OmAfJ67bVsl4+e2RRWZqTkxjfmkImQv01nMZ6JagQidlocWxHNaeMLJCu2o6Alq&#10;IaJga9D/QVktwaNv40h6W+yJZEWIxbh8os19J4LKXEhqDCfR8eVg5afNF2C6oU245MwJSxPf/fyx&#10;+/Vn9/s7G4+zQn3AihLvA6XG4dYPlJ2US34kZyI+tGDTlygxipO+25O+aohMknPybjK9JkgmKXY5&#10;Lcu3kwRTnP8OgPG98pYlo+ZA88uyis1HjPvUY0oq5vydNibP0Lh/HISZPMW5xWTFYTkc+l76Zkt0&#10;ehp9zfHbWoDizHxwpG3ak6MBR2N5NNYB9KrLi5QaSrA0m8zisEdp+I/vOev8du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NBt4lbVAAAABQEAAA8AAAAAAAAAAQAgAAAAIgAAAGRycy9kb3ducmV2&#10;LnhtbFBLAQIUABQAAAAIAIdO4kBclt1RxgEAAIMDAAAOAAAAAAAAAAEAIAAAACQBAABkcnMvZTJv&#10;RG9jLnhtbFBLBQYAAAAABgAGAFkBAABcBQAAAAA=&#10;">
              <v:fill on="f" focussize="0,0"/>
              <v:stroke on="f"/>
              <v:imagedata o:title=""/>
              <o:lock v:ext="edit" aspectratio="f"/>
              <v:textbox inset="0mm,0mm,0mm,0mm">
                <w:txbxContent>
                  <w:p w14:paraId="171E2797">
                    <w:pPr>
                      <w:pStyle w:val="27"/>
                      <w:pBdr>
                        <w:bottom w:val="single" w:color="auto" w:sz="6" w:space="0"/>
                      </w:pBdr>
                      <w:spacing w:line="360" w:lineRule="auto"/>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rPr>
                        <w:rFonts w:eastAsia="宋体"/>
                        <w:sz w:val="21"/>
                      </w:rPr>
                      <w:fldChar w:fldCharType="begin"/>
                    </w:r>
                    <w:r>
                      <w:rPr>
                        <w:rFonts w:eastAsia="宋体"/>
                        <w:sz w:val="21"/>
                      </w:rPr>
                      <w:instrText xml:space="preserve">PAGE   \* MERGEFORMAT</w:instrText>
                    </w:r>
                    <w:r>
                      <w:rPr>
                        <w:rFonts w:eastAsia="宋体"/>
                        <w:sz w:val="21"/>
                      </w:rPr>
                      <w:fldChar w:fldCharType="separate"/>
                    </w:r>
                    <w:r>
                      <w:rPr>
                        <w:rFonts w:eastAsia="宋体"/>
                        <w:sz w:val="21"/>
                        <w:lang w:val="zh-CN"/>
                      </w:rPr>
                      <w:t>1</w:t>
                    </w:r>
                    <w:r>
                      <w:rPr>
                        <w:rFonts w:eastAsia="宋体"/>
                        <w:sz w:val="21"/>
                      </w:rPr>
                      <w:fldChar w:fldCharType="end"/>
                    </w:r>
                    <w:r>
                      <w:rPr>
                        <w:rFonts w:hint="eastAsia" w:eastAsia="宋体"/>
                        <w:sz w:val="21"/>
                      </w:rPr>
                      <w:t xml:space="preserve"> </w:t>
                    </w:r>
                    <w:r>
                      <w:rPr>
                        <w:rFonts w:hint="eastAsia" w:eastAsia="宋体"/>
                        <w:kern w:val="0"/>
                        <w:sz w:val="21"/>
                        <w:szCs w:val="21"/>
                      </w:rPr>
                      <w:t xml:space="preserve"> 页</w:t>
                    </w:r>
                  </w:p>
                </w:txbxContent>
              </v:textbox>
            </v:shape>
          </w:pict>
        </mc:Fallback>
      </mc:AlternateContent>
    </w:r>
  </w:p>
  <w:p w14:paraId="29D47A09">
    <w:pPr>
      <w:pStyle w:val="27"/>
      <w:pBdr>
        <w:bottom w:val="none" w:color="auto" w:sz="0" w:space="0"/>
      </w:pBdr>
      <w:jc w:val="both"/>
      <w:rPr>
        <w:rFonts w:hint="eastAsia" w:ascii="宋体" w:hAnsi="宋体"/>
      </w:rPr>
    </w:pPr>
    <w:r>
      <w:rPr>
        <w:rFonts w:hint="eastAsia" w:ascii="Times New Roman" w:hAnsi="Times New Roman" w:eastAsia="宋体" w:cs="Times New Roman"/>
        <w:b w:val="0"/>
        <w:sz w:val="21"/>
        <w:szCs w:val="21"/>
      </w:rPr>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3CB40">
    <w:pPr>
      <w:pStyle w:val="27"/>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27CD0">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FABE34"/>
    <w:multiLevelType w:val="singleLevel"/>
    <w:tmpl w:val="BAFABE34"/>
    <w:lvl w:ilvl="0" w:tentative="0">
      <w:start w:val="1"/>
      <w:numFmt w:val="decimal"/>
      <w:lvlText w:val="(%1)"/>
      <w:lvlJc w:val="left"/>
      <w:pPr>
        <w:ind w:left="425" w:hanging="425"/>
      </w:pPr>
      <w:rPr>
        <w:rFonts w:hint="default"/>
      </w:rPr>
    </w:lvl>
  </w:abstractNum>
  <w:abstractNum w:abstractNumId="1">
    <w:nsid w:val="C5DF0EEE"/>
    <w:multiLevelType w:val="singleLevel"/>
    <w:tmpl w:val="C5DF0EEE"/>
    <w:lvl w:ilvl="0" w:tentative="0">
      <w:start w:val="1"/>
      <w:numFmt w:val="decimal"/>
      <w:lvlText w:val="(%1)"/>
      <w:lvlJc w:val="left"/>
      <w:pPr>
        <w:ind w:left="425" w:hanging="425"/>
      </w:pPr>
      <w:rPr>
        <w:rFonts w:hint="default"/>
      </w:rPr>
    </w:lvl>
  </w:abstractNum>
  <w:abstractNum w:abstractNumId="2">
    <w:nsid w:val="C7E65B28"/>
    <w:multiLevelType w:val="singleLevel"/>
    <w:tmpl w:val="C7E65B28"/>
    <w:lvl w:ilvl="0" w:tentative="0">
      <w:start w:val="1"/>
      <w:numFmt w:val="decimal"/>
      <w:lvlText w:val="(%1)"/>
      <w:lvlJc w:val="left"/>
      <w:pPr>
        <w:ind w:left="425" w:hanging="425"/>
      </w:pPr>
      <w:rPr>
        <w:rFonts w:hint="default"/>
      </w:rPr>
    </w:lvl>
  </w:abstractNum>
  <w:abstractNum w:abstractNumId="3">
    <w:nsid w:val="D17EE0D6"/>
    <w:multiLevelType w:val="singleLevel"/>
    <w:tmpl w:val="D17EE0D6"/>
    <w:lvl w:ilvl="0" w:tentative="0">
      <w:start w:val="1"/>
      <w:numFmt w:val="decimal"/>
      <w:lvlText w:val="[%1]"/>
      <w:lvlJc w:val="left"/>
      <w:pPr>
        <w:tabs>
          <w:tab w:val="left" w:pos="420"/>
        </w:tabs>
        <w:ind w:left="425" w:leftChars="0" w:hanging="425" w:firstLineChars="0"/>
      </w:pPr>
      <w:rPr>
        <w:rFonts w:hint="default"/>
      </w:rPr>
    </w:lvl>
  </w:abstractNum>
  <w:abstractNum w:abstractNumId="4">
    <w:nsid w:val="D7FB5A15"/>
    <w:multiLevelType w:val="singleLevel"/>
    <w:tmpl w:val="D7FB5A15"/>
    <w:lvl w:ilvl="0" w:tentative="0">
      <w:start w:val="1"/>
      <w:numFmt w:val="decimal"/>
      <w:lvlText w:val="(%1)"/>
      <w:lvlJc w:val="left"/>
      <w:pPr>
        <w:ind w:left="425" w:hanging="425"/>
      </w:pPr>
      <w:rPr>
        <w:rFonts w:hint="default"/>
      </w:rPr>
    </w:lvl>
  </w:abstractNum>
  <w:abstractNum w:abstractNumId="5">
    <w:nsid w:val="DFFA033F"/>
    <w:multiLevelType w:val="singleLevel"/>
    <w:tmpl w:val="DFFA033F"/>
    <w:lvl w:ilvl="0" w:tentative="0">
      <w:start w:val="1"/>
      <w:numFmt w:val="decimal"/>
      <w:lvlText w:val="(%1)"/>
      <w:lvlJc w:val="left"/>
      <w:pPr>
        <w:ind w:left="425" w:hanging="425"/>
      </w:pPr>
      <w:rPr>
        <w:rFonts w:hint="default"/>
      </w:rPr>
    </w:lvl>
  </w:abstractNum>
  <w:abstractNum w:abstractNumId="6">
    <w:nsid w:val="EBC7B68B"/>
    <w:multiLevelType w:val="singleLevel"/>
    <w:tmpl w:val="EBC7B68B"/>
    <w:lvl w:ilvl="0" w:tentative="0">
      <w:start w:val="1"/>
      <w:numFmt w:val="decimal"/>
      <w:lvlText w:val="(%1)"/>
      <w:lvlJc w:val="left"/>
      <w:pPr>
        <w:ind w:left="425" w:hanging="425"/>
      </w:pPr>
      <w:rPr>
        <w:rFonts w:hint="default"/>
      </w:rPr>
    </w:lvl>
  </w:abstractNum>
  <w:abstractNum w:abstractNumId="7">
    <w:nsid w:val="FB98E6FD"/>
    <w:multiLevelType w:val="singleLevel"/>
    <w:tmpl w:val="FB98E6FD"/>
    <w:lvl w:ilvl="0" w:tentative="0">
      <w:start w:val="1"/>
      <w:numFmt w:val="decimal"/>
      <w:lvlText w:val="(%1)"/>
      <w:lvlJc w:val="left"/>
      <w:pPr>
        <w:ind w:left="425" w:hanging="425"/>
      </w:pPr>
      <w:rPr>
        <w:rFonts w:hint="default"/>
      </w:rPr>
    </w:lvl>
  </w:abstractNum>
  <w:abstractNum w:abstractNumId="8">
    <w:nsid w:val="FBFC098B"/>
    <w:multiLevelType w:val="singleLevel"/>
    <w:tmpl w:val="FBFC098B"/>
    <w:lvl w:ilvl="0" w:tentative="0">
      <w:start w:val="1"/>
      <w:numFmt w:val="decimal"/>
      <w:lvlText w:val="(%1)"/>
      <w:lvlJc w:val="left"/>
      <w:pPr>
        <w:ind w:left="425" w:hanging="425"/>
      </w:pPr>
      <w:rPr>
        <w:rFonts w:hint="default"/>
      </w:rPr>
    </w:lvl>
  </w:abstractNum>
  <w:abstractNum w:abstractNumId="9">
    <w:nsid w:val="FD6A851C"/>
    <w:multiLevelType w:val="singleLevel"/>
    <w:tmpl w:val="FD6A851C"/>
    <w:lvl w:ilvl="0" w:tentative="0">
      <w:start w:val="1"/>
      <w:numFmt w:val="decimal"/>
      <w:lvlText w:val="(%1)"/>
      <w:lvlJc w:val="left"/>
      <w:pPr>
        <w:ind w:left="425" w:hanging="425"/>
      </w:pPr>
      <w:rPr>
        <w:rFonts w:hint="default"/>
      </w:rPr>
    </w:lvl>
  </w:abstractNum>
  <w:abstractNum w:abstractNumId="10">
    <w:nsid w:val="FFDDB5A8"/>
    <w:multiLevelType w:val="singleLevel"/>
    <w:tmpl w:val="FFDDB5A8"/>
    <w:lvl w:ilvl="0" w:tentative="0">
      <w:start w:val="1"/>
      <w:numFmt w:val="decimal"/>
      <w:lvlText w:val="(%1)"/>
      <w:lvlJc w:val="left"/>
      <w:pPr>
        <w:ind w:left="425" w:hanging="425"/>
      </w:pPr>
      <w:rPr>
        <w:rFonts w:hint="default"/>
      </w:rPr>
    </w:lvl>
  </w:abstractNum>
  <w:abstractNum w:abstractNumId="11">
    <w:nsid w:val="05AE3B50"/>
    <w:multiLevelType w:val="singleLevel"/>
    <w:tmpl w:val="05AE3B50"/>
    <w:lvl w:ilvl="0" w:tentative="0">
      <w:start w:val="1"/>
      <w:numFmt w:val="decimal"/>
      <w:lvlText w:val="(%1)"/>
      <w:lvlJc w:val="left"/>
      <w:pPr>
        <w:ind w:left="425" w:hanging="425"/>
      </w:pPr>
      <w:rPr>
        <w:rFonts w:hint="default"/>
      </w:rPr>
    </w:lvl>
  </w:abstractNum>
  <w:abstractNum w:abstractNumId="12">
    <w:nsid w:val="393D83B5"/>
    <w:multiLevelType w:val="singleLevel"/>
    <w:tmpl w:val="393D83B5"/>
    <w:lvl w:ilvl="0" w:tentative="0">
      <w:start w:val="1"/>
      <w:numFmt w:val="decimal"/>
      <w:lvlText w:val="(%1)"/>
      <w:lvlJc w:val="left"/>
      <w:pPr>
        <w:ind w:left="425" w:hanging="425"/>
      </w:pPr>
      <w:rPr>
        <w:rFonts w:hint="default"/>
      </w:rPr>
    </w:lvl>
  </w:abstractNum>
  <w:abstractNum w:abstractNumId="13">
    <w:nsid w:val="72AC9DB9"/>
    <w:multiLevelType w:val="singleLevel"/>
    <w:tmpl w:val="72AC9DB9"/>
    <w:lvl w:ilvl="0" w:tentative="0">
      <w:start w:val="1"/>
      <w:numFmt w:val="decimal"/>
      <w:lvlText w:val="(%1)"/>
      <w:lvlJc w:val="left"/>
      <w:pPr>
        <w:ind w:left="425" w:hanging="425"/>
      </w:pPr>
      <w:rPr>
        <w:rFonts w:hint="default"/>
      </w:rPr>
    </w:lvl>
  </w:abstractNum>
  <w:abstractNum w:abstractNumId="14">
    <w:nsid w:val="77F6B612"/>
    <w:multiLevelType w:val="singleLevel"/>
    <w:tmpl w:val="77F6B612"/>
    <w:lvl w:ilvl="0" w:tentative="0">
      <w:start w:val="1"/>
      <w:numFmt w:val="decimal"/>
      <w:lvlText w:val="(%1)"/>
      <w:lvlJc w:val="left"/>
      <w:pPr>
        <w:ind w:left="425" w:hanging="425"/>
      </w:pPr>
      <w:rPr>
        <w:rFonts w:hint="default"/>
      </w:rPr>
    </w:lvl>
  </w:abstractNum>
  <w:num w:numId="1">
    <w:abstractNumId w:val="13"/>
  </w:num>
  <w:num w:numId="2">
    <w:abstractNumId w:val="5"/>
  </w:num>
  <w:num w:numId="3">
    <w:abstractNumId w:val="1"/>
  </w:num>
  <w:num w:numId="4">
    <w:abstractNumId w:val="0"/>
  </w:num>
  <w:num w:numId="5">
    <w:abstractNumId w:val="8"/>
  </w:num>
  <w:num w:numId="6">
    <w:abstractNumId w:val="10"/>
  </w:num>
  <w:num w:numId="7">
    <w:abstractNumId w:val="11"/>
  </w:num>
  <w:num w:numId="8">
    <w:abstractNumId w:val="9"/>
  </w:num>
  <w:num w:numId="9">
    <w:abstractNumId w:val="6"/>
  </w:num>
  <w:num w:numId="10">
    <w:abstractNumId w:val="12"/>
  </w:num>
  <w:num w:numId="11">
    <w:abstractNumId w:val="2"/>
  </w:num>
  <w:num w:numId="12">
    <w:abstractNumId w:val="4"/>
  </w:num>
  <w:num w:numId="13">
    <w:abstractNumId w:val="7"/>
  </w:num>
  <w:num w:numId="14">
    <w:abstractNumId w:val="1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9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574D"/>
    <w:rsid w:val="00074387"/>
    <w:rsid w:val="0008516C"/>
    <w:rsid w:val="000C391F"/>
    <w:rsid w:val="000E24A3"/>
    <w:rsid w:val="0011308B"/>
    <w:rsid w:val="001512F5"/>
    <w:rsid w:val="00176CD9"/>
    <w:rsid w:val="00254546"/>
    <w:rsid w:val="002B563B"/>
    <w:rsid w:val="002D416F"/>
    <w:rsid w:val="002D4E27"/>
    <w:rsid w:val="00320D89"/>
    <w:rsid w:val="003266A4"/>
    <w:rsid w:val="00333895"/>
    <w:rsid w:val="0037083D"/>
    <w:rsid w:val="00395B4A"/>
    <w:rsid w:val="003B0D6E"/>
    <w:rsid w:val="003B3A89"/>
    <w:rsid w:val="00435660"/>
    <w:rsid w:val="00522ACA"/>
    <w:rsid w:val="005242E0"/>
    <w:rsid w:val="00580175"/>
    <w:rsid w:val="005D4E95"/>
    <w:rsid w:val="00683A79"/>
    <w:rsid w:val="006A5968"/>
    <w:rsid w:val="006B4ACD"/>
    <w:rsid w:val="00780DE7"/>
    <w:rsid w:val="00791694"/>
    <w:rsid w:val="00795E39"/>
    <w:rsid w:val="007F19B6"/>
    <w:rsid w:val="0083270D"/>
    <w:rsid w:val="0088371B"/>
    <w:rsid w:val="00894F27"/>
    <w:rsid w:val="008C169C"/>
    <w:rsid w:val="008D4996"/>
    <w:rsid w:val="00917A48"/>
    <w:rsid w:val="00952358"/>
    <w:rsid w:val="009660BE"/>
    <w:rsid w:val="009A418F"/>
    <w:rsid w:val="009B1464"/>
    <w:rsid w:val="009C76C4"/>
    <w:rsid w:val="00A0385D"/>
    <w:rsid w:val="00A5253D"/>
    <w:rsid w:val="00A851F9"/>
    <w:rsid w:val="00AB63D7"/>
    <w:rsid w:val="00BB6985"/>
    <w:rsid w:val="00C06AA2"/>
    <w:rsid w:val="00C528B1"/>
    <w:rsid w:val="00C91526"/>
    <w:rsid w:val="00DC5A37"/>
    <w:rsid w:val="00DD2E2C"/>
    <w:rsid w:val="00DE024E"/>
    <w:rsid w:val="00E02911"/>
    <w:rsid w:val="00E0641D"/>
    <w:rsid w:val="00E76D46"/>
    <w:rsid w:val="00F04D0C"/>
    <w:rsid w:val="00F20504"/>
    <w:rsid w:val="00F373C2"/>
    <w:rsid w:val="00F6177D"/>
    <w:rsid w:val="00F618F9"/>
    <w:rsid w:val="00F61C57"/>
    <w:rsid w:val="00F73023"/>
    <w:rsid w:val="00F73B09"/>
    <w:rsid w:val="00F879FB"/>
    <w:rsid w:val="00F9574D"/>
    <w:rsid w:val="00FC2045"/>
    <w:rsid w:val="00FC53C0"/>
    <w:rsid w:val="07CA84B3"/>
    <w:rsid w:val="08B13BA9"/>
    <w:rsid w:val="156E5CF5"/>
    <w:rsid w:val="165FEFDB"/>
    <w:rsid w:val="19DC5080"/>
    <w:rsid w:val="1AB11475"/>
    <w:rsid w:val="1CF779EA"/>
    <w:rsid w:val="1E67DD3A"/>
    <w:rsid w:val="1E7EC5EC"/>
    <w:rsid w:val="1FB7F295"/>
    <w:rsid w:val="1FDED5A4"/>
    <w:rsid w:val="1FFB653B"/>
    <w:rsid w:val="26244236"/>
    <w:rsid w:val="2D81EDA2"/>
    <w:rsid w:val="2FFB0BC3"/>
    <w:rsid w:val="30DFCE39"/>
    <w:rsid w:val="317A75C3"/>
    <w:rsid w:val="34CB65E5"/>
    <w:rsid w:val="35F95A20"/>
    <w:rsid w:val="379F42AF"/>
    <w:rsid w:val="38705615"/>
    <w:rsid w:val="397F1C87"/>
    <w:rsid w:val="39D908BA"/>
    <w:rsid w:val="3B5D652B"/>
    <w:rsid w:val="3B7F4F11"/>
    <w:rsid w:val="3BB7F9C5"/>
    <w:rsid w:val="3CB974DF"/>
    <w:rsid w:val="3EB30874"/>
    <w:rsid w:val="3EBF6830"/>
    <w:rsid w:val="3FDD47F9"/>
    <w:rsid w:val="3FF81E0A"/>
    <w:rsid w:val="3FFEA0AA"/>
    <w:rsid w:val="405B3034"/>
    <w:rsid w:val="424A760C"/>
    <w:rsid w:val="45626BB7"/>
    <w:rsid w:val="47FBEB0E"/>
    <w:rsid w:val="49FEFC9B"/>
    <w:rsid w:val="4AB19E47"/>
    <w:rsid w:val="4E9CDEF3"/>
    <w:rsid w:val="4F5FE8E2"/>
    <w:rsid w:val="556B0B53"/>
    <w:rsid w:val="55F71781"/>
    <w:rsid w:val="560A5DFF"/>
    <w:rsid w:val="577EB115"/>
    <w:rsid w:val="579FC036"/>
    <w:rsid w:val="57D40A7B"/>
    <w:rsid w:val="57EBBCE3"/>
    <w:rsid w:val="591A328C"/>
    <w:rsid w:val="59D7EFEF"/>
    <w:rsid w:val="5ACF5850"/>
    <w:rsid w:val="5CEFFD20"/>
    <w:rsid w:val="5D2F6FC0"/>
    <w:rsid w:val="5EBF5CCF"/>
    <w:rsid w:val="5F5747C7"/>
    <w:rsid w:val="5F6B3013"/>
    <w:rsid w:val="5FDF42CA"/>
    <w:rsid w:val="5FF7B7BF"/>
    <w:rsid w:val="5FFE4BC8"/>
    <w:rsid w:val="5FFF384D"/>
    <w:rsid w:val="63BC563F"/>
    <w:rsid w:val="65F678CB"/>
    <w:rsid w:val="6A8654B0"/>
    <w:rsid w:val="6AFC2A35"/>
    <w:rsid w:val="6CA47E27"/>
    <w:rsid w:val="6E356045"/>
    <w:rsid w:val="6E57949A"/>
    <w:rsid w:val="6EFE36CE"/>
    <w:rsid w:val="6F4629A4"/>
    <w:rsid w:val="6F9A3ABE"/>
    <w:rsid w:val="6FFEF642"/>
    <w:rsid w:val="70B6EA6C"/>
    <w:rsid w:val="71CFF332"/>
    <w:rsid w:val="71FD37D0"/>
    <w:rsid w:val="72AF2712"/>
    <w:rsid w:val="73BBB5FB"/>
    <w:rsid w:val="73CEA424"/>
    <w:rsid w:val="74DF2298"/>
    <w:rsid w:val="77DB2686"/>
    <w:rsid w:val="77FE1BAA"/>
    <w:rsid w:val="78BD53FC"/>
    <w:rsid w:val="78E7FA70"/>
    <w:rsid w:val="7995D048"/>
    <w:rsid w:val="7AB7862A"/>
    <w:rsid w:val="7AFCCD29"/>
    <w:rsid w:val="7B7B4745"/>
    <w:rsid w:val="7BBE0818"/>
    <w:rsid w:val="7BEAE18B"/>
    <w:rsid w:val="7BFE53BF"/>
    <w:rsid w:val="7BFF0788"/>
    <w:rsid w:val="7CF64F50"/>
    <w:rsid w:val="7D373DA9"/>
    <w:rsid w:val="7D7F1CA3"/>
    <w:rsid w:val="7ED7FB9D"/>
    <w:rsid w:val="7EDE5A66"/>
    <w:rsid w:val="7F1FA2C8"/>
    <w:rsid w:val="7F6BC9F9"/>
    <w:rsid w:val="7F7F6797"/>
    <w:rsid w:val="7FBEBCEF"/>
    <w:rsid w:val="7FCDFE0D"/>
    <w:rsid w:val="7FDFED55"/>
    <w:rsid w:val="7FEE7B39"/>
    <w:rsid w:val="7FF532E5"/>
    <w:rsid w:val="7FFA7D03"/>
    <w:rsid w:val="7FFF7326"/>
    <w:rsid w:val="8EED2AAC"/>
    <w:rsid w:val="8FFD6845"/>
    <w:rsid w:val="9DFA426B"/>
    <w:rsid w:val="9F6D2548"/>
    <w:rsid w:val="AF77A999"/>
    <w:rsid w:val="AFA3C86A"/>
    <w:rsid w:val="AFDA2CAB"/>
    <w:rsid w:val="B5FAB277"/>
    <w:rsid w:val="B7CF64AD"/>
    <w:rsid w:val="BB0F1A8B"/>
    <w:rsid w:val="BCFA434E"/>
    <w:rsid w:val="BDDDCEC7"/>
    <w:rsid w:val="BDFB296C"/>
    <w:rsid w:val="BEB766E6"/>
    <w:rsid w:val="BFC2B6BF"/>
    <w:rsid w:val="BFDDA6B8"/>
    <w:rsid w:val="CD1F2013"/>
    <w:rsid w:val="CF360B60"/>
    <w:rsid w:val="CF7E2C41"/>
    <w:rsid w:val="CFAB15A4"/>
    <w:rsid w:val="CFED8258"/>
    <w:rsid w:val="D36BBFCA"/>
    <w:rsid w:val="D3FFA4DD"/>
    <w:rsid w:val="D56F63CB"/>
    <w:rsid w:val="DAB31BCF"/>
    <w:rsid w:val="DAFF1DE0"/>
    <w:rsid w:val="DAFFDE17"/>
    <w:rsid w:val="DBCDA0E7"/>
    <w:rsid w:val="DDFCB0CD"/>
    <w:rsid w:val="DEB74DB5"/>
    <w:rsid w:val="DF69F630"/>
    <w:rsid w:val="DFBA7354"/>
    <w:rsid w:val="DFD7AB1B"/>
    <w:rsid w:val="DFDD8971"/>
    <w:rsid w:val="DFDFAC44"/>
    <w:rsid w:val="DFEFBC26"/>
    <w:rsid w:val="DFFF2276"/>
    <w:rsid w:val="E1C7ECF0"/>
    <w:rsid w:val="E3BE4D21"/>
    <w:rsid w:val="EBFE67F4"/>
    <w:rsid w:val="EDDE76F9"/>
    <w:rsid w:val="EE4DE4BF"/>
    <w:rsid w:val="EE6F95BD"/>
    <w:rsid w:val="EE7DADF9"/>
    <w:rsid w:val="EEBBE4A6"/>
    <w:rsid w:val="EED7A9AA"/>
    <w:rsid w:val="EF777589"/>
    <w:rsid w:val="EF9E2C61"/>
    <w:rsid w:val="EFCEDFA7"/>
    <w:rsid w:val="EFFA26A2"/>
    <w:rsid w:val="EFFD88B0"/>
    <w:rsid w:val="F1CEF79E"/>
    <w:rsid w:val="F3FE896B"/>
    <w:rsid w:val="F4D6D62B"/>
    <w:rsid w:val="F5DFB24D"/>
    <w:rsid w:val="F6BA5C8B"/>
    <w:rsid w:val="F77A1C40"/>
    <w:rsid w:val="F77FEAAC"/>
    <w:rsid w:val="F7AE9D8D"/>
    <w:rsid w:val="F7BFACA9"/>
    <w:rsid w:val="F7FBFE22"/>
    <w:rsid w:val="F7FF255C"/>
    <w:rsid w:val="F9B56C6D"/>
    <w:rsid w:val="FBD9D29B"/>
    <w:rsid w:val="FBFF9EAB"/>
    <w:rsid w:val="FC76D088"/>
    <w:rsid w:val="FC7FB7B3"/>
    <w:rsid w:val="FCA494C7"/>
    <w:rsid w:val="FCF3F574"/>
    <w:rsid w:val="FDAF38A0"/>
    <w:rsid w:val="FDDFFE6E"/>
    <w:rsid w:val="FDFB229F"/>
    <w:rsid w:val="FE7B6B0F"/>
    <w:rsid w:val="FECCF3F6"/>
    <w:rsid w:val="FECFF3C0"/>
    <w:rsid w:val="FEFD30BD"/>
    <w:rsid w:val="FF771686"/>
    <w:rsid w:val="FF774CF6"/>
    <w:rsid w:val="FF7769F3"/>
    <w:rsid w:val="FFB24E04"/>
    <w:rsid w:val="FFEF2805"/>
    <w:rsid w:val="FFEFDF3E"/>
    <w:rsid w:val="FFF6DEA0"/>
    <w:rsid w:val="FFFE9734"/>
    <w:rsid w:val="FFFF9461"/>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semiHidden="0"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semiHidden="0" w:name="page number"/>
    <w:lsdException w:uiPriority="99" w:name="endnote reference"/>
    <w:lsdException w:uiPriority="99" w:semiHidden="0" w:name="endnote text"/>
    <w:lsdException w:uiPriority="99" w:name="table of authorities"/>
    <w:lsdException w:uiPriority="99" w:name="macro"/>
    <w:lsdException w:uiPriority="99" w:name="toa heading"/>
    <w:lsdException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semiHidden="0" w:name="Note Heading"/>
    <w:lsdException w:uiPriority="99" w:semiHidden="0" w:name="Body Text 2"/>
    <w:lsdException w:uiPriority="99" w:name="Body Text 3"/>
    <w:lsdException w:uiPriority="99" w:semiHidden="0" w:name="Body Text Indent 2"/>
    <w:lsdException w:uiPriority="99" w:semiHidden="0"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3"/>
    <w:qFormat/>
    <w:uiPriority w:val="9"/>
    <w:pPr>
      <w:keepNext/>
      <w:keepLines/>
      <w:widowControl/>
      <w:spacing w:before="500" w:after="500" w:line="480" w:lineRule="auto"/>
      <w:jc w:val="center"/>
      <w:outlineLvl w:val="0"/>
    </w:pPr>
    <w:rPr>
      <w:rFonts w:ascii="Times New Roman" w:hAnsi="Times New Roman" w:eastAsia="黑体" w:cs="Times New Roman"/>
      <w:kern w:val="44"/>
      <w:sz w:val="32"/>
      <w:szCs w:val="32"/>
    </w:rPr>
  </w:style>
  <w:style w:type="paragraph" w:styleId="4">
    <w:name w:val="heading 2"/>
    <w:basedOn w:val="1"/>
    <w:next w:val="5"/>
    <w:qFormat/>
    <w:uiPriority w:val="9"/>
    <w:pPr>
      <w:keepNext/>
      <w:keepLines/>
      <w:spacing w:before="160" w:after="160" w:line="420" w:lineRule="auto"/>
      <w:ind w:left="397"/>
      <w:jc w:val="center"/>
      <w:outlineLvl w:val="1"/>
    </w:pPr>
    <w:rPr>
      <w:rFonts w:ascii="Times New Roman" w:hAnsi="Times New Roman" w:eastAsia="黑体" w:cs="Times New Roman"/>
      <w:sz w:val="24"/>
      <w:szCs w:val="24"/>
    </w:rPr>
  </w:style>
  <w:style w:type="paragraph" w:styleId="6">
    <w:name w:val="heading 3"/>
    <w:basedOn w:val="1"/>
    <w:next w:val="5"/>
    <w:qFormat/>
    <w:uiPriority w:val="9"/>
    <w:pPr>
      <w:keepNext/>
      <w:keepLines/>
      <w:spacing w:before="160" w:after="160"/>
      <w:jc w:val="left"/>
      <w:outlineLvl w:val="2"/>
    </w:pPr>
    <w:rPr>
      <w:rFonts w:ascii="Times New Roman" w:hAnsi="Times New Roman" w:eastAsia="黑体" w:cs="Times New Roman"/>
      <w:sz w:val="24"/>
      <w:szCs w:val="24"/>
    </w:rPr>
  </w:style>
  <w:style w:type="paragraph" w:styleId="7">
    <w:name w:val="heading 4"/>
    <w:basedOn w:val="1"/>
    <w:next w:val="1"/>
    <w:qFormat/>
    <w:uiPriority w:val="9"/>
    <w:pPr>
      <w:keepNext/>
      <w:adjustRightInd w:val="0"/>
      <w:spacing w:line="360" w:lineRule="atLeast"/>
      <w:jc w:val="center"/>
      <w:textAlignment w:val="baseline"/>
      <w:outlineLvl w:val="3"/>
    </w:pPr>
    <w:rPr>
      <w:rFonts w:ascii="Times New Roman" w:hAnsi="Times New Roman" w:eastAsia="黑体" w:cs="Times New Roman"/>
      <w:kern w:val="0"/>
      <w:sz w:val="32"/>
      <w:szCs w:val="32"/>
    </w:rPr>
  </w:style>
  <w:style w:type="paragraph" w:styleId="8">
    <w:name w:val="heading 5"/>
    <w:basedOn w:val="1"/>
    <w:next w:val="1"/>
    <w:qFormat/>
    <w:uiPriority w:val="9"/>
    <w:pPr>
      <w:keepNext/>
      <w:adjustRightInd w:val="0"/>
      <w:spacing w:line="360" w:lineRule="atLeast"/>
      <w:jc w:val="center"/>
      <w:textAlignment w:val="baseline"/>
      <w:outlineLvl w:val="4"/>
    </w:pPr>
    <w:rPr>
      <w:rFonts w:ascii="Times New Roman" w:hAnsi="Times New Roman" w:eastAsia="宋体" w:cs="Times New Roman"/>
      <w:kern w:val="0"/>
      <w:sz w:val="28"/>
      <w:szCs w:val="20"/>
    </w:rPr>
  </w:style>
  <w:style w:type="paragraph" w:styleId="9">
    <w:name w:val="heading 6"/>
    <w:basedOn w:val="1"/>
    <w:next w:val="1"/>
    <w:qFormat/>
    <w:uiPriority w:val="9"/>
    <w:pPr>
      <w:keepNext/>
      <w:tabs>
        <w:tab w:val="left" w:pos="7200"/>
      </w:tabs>
      <w:spacing w:line="360" w:lineRule="auto"/>
      <w:ind w:firstLine="200" w:firstLineChars="200"/>
      <w:outlineLvl w:val="5"/>
    </w:pPr>
    <w:rPr>
      <w:rFonts w:ascii="Times New Roman" w:hAnsi="Times New Roman" w:eastAsia="宋体" w:cs="Times New Roman"/>
      <w:sz w:val="24"/>
    </w:rPr>
  </w:style>
  <w:style w:type="paragraph" w:styleId="10">
    <w:name w:val="heading 7"/>
    <w:basedOn w:val="1"/>
    <w:next w:val="1"/>
    <w:qFormat/>
    <w:uiPriority w:val="9"/>
    <w:pPr>
      <w:keepNext/>
      <w:spacing w:line="360" w:lineRule="auto"/>
      <w:ind w:firstLine="200" w:firstLineChars="200"/>
      <w:jc w:val="center"/>
      <w:outlineLvl w:val="6"/>
    </w:pPr>
    <w:rPr>
      <w:rFonts w:ascii="Times New Roman" w:hAnsi="Times New Roman" w:eastAsia="黑体" w:cs="Times New Roman"/>
      <w:sz w:val="32"/>
    </w:rPr>
  </w:style>
  <w:style w:type="paragraph" w:styleId="11">
    <w:name w:val="heading 8"/>
    <w:basedOn w:val="1"/>
    <w:next w:val="1"/>
    <w:qFormat/>
    <w:uiPriority w:val="9"/>
    <w:pPr>
      <w:keepNext/>
      <w:spacing w:line="360" w:lineRule="auto"/>
      <w:ind w:firstLine="200" w:firstLineChars="200"/>
      <w:jc w:val="center"/>
      <w:outlineLvl w:val="7"/>
    </w:pPr>
    <w:rPr>
      <w:rFonts w:ascii="Times New Roman" w:hAnsi="Times New Roman" w:eastAsia="宋体" w:cs="Times New Roman"/>
      <w:sz w:val="32"/>
    </w:rPr>
  </w:style>
  <w:style w:type="paragraph" w:styleId="12">
    <w:name w:val="heading 9"/>
    <w:basedOn w:val="1"/>
    <w:next w:val="1"/>
    <w:qFormat/>
    <w:uiPriority w:val="9"/>
    <w:pPr>
      <w:keepNext/>
      <w:autoSpaceDE w:val="0"/>
      <w:autoSpaceDN w:val="0"/>
      <w:adjustRightInd w:val="0"/>
      <w:spacing w:line="269" w:lineRule="auto"/>
      <w:ind w:firstLine="200" w:firstLineChars="200"/>
      <w:jc w:val="center"/>
      <w:outlineLvl w:val="8"/>
    </w:pPr>
    <w:rPr>
      <w:rFonts w:ascii="Times New Roman" w:hAnsi="Times New Roman" w:eastAsia="宋体" w:cs="Times New Roman"/>
      <w:b/>
      <w:bCs/>
      <w:kern w:val="0"/>
      <w:sz w:val="32"/>
      <w:szCs w:val="30"/>
    </w:rPr>
  </w:style>
  <w:style w:type="character" w:default="1" w:styleId="40">
    <w:name w:val="Default Paragraph Font"/>
    <w:unhideWhenUsed/>
    <w:uiPriority w:val="1"/>
  </w:style>
  <w:style w:type="table" w:default="1" w:styleId="39">
    <w:name w:val="Normal Table"/>
    <w:unhideWhenUsed/>
    <w:uiPriority w:val="99"/>
    <w:tblPr>
      <w:tblCellMar>
        <w:top w:w="0" w:type="dxa"/>
        <w:left w:w="108" w:type="dxa"/>
        <w:bottom w:w="0" w:type="dxa"/>
        <w:right w:w="108" w:type="dxa"/>
      </w:tblCellMar>
    </w:tblPr>
  </w:style>
  <w:style w:type="paragraph" w:customStyle="1" w:styleId="3">
    <w:name w:val="论文正文"/>
    <w:basedOn w:val="1"/>
    <w:qFormat/>
    <w:uiPriority w:val="0"/>
    <w:pPr>
      <w:spacing w:line="360" w:lineRule="auto"/>
      <w:ind w:firstLine="200" w:firstLineChars="200"/>
    </w:pPr>
    <w:rPr>
      <w:rFonts w:ascii="Times New Roman" w:hAnsi="Times New Roman" w:eastAsia="宋体" w:cs="Times New Roman"/>
      <w:sz w:val="24"/>
      <w:szCs w:val="24"/>
    </w:rPr>
  </w:style>
  <w:style w:type="paragraph" w:styleId="5">
    <w:name w:val="Normal Indent"/>
    <w:basedOn w:val="1"/>
    <w:unhideWhenUsed/>
    <w:uiPriority w:val="99"/>
    <w:pPr>
      <w:ind w:firstLine="420"/>
    </w:pPr>
  </w:style>
  <w:style w:type="paragraph" w:styleId="13">
    <w:name w:val="toc 7"/>
    <w:basedOn w:val="1"/>
    <w:next w:val="1"/>
    <w:unhideWhenUsed/>
    <w:uiPriority w:val="39"/>
    <w:pPr>
      <w:ind w:left="2520"/>
    </w:pPr>
  </w:style>
  <w:style w:type="paragraph" w:styleId="14">
    <w:name w:val="Note Heading"/>
    <w:basedOn w:val="1"/>
    <w:next w:val="1"/>
    <w:unhideWhenUsed/>
    <w:uiPriority w:val="99"/>
    <w:pPr>
      <w:spacing w:line="360" w:lineRule="auto"/>
      <w:ind w:firstLine="3000" w:firstLineChars="3000"/>
      <w:jc w:val="center"/>
    </w:pPr>
    <w:rPr>
      <w:rFonts w:ascii="Times New Roman" w:hAnsi="Times New Roman" w:eastAsia="宋体" w:cs="Times New Roman"/>
      <w:sz w:val="24"/>
    </w:rPr>
  </w:style>
  <w:style w:type="paragraph" w:styleId="15">
    <w:name w:val="caption"/>
    <w:basedOn w:val="1"/>
    <w:next w:val="1"/>
    <w:qFormat/>
    <w:uiPriority w:val="35"/>
    <w:pPr>
      <w:spacing w:after="120"/>
      <w:jc w:val="center"/>
    </w:pPr>
    <w:rPr>
      <w:rFonts w:ascii="Times New Roman" w:hAnsi="Times New Roman" w:eastAsia="宋体" w:cs="Times New Roman"/>
      <w:sz w:val="21"/>
      <w:szCs w:val="21"/>
    </w:rPr>
  </w:style>
  <w:style w:type="paragraph" w:styleId="16">
    <w:name w:val="Document Map"/>
    <w:basedOn w:val="1"/>
    <w:unhideWhenUsed/>
    <w:uiPriority w:val="99"/>
    <w:pPr>
      <w:shd w:val="clear" w:color="auto" w:fill="000080"/>
    </w:pPr>
  </w:style>
  <w:style w:type="paragraph" w:styleId="17">
    <w:name w:val="Body Text"/>
    <w:basedOn w:val="1"/>
    <w:unhideWhenUsed/>
    <w:uiPriority w:val="99"/>
    <w:pPr>
      <w:widowControl/>
      <w:ind w:right="35"/>
      <w:jc w:val="left"/>
    </w:pPr>
    <w:rPr>
      <w:sz w:val="24"/>
    </w:rPr>
  </w:style>
  <w:style w:type="paragraph" w:styleId="18">
    <w:name w:val="Body Text Indent"/>
    <w:basedOn w:val="1"/>
    <w:unhideWhenUsed/>
    <w:uiPriority w:val="99"/>
    <w:pPr>
      <w:ind w:firstLine="482"/>
    </w:pPr>
    <w:rPr>
      <w:sz w:val="24"/>
    </w:rPr>
  </w:style>
  <w:style w:type="paragraph" w:styleId="19">
    <w:name w:val="toc 5"/>
    <w:basedOn w:val="1"/>
    <w:next w:val="1"/>
    <w:unhideWhenUsed/>
    <w:uiPriority w:val="39"/>
    <w:pPr>
      <w:ind w:left="1680"/>
    </w:pPr>
  </w:style>
  <w:style w:type="paragraph" w:styleId="20">
    <w:name w:val="toc 3"/>
    <w:basedOn w:val="1"/>
    <w:next w:val="1"/>
    <w:unhideWhenUsed/>
    <w:uiPriority w:val="39"/>
    <w:pPr>
      <w:ind w:firstLine="851"/>
    </w:pPr>
  </w:style>
  <w:style w:type="paragraph" w:styleId="21">
    <w:name w:val="Plain Text"/>
    <w:basedOn w:val="1"/>
    <w:unhideWhenUsed/>
    <w:uiPriority w:val="99"/>
    <w:rPr>
      <w:rFonts w:ascii="宋体" w:hAnsi="Courier New" w:cs="Courier New"/>
      <w:szCs w:val="21"/>
    </w:rPr>
  </w:style>
  <w:style w:type="paragraph" w:styleId="22">
    <w:name w:val="toc 8"/>
    <w:basedOn w:val="1"/>
    <w:next w:val="1"/>
    <w:unhideWhenUsed/>
    <w:uiPriority w:val="39"/>
    <w:pPr>
      <w:ind w:left="2940"/>
    </w:pPr>
  </w:style>
  <w:style w:type="paragraph" w:styleId="23">
    <w:name w:val="Body Text Indent 2"/>
    <w:basedOn w:val="1"/>
    <w:unhideWhenUsed/>
    <w:uiPriority w:val="99"/>
    <w:pPr>
      <w:ind w:left="-141" w:firstLine="213"/>
    </w:pPr>
  </w:style>
  <w:style w:type="paragraph" w:styleId="24">
    <w:name w:val="endnote text"/>
    <w:basedOn w:val="1"/>
    <w:unhideWhenUsed/>
    <w:uiPriority w:val="99"/>
    <w:pPr>
      <w:snapToGrid w:val="0"/>
      <w:jc w:val="left"/>
    </w:pPr>
  </w:style>
  <w:style w:type="paragraph" w:styleId="25">
    <w:name w:val="Balloon Text"/>
    <w:basedOn w:val="1"/>
    <w:link w:val="45"/>
    <w:unhideWhenUsed/>
    <w:uiPriority w:val="99"/>
  </w:style>
  <w:style w:type="paragraph" w:styleId="26">
    <w:name w:val="footer"/>
    <w:basedOn w:val="1"/>
    <w:link w:val="46"/>
    <w:unhideWhenUsed/>
    <w:uiPriority w:val="99"/>
    <w:pPr>
      <w:tabs>
        <w:tab w:val="center" w:pos="4153"/>
        <w:tab w:val="right" w:pos="8306"/>
      </w:tabs>
      <w:snapToGrid w:val="0"/>
      <w:jc w:val="left"/>
    </w:pPr>
    <w:rPr>
      <w:sz w:val="18"/>
    </w:rPr>
  </w:style>
  <w:style w:type="paragraph" w:styleId="27">
    <w:name w:val="header"/>
    <w:basedOn w:val="1"/>
    <w:unhideWhenUsed/>
    <w:uiPriority w:val="99"/>
    <w:pPr>
      <w:pBdr>
        <w:bottom w:val="single" w:color="auto" w:sz="6" w:space="1"/>
      </w:pBdr>
      <w:tabs>
        <w:tab w:val="center" w:pos="4153"/>
        <w:tab w:val="right" w:pos="8306"/>
      </w:tabs>
      <w:snapToGrid w:val="0"/>
      <w:jc w:val="center"/>
    </w:pPr>
    <w:rPr>
      <w:rFonts w:eastAsia="楷体_GB2312"/>
      <w:sz w:val="18"/>
    </w:rPr>
  </w:style>
  <w:style w:type="paragraph" w:styleId="28">
    <w:name w:val="toc 1"/>
    <w:basedOn w:val="1"/>
    <w:next w:val="1"/>
    <w:unhideWhenUsed/>
    <w:uiPriority w:val="39"/>
    <w:rPr>
      <w:sz w:val="24"/>
    </w:rPr>
  </w:style>
  <w:style w:type="paragraph" w:styleId="29">
    <w:name w:val="toc 4"/>
    <w:basedOn w:val="1"/>
    <w:next w:val="1"/>
    <w:unhideWhenUsed/>
    <w:uiPriority w:val="39"/>
    <w:pPr>
      <w:ind w:left="1260"/>
    </w:pPr>
  </w:style>
  <w:style w:type="paragraph" w:styleId="30">
    <w:name w:val="List"/>
    <w:basedOn w:val="1"/>
    <w:unhideWhenUsed/>
    <w:uiPriority w:val="99"/>
    <w:pPr>
      <w:spacing w:line="360" w:lineRule="auto"/>
      <w:ind w:left="200" w:hanging="200" w:hangingChars="200"/>
    </w:pPr>
    <w:rPr>
      <w:rFonts w:ascii="Times New Roman" w:hAnsi="Times New Roman" w:eastAsia="宋体" w:cs="Times New Roman"/>
      <w:sz w:val="21"/>
      <w:szCs w:val="24"/>
    </w:rPr>
  </w:style>
  <w:style w:type="paragraph" w:styleId="31">
    <w:name w:val="footnote text"/>
    <w:basedOn w:val="1"/>
    <w:unhideWhenUsed/>
    <w:uiPriority w:val="99"/>
    <w:pPr>
      <w:snapToGrid w:val="0"/>
      <w:jc w:val="left"/>
    </w:pPr>
    <w:rPr>
      <w:sz w:val="18"/>
      <w:szCs w:val="18"/>
    </w:rPr>
  </w:style>
  <w:style w:type="paragraph" w:styleId="32">
    <w:name w:val="toc 6"/>
    <w:basedOn w:val="1"/>
    <w:next w:val="1"/>
    <w:unhideWhenUsed/>
    <w:uiPriority w:val="39"/>
    <w:pPr>
      <w:ind w:left="2100"/>
    </w:pPr>
  </w:style>
  <w:style w:type="paragraph" w:styleId="33">
    <w:name w:val="Body Text Indent 3"/>
    <w:basedOn w:val="1"/>
    <w:unhideWhenUsed/>
    <w:uiPriority w:val="99"/>
    <w:pPr>
      <w:ind w:firstLine="482"/>
      <w:jc w:val="left"/>
    </w:pPr>
    <w:rPr>
      <w:sz w:val="24"/>
    </w:rPr>
  </w:style>
  <w:style w:type="paragraph" w:styleId="34">
    <w:name w:val="toc 2"/>
    <w:basedOn w:val="1"/>
    <w:next w:val="1"/>
    <w:unhideWhenUsed/>
    <w:uiPriority w:val="39"/>
    <w:pPr>
      <w:ind w:left="397"/>
    </w:pPr>
  </w:style>
  <w:style w:type="paragraph" w:styleId="35">
    <w:name w:val="toc 9"/>
    <w:basedOn w:val="1"/>
    <w:next w:val="1"/>
    <w:unhideWhenUsed/>
    <w:uiPriority w:val="39"/>
    <w:pPr>
      <w:ind w:left="3360"/>
    </w:pPr>
  </w:style>
  <w:style w:type="paragraph" w:styleId="36">
    <w:name w:val="Body Text 2"/>
    <w:basedOn w:val="1"/>
    <w:unhideWhenUsed/>
    <w:uiPriority w:val="99"/>
    <w:pPr>
      <w:adjustRightInd w:val="0"/>
      <w:spacing w:line="440" w:lineRule="atLeast"/>
      <w:jc w:val="center"/>
      <w:textAlignment w:val="baseline"/>
    </w:pPr>
    <w:rPr>
      <w:kern w:val="0"/>
      <w:sz w:val="21"/>
      <w:szCs w:val="20"/>
    </w:rPr>
  </w:style>
  <w:style w:type="paragraph" w:styleId="37">
    <w:name w:val="Normal (Web)"/>
    <w:basedOn w:val="1"/>
    <w:unhideWhenUsed/>
    <w:uiPriority w:val="99"/>
    <w:pPr>
      <w:widowControl/>
      <w:spacing w:before="100" w:beforeAutospacing="1" w:after="100" w:afterAutospacing="1" w:line="360" w:lineRule="auto"/>
      <w:ind w:firstLine="200" w:firstLineChars="200"/>
      <w:jc w:val="left"/>
    </w:pPr>
    <w:rPr>
      <w:rFonts w:ascii="Arial Unicode MS" w:hAnsi="Arial Unicode MS" w:eastAsia="Arial Unicode MS" w:cs="Arial Unicode MS"/>
      <w:kern w:val="0"/>
      <w:sz w:val="24"/>
      <w:szCs w:val="24"/>
    </w:rPr>
  </w:style>
  <w:style w:type="paragraph" w:styleId="38">
    <w:name w:val="Title"/>
    <w:basedOn w:val="1"/>
    <w:qFormat/>
    <w:uiPriority w:val="10"/>
    <w:pPr>
      <w:spacing w:after="100" w:afterLines="100" w:line="360" w:lineRule="auto"/>
      <w:ind w:firstLine="0" w:firstLineChars="0"/>
      <w:jc w:val="center"/>
    </w:pPr>
    <w:rPr>
      <w:rFonts w:ascii="Times New Roman" w:hAnsi="Times New Roman" w:eastAsia="黑体" w:cs="Times New Roman"/>
      <w:sz w:val="32"/>
      <w:szCs w:val="24"/>
    </w:rPr>
  </w:style>
  <w:style w:type="character" w:styleId="41">
    <w:name w:val="page number"/>
    <w:basedOn w:val="40"/>
    <w:unhideWhenUsed/>
    <w:uiPriority w:val="99"/>
  </w:style>
  <w:style w:type="character" w:styleId="42">
    <w:name w:val="FollowedHyperlink"/>
    <w:unhideWhenUsed/>
    <w:uiPriority w:val="99"/>
    <w:rPr>
      <w:color w:val="800080"/>
      <w:u w:val="single"/>
    </w:rPr>
  </w:style>
  <w:style w:type="character" w:styleId="43">
    <w:name w:val="Hyperlink"/>
    <w:unhideWhenUsed/>
    <w:uiPriority w:val="99"/>
    <w:rPr>
      <w:color w:val="0000FF"/>
      <w:u w:val="single"/>
    </w:rPr>
  </w:style>
  <w:style w:type="character" w:styleId="44">
    <w:name w:val="footnote reference"/>
    <w:unhideWhenUsed/>
    <w:uiPriority w:val="99"/>
    <w:rPr>
      <w:vertAlign w:val="superscript"/>
    </w:rPr>
  </w:style>
  <w:style w:type="character" w:customStyle="1" w:styleId="45">
    <w:name w:val="批注框文本 字符"/>
    <w:link w:val="25"/>
    <w:uiPriority w:val="0"/>
    <w:rPr>
      <w:kern w:val="2"/>
      <w:sz w:val="18"/>
      <w:szCs w:val="18"/>
    </w:rPr>
  </w:style>
  <w:style w:type="character" w:customStyle="1" w:styleId="46">
    <w:name w:val="页脚 字符"/>
    <w:link w:val="26"/>
    <w:uiPriority w:val="0"/>
    <w:rPr>
      <w:rFonts w:ascii="Times New Roman" w:hAnsi="Times New Roman" w:eastAsia="宋体" w:cs="Times New Roman"/>
      <w:sz w:val="18"/>
    </w:rPr>
  </w:style>
  <w:style w:type="paragraph" w:customStyle="1" w:styleId="47">
    <w:name w:val="正文2"/>
    <w:basedOn w:val="48"/>
    <w:next w:val="48"/>
    <w:uiPriority w:val="0"/>
    <w:rPr>
      <w:rFonts w:ascii="Courier New" w:hAnsi="Courier New"/>
    </w:rPr>
  </w:style>
  <w:style w:type="paragraph" w:customStyle="1" w:styleId="48">
    <w:name w:val="正文1"/>
    <w:basedOn w:val="1"/>
    <w:uiPriority w:val="0"/>
    <w:pPr>
      <w:ind w:firstLine="425"/>
    </w:pPr>
    <w:rPr>
      <w:rFonts w:ascii="Times New Roman" w:hAnsi="Times New Roman" w:eastAsia="宋体" w:cs="Times New Roman"/>
      <w:sz w:val="24"/>
      <w:szCs w:val="24"/>
    </w:rPr>
  </w:style>
  <w:style w:type="paragraph" w:customStyle="1" w:styleId="49">
    <w:name w:val="表格"/>
    <w:basedOn w:val="48"/>
    <w:uiPriority w:val="0"/>
    <w:pPr>
      <w:spacing w:before="80" w:after="80"/>
      <w:ind w:firstLine="0"/>
      <w:jc w:val="left"/>
    </w:pPr>
    <w:rPr>
      <w:sz w:val="18"/>
    </w:rPr>
  </w:style>
  <w:style w:type="paragraph" w:customStyle="1" w:styleId="50">
    <w:name w:val="图"/>
    <w:basedOn w:val="15"/>
    <w:next w:val="15"/>
    <w:uiPriority w:val="0"/>
  </w:style>
  <w:style w:type="paragraph" w:customStyle="1" w:styleId="51">
    <w:name w:val="标题4"/>
    <w:basedOn w:val="1"/>
    <w:next w:val="5"/>
    <w:uiPriority w:val="0"/>
    <w:pPr>
      <w:outlineLvl w:val="3"/>
    </w:pPr>
    <w:rPr>
      <w:rFonts w:ascii="宋体" w:hAnsi="宋体"/>
    </w:rPr>
  </w:style>
  <w:style w:type="paragraph" w:customStyle="1" w:styleId="52">
    <w:name w:val="注意内容"/>
    <w:basedOn w:val="1"/>
    <w:next w:val="5"/>
    <w:uiPriority w:val="0"/>
    <w:pPr>
      <w:shd w:val="pct20" w:color="auto" w:fill="auto"/>
      <w:adjustRightInd w:val="0"/>
      <w:spacing w:line="310" w:lineRule="atLeast"/>
      <w:ind w:firstLine="420"/>
      <w:textAlignment w:val="baseline"/>
    </w:pPr>
    <w:rPr>
      <w:rFonts w:eastAsia="楷体_GB2312"/>
      <w:kern w:val="0"/>
    </w:rPr>
  </w:style>
  <w:style w:type="paragraph" w:customStyle="1" w:styleId="53">
    <w:name w:val="注释标题1"/>
    <w:basedOn w:val="14"/>
    <w:uiPriority w:val="0"/>
    <w:pPr>
      <w:spacing w:after="100" w:afterLines="100"/>
    </w:pPr>
  </w:style>
  <w:style w:type="paragraph" w:customStyle="1" w:styleId="54">
    <w:name w:val="程序"/>
    <w:basedOn w:val="21"/>
    <w:uiPriority w:val="0"/>
    <w:pPr>
      <w:spacing w:line="300" w:lineRule="auto"/>
    </w:pPr>
    <w:rPr>
      <w:rFonts w:ascii="Times New Roman" w:hAnsi="Times New Roman"/>
    </w:rPr>
  </w:style>
  <w:style w:type="paragraph" w:customStyle="1" w:styleId="55">
    <w:name w:val="正文＋"/>
    <w:basedOn w:val="1"/>
    <w:next w:val="56"/>
    <w:uiPriority w:val="0"/>
    <w:pPr>
      <w:spacing w:after="120"/>
    </w:pPr>
  </w:style>
  <w:style w:type="paragraph" w:customStyle="1" w:styleId="56">
    <w:name w:val="命令行"/>
    <w:basedOn w:val="1"/>
    <w:uiPriority w:val="0"/>
    <w:pPr>
      <w:shd w:val="pct10" w:color="auto" w:fill="FFFFFF"/>
      <w:jc w:val="center"/>
    </w:pPr>
    <w:rPr>
      <w:rFonts w:ascii="Lucida Console" w:hAnsi="Lucida Console"/>
    </w:rPr>
  </w:style>
  <w:style w:type="paragraph" w:customStyle="1" w:styleId="57">
    <w:name w:val="表头"/>
    <w:basedOn w:val="15"/>
    <w:uiPriority w:val="0"/>
    <w:pPr>
      <w:spacing w:before="120"/>
      <w:outlineLvl w:val="3"/>
    </w:pPr>
    <w:rPr>
      <w:rFonts w:eastAsia="黑体"/>
    </w:rPr>
  </w:style>
  <w:style w:type="paragraph" w:styleId="58">
    <w:name w:val="List Paragraph"/>
    <w:basedOn w:val="1"/>
    <w:qFormat/>
    <w:uiPriority w:val="34"/>
    <w:pPr>
      <w:ind w:firstLine="420"/>
    </w:pPr>
  </w:style>
  <w:style w:type="paragraph" w:customStyle="1" w:styleId="59">
    <w:name w:val="注释"/>
    <w:basedOn w:val="1"/>
    <w:next w:val="1"/>
    <w:uiPriority w:val="0"/>
    <w:pPr>
      <w:spacing w:before="120" w:after="120"/>
    </w:pPr>
    <w:rPr>
      <w:rFonts w:eastAsia="楷体_GB2312"/>
      <w:sz w:val="18"/>
    </w:rPr>
  </w:style>
  <w:style w:type="paragraph" w:customStyle="1" w:styleId="60">
    <w:name w:val="节"/>
    <w:basedOn w:val="1"/>
    <w:next w:val="1"/>
    <w:uiPriority w:val="0"/>
    <w:pPr>
      <w:spacing w:before="120"/>
    </w:pPr>
    <w:rPr>
      <w:rFonts w:eastAsia="黑体"/>
    </w:rPr>
  </w:style>
  <w:style w:type="paragraph" w:customStyle="1" w:styleId="61">
    <w:name w:val="图注"/>
    <w:basedOn w:val="15"/>
    <w:next w:val="1"/>
    <w:uiPriority w:val="0"/>
  </w:style>
  <w:style w:type="paragraph" w:customStyle="1" w:styleId="62">
    <w:name w:val="表注"/>
    <w:basedOn w:val="15"/>
    <w:uiPriority w:val="0"/>
    <w:rPr>
      <w:rFonts w:eastAsia="黑体"/>
    </w:rPr>
  </w:style>
  <w:style w:type="paragraph" w:customStyle="1" w:styleId="63">
    <w:name w:val="单命令行"/>
    <w:basedOn w:val="1"/>
    <w:next w:val="1"/>
    <w:uiPriority w:val="0"/>
    <w:pPr>
      <w:ind w:left="425"/>
      <w:jc w:val="left"/>
    </w:pPr>
    <w:rPr>
      <w:rFonts w:ascii="Courier New" w:hAnsi="Courier New"/>
    </w:rPr>
  </w:style>
  <w:style w:type="paragraph" w:customStyle="1" w:styleId="64">
    <w:name w:val="WPSOffice手动目录 1"/>
    <w:uiPriority w:val="0"/>
    <w:pPr>
      <w:ind w:leftChars="0"/>
    </w:pPr>
    <w:rPr>
      <w:rFonts w:ascii="Times New Roman" w:hAnsi="Times New Roman" w:eastAsia="宋体" w:cs="Times New Roman"/>
      <w:sz w:val="20"/>
      <w:szCs w:val="20"/>
    </w:rPr>
  </w:style>
  <w:style w:type="paragraph" w:customStyle="1" w:styleId="65">
    <w:name w:val="WPSOffice手动目录 2"/>
    <w:uiPriority w:val="0"/>
    <w:pPr>
      <w:ind w:leftChars="200"/>
    </w:pPr>
    <w:rPr>
      <w:rFonts w:ascii="Times New Roman" w:hAnsi="Times New Roman" w:eastAsia="宋体" w:cs="Times New Roman"/>
      <w:sz w:val="20"/>
      <w:szCs w:val="20"/>
    </w:rPr>
  </w:style>
  <w:style w:type="paragraph" w:customStyle="1" w:styleId="66">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21.jpeg"/><Relationship Id="rId43" Type="http://schemas.openxmlformats.org/officeDocument/2006/relationships/image" Target="media/image20.jpeg"/><Relationship Id="rId42" Type="http://schemas.openxmlformats.org/officeDocument/2006/relationships/image" Target="media/image19.jpeg"/><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footer" Target="footer1.xml"/><Relationship Id="rId39" Type="http://schemas.openxmlformats.org/officeDocument/2006/relationships/image" Target="media/image16.jpe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footer" Target="footer8.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buaa206mao</Company>
  <Pages>77</Pages>
  <Words>1427</Words>
  <Characters>8135</Characters>
  <Lines>67</Lines>
  <Paragraphs>19</Paragraphs>
  <TotalTime>3</TotalTime>
  <ScaleCrop>false</ScaleCrop>
  <LinksUpToDate>false</LinksUpToDate>
  <CharactersWithSpaces>9543</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2003-05-13T16:30:00Z</dcterms:created>
  <dc:creator>zhuga</dc:creator>
  <cp:lastModifiedBy>咿呀姐姐。</cp:lastModifiedBy>
  <cp:lastPrinted>2015-12-27T20:38:00Z</cp:lastPrinted>
  <dcterms:modified xsi:type="dcterms:W3CDTF">2026-08-06T15:07:29Z</dcterms:modified>
  <dc:title>分类号                                    单位代号        10006</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A066C0871A9B9339CAB86C6AC8511272_43</vt:lpwstr>
  </property>
</Properties>
</file>