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038BF" w14:textId="1A0A66B0" w:rsidR="00221D83" w:rsidRDefault="007F45BE" w:rsidP="001D06F3">
      <w:pPr>
        <w:pStyle w:val="Heading1"/>
      </w:pPr>
      <w:r>
        <w:t>Question 1</w:t>
      </w:r>
    </w:p>
    <w:p w14:paraId="4C2914E3" w14:textId="73F8DD16" w:rsidR="00B52B08" w:rsidRDefault="00E65021" w:rsidP="00B52B08">
      <w:r>
        <w:tab/>
      </w:r>
      <w:r w:rsidR="00133BF3">
        <w:t>Pacific cod (</w:t>
      </w:r>
      <w:r w:rsidR="00133BF3">
        <w:rPr>
          <w:i/>
          <w:iCs/>
        </w:rPr>
        <w:t>Gadus macrocephalus</w:t>
      </w:r>
      <w:r w:rsidR="00133BF3">
        <w:t xml:space="preserve">) </w:t>
      </w:r>
      <w:r w:rsidR="001D47A6">
        <w:t>are a wide-ranging species that occur from the ranges of Japan to California</w:t>
      </w:r>
      <w:r w:rsidR="000D7AA3">
        <w:t xml:space="preserve">. </w:t>
      </w:r>
      <w:r w:rsidR="00622E64">
        <w:t xml:space="preserve">Currently, my prevailing hypothesis for Pacific cod stock structure in Alaska </w:t>
      </w:r>
      <w:r w:rsidR="00891DDF">
        <w:t xml:space="preserve">separates Pacific cod into 4 stocks, which include the Bering Sea </w:t>
      </w:r>
      <w:r w:rsidR="00EF7622">
        <w:t xml:space="preserve">(BS) </w:t>
      </w:r>
      <w:r w:rsidR="00891DDF">
        <w:t xml:space="preserve">(combined northern and eastern), </w:t>
      </w:r>
      <w:r w:rsidR="00150050">
        <w:t>the Aleutian Islands (AI)</w:t>
      </w:r>
      <w:r w:rsidR="00967A09">
        <w:t xml:space="preserve">, the western Gulf of Alaska (WGOA), and the eastern GOA (EGOA). </w:t>
      </w:r>
      <w:r w:rsidR="00261A9B">
        <w:t xml:space="preserve">The stock structure for Pacific cod is likely a </w:t>
      </w:r>
      <w:r w:rsidR="007409EE">
        <w:t xml:space="preserve">result of the </w:t>
      </w:r>
      <w:r w:rsidR="00261A9B">
        <w:t xml:space="preserve">combination of environmental (i.e., </w:t>
      </w:r>
      <w:r w:rsidR="00102B3D">
        <w:t>oceanographic</w:t>
      </w:r>
      <w:r w:rsidR="006852B2">
        <w:t xml:space="preserve"> breaks between </w:t>
      </w:r>
      <w:r w:rsidR="00472960">
        <w:t xml:space="preserve">EGOA and WGOA, as well as Unimak and </w:t>
      </w:r>
      <w:proofErr w:type="spellStart"/>
      <w:r w:rsidR="00472960">
        <w:t>Samalga</w:t>
      </w:r>
      <w:proofErr w:type="spellEnd"/>
      <w:r w:rsidR="00472960">
        <w:t xml:space="preserve"> Pass)</w:t>
      </w:r>
      <w:r w:rsidR="009E7710">
        <w:t xml:space="preserve"> and </w:t>
      </w:r>
      <w:r w:rsidR="00962E4B">
        <w:t>life-history</w:t>
      </w:r>
      <w:r w:rsidR="00982347">
        <w:t xml:space="preserve"> processes</w:t>
      </w:r>
      <w:r w:rsidR="00962E4B">
        <w:t xml:space="preserve"> (i.e., natal homing dynamics and semi-adhesive eggs)</w:t>
      </w:r>
      <w:r w:rsidR="00ED2186">
        <w:t>, which I will further discuss below.</w:t>
      </w:r>
    </w:p>
    <w:p w14:paraId="53365368" w14:textId="77777777" w:rsidR="00163FC3" w:rsidRDefault="00163FC3" w:rsidP="00B52B08"/>
    <w:p w14:paraId="621C9EC0" w14:textId="005F05FD" w:rsidR="00032C56" w:rsidRDefault="00032C56" w:rsidP="005D23BA">
      <w:pPr>
        <w:ind w:firstLine="720"/>
        <w:jc w:val="both"/>
        <w:rPr>
          <w:rFonts w:cs="Times New Roman"/>
        </w:rPr>
      </w:pPr>
      <w:r w:rsidRPr="000B4B4F">
        <w:rPr>
          <w:rFonts w:cs="Times New Roman"/>
        </w:rPr>
        <w:t xml:space="preserve">Within the </w:t>
      </w:r>
      <w:r w:rsidR="006F447E" w:rsidRPr="000B4B4F">
        <w:rPr>
          <w:rFonts w:cs="Times New Roman"/>
        </w:rPr>
        <w:t>BS</w:t>
      </w:r>
      <w:r w:rsidRPr="000B4B4F">
        <w:rPr>
          <w:rFonts w:cs="Times New Roman"/>
        </w:rPr>
        <w:t xml:space="preserve"> region, recent changes in the locations in which Pacific cod are caught have resulted in some speculation of sub-stock structure in the </w:t>
      </w:r>
      <w:r w:rsidR="004F5ADB" w:rsidRPr="000B4B4F">
        <w:rPr>
          <w:rFonts w:cs="Times New Roman"/>
        </w:rPr>
        <w:t>BS</w:t>
      </w:r>
      <w:r w:rsidRPr="000B4B4F">
        <w:rPr>
          <w:rFonts w:cs="Times New Roman"/>
        </w:rPr>
        <w:t xml:space="preserve">. However, studies have shown that </w:t>
      </w:r>
      <w:r w:rsidRPr="0081177C">
        <w:rPr>
          <w:rFonts w:cs="Times New Roman"/>
          <w:b/>
          <w:bCs/>
          <w:i/>
          <w:iCs/>
        </w:rPr>
        <w:t xml:space="preserve">individuals </w:t>
      </w:r>
      <w:r w:rsidR="00716A12">
        <w:rPr>
          <w:rFonts w:cs="Times New Roman"/>
          <w:b/>
          <w:bCs/>
          <w:i/>
          <w:iCs/>
        </w:rPr>
        <w:t xml:space="preserve">residing </w:t>
      </w:r>
      <w:r w:rsidRPr="0081177C">
        <w:rPr>
          <w:rFonts w:cs="Times New Roman"/>
          <w:b/>
          <w:bCs/>
          <w:i/>
          <w:iCs/>
        </w:rPr>
        <w:t xml:space="preserve">in the </w:t>
      </w:r>
      <w:r w:rsidR="0018043A" w:rsidRPr="0081177C">
        <w:rPr>
          <w:rFonts w:cs="Times New Roman"/>
          <w:b/>
          <w:bCs/>
          <w:i/>
          <w:iCs/>
        </w:rPr>
        <w:t>BS</w:t>
      </w:r>
      <w:r w:rsidRPr="0081177C">
        <w:rPr>
          <w:rFonts w:cs="Times New Roman"/>
          <w:b/>
          <w:bCs/>
          <w:i/>
          <w:iCs/>
        </w:rPr>
        <w:t xml:space="preserve"> are a single stock</w:t>
      </w:r>
      <w:r w:rsidRPr="000B4B4F">
        <w:rPr>
          <w:rFonts w:cs="Times New Roman"/>
        </w:rPr>
        <w:t xml:space="preserve">, </w:t>
      </w:r>
      <w:r w:rsidR="00452C88">
        <w:rPr>
          <w:rFonts w:cs="Times New Roman"/>
        </w:rPr>
        <w:t>and there lacks stock structure between the EBS and NBS.</w:t>
      </w:r>
      <w:r w:rsidRPr="000B4B4F">
        <w:rPr>
          <w:rFonts w:cs="Times New Roman"/>
        </w:rPr>
        <w:t xml:space="preserve"> Their recent occurrence in these regions are likely due to changes in distribution in response to climate warming, rather than a genetically distinct stock between the EBS and NBS </w:t>
      </w:r>
      <w:r w:rsidRPr="000B4B4F">
        <w:rPr>
          <w:rFonts w:cs="Times New Roman"/>
        </w:rPr>
        <w:fldChar w:fldCharType="begin"/>
      </w:r>
      <w:r w:rsidR="00E017D4">
        <w:rPr>
          <w:rFonts w:cs="Times New Roman"/>
        </w:rPr>
        <w:instrText xml:space="preserve"> ADDIN ZOTERO_ITEM CSL_CITATION {"citationID":"81LrnXJo","properties":{"formattedCitation":"(Spies et al. 2020)","plainCitation":"(Spies et al. 2020)","noteIndex":0},"citationItems":[{"id":14462,"uris":["http://zotero.org/users/6698527/items/XHV7KC24"],"itemData":{"id":14462,"type":"article-journal","abstract":"Poleward species range shifts have been predicted to result from climate change, and many observations have confirmed such movement. Poleward shifts may represent a homogeneous shift in distribution, seasonal northward movement of specific populations, or colonization processes at the poleward edge of the distribution. The ecosystem of the Bering Sea has been changing along with the climate, moving from an arctic to a subarctic system. Several fish species have been observed farther north than previously reported and in increasing abundances. We examined one of these fish species, Pacific cod, in the northern Bering Sea (NBS) to assess whether they migrated from another stock in the eastern Bering Sea (EBS), Gulf of Alaska, or Aleutian Islands, or whether they represent a separate population. Genetic analyses using 3,599 single nucleotide polymorphism markers indicated that nonspawning cod collected in August 2017 in the NBS were similar to spawning stocks of cod in the EBS. This result suggests escalating northward movement of the large EBS stock during summer months. Whether the cod observed in the NBS migrate south during winter to spawn or remain in the NBS as a sink population is unknown.","container-title":"Evolutionary Applications","DOI":"10.1111/eva.12874","ISSN":"1752-4571, 1752-4571","issue":"2","journalAbbreviation":"Evolutionary Applications","language":"en","page":"362-375","source":"DOI.org (Crossref)","title":"Genetic evidence of a northward range expansion in the eastern Bering Sea stock of Pacific cod","volume":"13","author":[{"family":"Spies","given":"Ingrid"},{"family":"Gruenthal","given":"Kristen M."},{"family":"Drinan","given":"Daniel P."},{"family":"Hollowed","given":"Anne B."},{"family":"Stevenson","given":"Duane E."},{"family":"Tarpey","given":"Carolyn M."},{"family":"Hauser","given":"Lorenz"}],"issued":{"date-parts":[["2020",2]]}}}],"schema":"https://github.com/citation-style-language/schema/raw/master/csl-citation.json"} </w:instrText>
      </w:r>
      <w:r w:rsidRPr="000B4B4F">
        <w:rPr>
          <w:rFonts w:cs="Times New Roman"/>
        </w:rPr>
        <w:fldChar w:fldCharType="separate"/>
      </w:r>
      <w:r w:rsidR="00E017D4">
        <w:rPr>
          <w:rFonts w:cs="Times New Roman"/>
        </w:rPr>
        <w:t>(Spies et al. 2020)</w:t>
      </w:r>
      <w:r w:rsidRPr="000B4B4F">
        <w:rPr>
          <w:rFonts w:cs="Times New Roman"/>
        </w:rPr>
        <w:fldChar w:fldCharType="end"/>
      </w:r>
      <w:r w:rsidRPr="000B4B4F">
        <w:rPr>
          <w:rFonts w:cs="Times New Roman"/>
        </w:rPr>
        <w:t xml:space="preserve">. This is evidenced by the fact that individuals caught in the NBS had loci </w:t>
      </w:r>
      <w:r w:rsidR="008034BA">
        <w:rPr>
          <w:rFonts w:cs="Times New Roman"/>
        </w:rPr>
        <w:t xml:space="preserve">(via </w:t>
      </w:r>
      <w:proofErr w:type="spellStart"/>
      <w:r w:rsidR="008034BA">
        <w:rPr>
          <w:rFonts w:cs="Times New Roman"/>
        </w:rPr>
        <w:t>RADSeq</w:t>
      </w:r>
      <w:proofErr w:type="spellEnd"/>
      <w:r w:rsidR="00023685">
        <w:rPr>
          <w:rFonts w:cs="Times New Roman"/>
        </w:rPr>
        <w:t xml:space="preserve">) </w:t>
      </w:r>
      <w:r w:rsidRPr="000B4B4F">
        <w:rPr>
          <w:rFonts w:cs="Times New Roman"/>
        </w:rPr>
        <w:t>that clustered from various locations in the EBS</w:t>
      </w:r>
      <w:r w:rsidR="00DB4DA2">
        <w:rPr>
          <w:rFonts w:cs="Times New Roman"/>
        </w:rPr>
        <w:t xml:space="preserve"> (n = 3 locations in the EBS)</w:t>
      </w:r>
      <w:r w:rsidR="00E94F7C">
        <w:rPr>
          <w:rFonts w:cs="Times New Roman"/>
        </w:rPr>
        <w:t xml:space="preserve">. Further, this is also evidenced by the fact </w:t>
      </w:r>
      <w:r w:rsidRPr="000B4B4F">
        <w:rPr>
          <w:rFonts w:cs="Times New Roman"/>
        </w:rPr>
        <w:t xml:space="preserve">individuals </w:t>
      </w:r>
      <w:r w:rsidR="00587463">
        <w:rPr>
          <w:rFonts w:cs="Times New Roman"/>
        </w:rPr>
        <w:t>sampled</w:t>
      </w:r>
      <w:r w:rsidRPr="000B4B4F">
        <w:rPr>
          <w:rFonts w:cs="Times New Roman"/>
        </w:rPr>
        <w:t xml:space="preserve"> in the NBS had higher genetic diversity than those </w:t>
      </w:r>
      <w:r w:rsidR="00642AFF">
        <w:rPr>
          <w:rFonts w:cs="Times New Roman"/>
        </w:rPr>
        <w:t>individually</w:t>
      </w:r>
      <w:r w:rsidR="00C82753">
        <w:rPr>
          <w:rFonts w:cs="Times New Roman"/>
        </w:rPr>
        <w:t xml:space="preserve"> considered in the EBS</w:t>
      </w:r>
      <w:r w:rsidR="00642AFF">
        <w:rPr>
          <w:rFonts w:cs="Times New Roman"/>
        </w:rPr>
        <w:t xml:space="preserve">. </w:t>
      </w:r>
      <w:r w:rsidR="00FF4F16">
        <w:rPr>
          <w:rFonts w:cs="Times New Roman"/>
        </w:rPr>
        <w:t>If</w:t>
      </w:r>
      <w:r w:rsidRPr="000B4B4F">
        <w:rPr>
          <w:rFonts w:cs="Times New Roman"/>
        </w:rPr>
        <w:t xml:space="preserve"> the NBS </w:t>
      </w:r>
      <w:r w:rsidR="0099438F">
        <w:rPr>
          <w:rFonts w:cs="Times New Roman"/>
        </w:rPr>
        <w:t>represented</w:t>
      </w:r>
      <w:r w:rsidRPr="000B4B4F">
        <w:rPr>
          <w:rFonts w:cs="Times New Roman"/>
        </w:rPr>
        <w:t xml:space="preserve"> </w:t>
      </w:r>
      <w:r w:rsidR="00FB364F">
        <w:rPr>
          <w:rFonts w:cs="Times New Roman"/>
        </w:rPr>
        <w:t xml:space="preserve">a separate population, </w:t>
      </w:r>
      <w:r w:rsidRPr="000B4B4F">
        <w:rPr>
          <w:rFonts w:cs="Times New Roman"/>
        </w:rPr>
        <w:t xml:space="preserve">established </w:t>
      </w:r>
      <w:r w:rsidR="001C615C">
        <w:rPr>
          <w:rFonts w:cs="Times New Roman"/>
        </w:rPr>
        <w:t>via</w:t>
      </w:r>
      <w:r w:rsidRPr="000B4B4F">
        <w:rPr>
          <w:rFonts w:cs="Times New Roman"/>
        </w:rPr>
        <w:t xml:space="preserve"> founder effects, you would expect reduced genetic variability</w:t>
      </w:r>
      <w:r w:rsidR="002E7A34">
        <w:rPr>
          <w:rFonts w:cs="Times New Roman"/>
        </w:rPr>
        <w:t xml:space="preserve">. Thus, </w:t>
      </w:r>
      <w:r w:rsidRPr="000B4B4F">
        <w:rPr>
          <w:rFonts w:cs="Times New Roman"/>
        </w:rPr>
        <w:t>their recent expansion into the NBS is likely due to a feeding migration</w:t>
      </w:r>
      <w:r w:rsidR="002E7A34">
        <w:rPr>
          <w:rFonts w:cs="Times New Roman"/>
        </w:rPr>
        <w:t xml:space="preserve"> as a result of climate impacts, and </w:t>
      </w:r>
      <w:r w:rsidR="00423036">
        <w:rPr>
          <w:rFonts w:cs="Times New Roman"/>
        </w:rPr>
        <w:t xml:space="preserve">individuals residing within the BS most likely constitute a single stock. </w:t>
      </w:r>
    </w:p>
    <w:p w14:paraId="05247B3E" w14:textId="77777777" w:rsidR="001F24DA" w:rsidRDefault="001F24DA" w:rsidP="005D23BA">
      <w:pPr>
        <w:ind w:firstLine="720"/>
        <w:jc w:val="both"/>
        <w:rPr>
          <w:rFonts w:cs="Times New Roman"/>
        </w:rPr>
      </w:pPr>
    </w:p>
    <w:p w14:paraId="004EBC50" w14:textId="2B7A2176" w:rsidR="000978D8" w:rsidRPr="00DC117D" w:rsidRDefault="009671EF" w:rsidP="00170D3F">
      <w:pPr>
        <w:ind w:firstLine="720"/>
        <w:jc w:val="both"/>
        <w:rPr>
          <w:rFonts w:cs="Times New Roman"/>
        </w:rPr>
      </w:pPr>
      <w:r w:rsidRPr="00DC117D">
        <w:rPr>
          <w:rFonts w:cs="Times New Roman"/>
        </w:rPr>
        <w:t>Although previous management boundaries have defined the BS and AI as a single stock, recent work has confirmed that these two regions</w:t>
      </w:r>
      <w:r w:rsidR="00AF00BC" w:rsidRPr="00DC117D">
        <w:rPr>
          <w:rFonts w:cs="Times New Roman"/>
        </w:rPr>
        <w:t xml:space="preserve"> constitute separate </w:t>
      </w:r>
      <w:r w:rsidR="008C4913" w:rsidRPr="00DC117D">
        <w:rPr>
          <w:rFonts w:cs="Times New Roman"/>
        </w:rPr>
        <w:t>stocks</w:t>
      </w:r>
      <w:r w:rsidR="0013601D" w:rsidRPr="00DC117D">
        <w:rPr>
          <w:rFonts w:cs="Times New Roman"/>
        </w:rPr>
        <w:t xml:space="preserve"> </w:t>
      </w:r>
      <w:r w:rsidR="00E017D4" w:rsidRPr="00DC117D">
        <w:rPr>
          <w:rFonts w:cs="Times New Roman"/>
        </w:rPr>
        <w:fldChar w:fldCharType="begin"/>
      </w:r>
      <w:r w:rsidR="00E017D4" w:rsidRPr="00DC117D">
        <w:rPr>
          <w:rFonts w:cs="Times New Roman"/>
        </w:rPr>
        <w:instrText xml:space="preserve"> ADDIN ZOTERO_ITEM CSL_CITATION {"citationID":"4Ok11NrQ","properties":{"formattedCitation":"(Spies 2012; Drinan et al. 2018)","plainCitation":"(Spies 2012; Drinan et al. 2018)","noteIndex":0},"citationItems":[{"id":14459,"uris":["http://zotero.org/users/6698527/items/ZV8AP9PK"],"itemData":{"id":14459,"type":"article-journal","abstract":"Landscape genetics of Paciﬁc cod Gadus macrocephalus within the Bering Sea and Aleutian Islands (BSAI) management area of Alaska was examined in samples from nine spawning locations, including one temporal replicate sample, using 17 microsatellite DNA markers. This study examined ﬁne-scale population structure of Paciﬁc cod in the BSAI with the goal of identifying breaks in genetic continuity associated with physical barriers to migration and larval transport. Samples were taken from spawning ﬁsh collected from the western Aleutian Islands east to Unimak Pass and as far north as the Pribilof Islands. Overall, this work conﬁrms previous studies, which found that genetic differentiation between samples is proportional to the distance between them, and also resolves population structure on a scale not previously possible. Results indicate that dispersal is not continuous at a ﬁne scale and several distinct genetic groups were identiﬁed that correspond to differences in the physical environment of the BSAI. The data provide evidence for limited connectivity among spawning groups; in particular, there is evidence that a barrier exists between the Aleutian Islands and the eastern Bering Sea. In addition, analysis of molecular variance and Monmonier algorithm results suggest that, within the Bering Sea, the Unimak Pass and Pribilof Islands spawning groups may be distinct from each other, and the Wombling analysis indicates that samples west of Amchitka Pass in the western Aleutians may be distinct from those in the eastern Aleutians.","container-title":"Transactions of the American Fisheries Society","DOI":"10.1080/00028487.2012.711265","ISSN":"0002-8487, 1548-8659","issue":"6","journalAbbreviation":"Trans Am Fish Soc","language":"en","page":"1557-1573","source":"DOI.org (Crossref)","title":"Landscape Genetics Reveals Population Subdivision in Bering Sea and Aleutian Islands Pacific Cod","volume":"141","author":[{"family":"Spies","given":"Ingrid"}],"issued":{"date-parts":[["2012",11]]}}},{"id":14457,"uris":["http://zotero.org/users/6698527/items/5BG72TWK"],"itemData":{"id":14457,"type":"article-journal","abstract":"The discernment of populations as management units is a fundamental prerequisite for sustainable exploitation of species. A lack of clear stock boundaries complicates not only the identification of spatial management units, but also the assessment of mixed fisheries by population assignment and mixed stock analysis. Many marine species, such as Pacific cod, are characterized by isolation by distance, showing significant differentiation but no clear stock boundaries. Here, we used restriction-­site-­ associated DNA (RAD) sequencing to investigate population structure and assess power to genetically assign Pacific cod to putative populations of origin. Samples were collected across the species range in the eastern Pacific Ocean, from the Salish Sea to the Aleutian Islands. A total of 6,425 putative biallelic single nucleotide polymorphisms were identified from 276 individuals. We found a strong isolation-­by-­ distance signal along coastlines that mirrored previous microsatellite results and pronounced genetic differentiation between coastal samples and those from the inland waters of the Salish Sea, with no evidence for hybridization between these two populations. Individual assignment success based on two methods was high overall (≥84%) but decreased from south to north. Assignment to geographic location of origin also was successful, with average distance between capture and assignment location of 220 km. Outlier analyses identified more loci potentially under selection along the coast than between Salish Sea and coastal samples, suggesting more diverse adaptation to latitudinal environmental factors than inshore vs. offshore environments. Our results confirm previous observations of sharp genetic differentiation of the Salish Sea population and isolation by distance along the coast, but also highlight the feasibility of using modern genomic techniques to inform stock boundaries and fisheries management in a low FST marine species.","container-title":"Evolutionary Applications","DOI":"10.1111/eva.12639","ISSN":"1752-4571, 1752-4571","issue":"8","journalAbbreviation":"Evolutionary Applications","language":"en","page":"1448-1464","source":"DOI.org (Crossref)","title":"Population assignment and local adaptation along an isolation</w:instrText>
      </w:r>
      <w:r w:rsidR="00E017D4" w:rsidRPr="00DC117D">
        <w:rPr>
          <w:rFonts w:ascii="Cambria Math" w:hAnsi="Cambria Math" w:cs="Cambria Math"/>
        </w:rPr>
        <w:instrText>‐</w:instrText>
      </w:r>
      <w:r w:rsidR="00E017D4" w:rsidRPr="00DC117D">
        <w:rPr>
          <w:rFonts w:cs="Times New Roman"/>
        </w:rPr>
        <w:instrText>by</w:instrText>
      </w:r>
      <w:r w:rsidR="00E017D4" w:rsidRPr="00DC117D">
        <w:rPr>
          <w:rFonts w:ascii="Cambria Math" w:hAnsi="Cambria Math" w:cs="Cambria Math"/>
        </w:rPr>
        <w:instrText>‐</w:instrText>
      </w:r>
      <w:r w:rsidR="00E017D4" w:rsidRPr="00DC117D">
        <w:rPr>
          <w:rFonts w:cs="Times New Roman"/>
        </w:rPr>
        <w:instrText xml:space="preserve">distance gradient in Pacific cod ( &lt;i&gt;Gadus macrocephalus&lt;/i&gt; )","volume":"11","author":[{"family":"Drinan","given":"Daniel P."},{"family":"Gruenthal","given":"Kristen M."},{"family":"Canino","given":"Michael F."},{"family":"Lowry","given":"Dayv"},{"family":"Fisher","given":"Mary C."},{"family":"Hauser","given":"Lorenz"}],"issued":{"date-parts":[["2018",9]]}}}],"schema":"https://github.com/citation-style-language/schema/raw/master/csl-citation.json"} </w:instrText>
      </w:r>
      <w:r w:rsidR="00E017D4" w:rsidRPr="00DC117D">
        <w:rPr>
          <w:rFonts w:cs="Times New Roman"/>
        </w:rPr>
        <w:fldChar w:fldCharType="separate"/>
      </w:r>
      <w:r w:rsidR="00E017D4" w:rsidRPr="00DC117D">
        <w:rPr>
          <w:rFonts w:cs="Times New Roman"/>
          <w:noProof/>
        </w:rPr>
        <w:t>(Spies 2012; Drinan et al. 2018)</w:t>
      </w:r>
      <w:r w:rsidR="00E017D4" w:rsidRPr="00DC117D">
        <w:rPr>
          <w:rFonts w:cs="Times New Roman"/>
        </w:rPr>
        <w:fldChar w:fldCharType="end"/>
      </w:r>
      <w:r w:rsidR="00E451C1" w:rsidRPr="00DC117D">
        <w:rPr>
          <w:rFonts w:cs="Times New Roman"/>
        </w:rPr>
        <w:t xml:space="preserve">. </w:t>
      </w:r>
      <w:r w:rsidR="00AC3DC1" w:rsidRPr="00DC117D">
        <w:rPr>
          <w:rFonts w:cs="Times New Roman"/>
          <w:b/>
          <w:bCs/>
          <w:i/>
          <w:iCs/>
        </w:rPr>
        <w:t>The stock structure between the BS and AI</w:t>
      </w:r>
      <w:r w:rsidR="00AC3DC1" w:rsidRPr="00DC117D">
        <w:rPr>
          <w:rFonts w:cs="Times New Roman"/>
        </w:rPr>
        <w:t xml:space="preserve"> likely result</w:t>
      </w:r>
      <w:r w:rsidR="001E3699" w:rsidRPr="00DC117D">
        <w:rPr>
          <w:rFonts w:cs="Times New Roman"/>
        </w:rPr>
        <w:t>s</w:t>
      </w:r>
      <w:r w:rsidR="00AC3DC1" w:rsidRPr="00DC117D">
        <w:rPr>
          <w:rFonts w:cs="Times New Roman"/>
        </w:rPr>
        <w:t xml:space="preserve"> from a transitional zone located at </w:t>
      </w:r>
      <w:proofErr w:type="spellStart"/>
      <w:r w:rsidR="00AC3DC1" w:rsidRPr="00DC117D">
        <w:rPr>
          <w:rFonts w:cs="Times New Roman"/>
        </w:rPr>
        <w:t>Samalga</w:t>
      </w:r>
      <w:proofErr w:type="spellEnd"/>
      <w:r w:rsidR="00AC3DC1" w:rsidRPr="00DC117D">
        <w:rPr>
          <w:rFonts w:cs="Times New Roman"/>
        </w:rPr>
        <w:t xml:space="preserve"> </w:t>
      </w:r>
      <w:r w:rsidR="003C3676" w:rsidRPr="00DC117D">
        <w:rPr>
          <w:rFonts w:cs="Times New Roman"/>
        </w:rPr>
        <w:t>Pass</w:t>
      </w:r>
      <w:r w:rsidR="00D73CB5" w:rsidRPr="00DC117D">
        <w:rPr>
          <w:rFonts w:cs="Times New Roman"/>
        </w:rPr>
        <w:t>, where there are differences in productivity, as well as species composition. Pacific cod may be</w:t>
      </w:r>
      <w:r w:rsidR="00135EA9" w:rsidRPr="00DC117D">
        <w:rPr>
          <w:rFonts w:cs="Times New Roman"/>
        </w:rPr>
        <w:t xml:space="preserve"> </w:t>
      </w:r>
      <w:r w:rsidR="00D73CB5" w:rsidRPr="00DC117D">
        <w:rPr>
          <w:rFonts w:cs="Times New Roman"/>
        </w:rPr>
        <w:t xml:space="preserve">locally adapted to these differences for both spawning and feeding purposes. </w:t>
      </w:r>
      <w:r w:rsidR="00032BBE" w:rsidRPr="00DC117D">
        <w:rPr>
          <w:rFonts w:cs="Times New Roman"/>
        </w:rPr>
        <w:t>F</w:t>
      </w:r>
      <w:r w:rsidR="00D73CB5" w:rsidRPr="00DC117D">
        <w:rPr>
          <w:rFonts w:cs="Times New Roman"/>
        </w:rPr>
        <w:t xml:space="preserve">urthermore, </w:t>
      </w:r>
      <w:r w:rsidR="0067317F" w:rsidRPr="00DC117D">
        <w:rPr>
          <w:rFonts w:cs="Times New Roman"/>
        </w:rPr>
        <w:t xml:space="preserve">the complexity of </w:t>
      </w:r>
      <w:r w:rsidR="00D73CB5" w:rsidRPr="00DC117D">
        <w:rPr>
          <w:rFonts w:cs="Times New Roman"/>
        </w:rPr>
        <w:t>oceanographic circulation and dynamics in the Aleutian Islands (volcanic islands with substantial water exchange)</w:t>
      </w:r>
      <w:r w:rsidR="0051116D" w:rsidRPr="00DC117D">
        <w:rPr>
          <w:rFonts w:cs="Times New Roman"/>
        </w:rPr>
        <w:t xml:space="preserve"> coupled with </w:t>
      </w:r>
      <w:r w:rsidR="00730A21" w:rsidRPr="00DC117D">
        <w:rPr>
          <w:rFonts w:cs="Times New Roman"/>
        </w:rPr>
        <w:t>natal homing dynamics from Pacific cod likely limit both larval and adult dispersal</w:t>
      </w:r>
      <w:r w:rsidR="00DF1159" w:rsidRPr="00DC117D">
        <w:rPr>
          <w:rFonts w:cs="Times New Roman"/>
        </w:rPr>
        <w:t xml:space="preserve"> </w:t>
      </w:r>
      <w:r w:rsidR="00C03D8C" w:rsidRPr="00DC117D">
        <w:rPr>
          <w:rFonts w:cs="Times New Roman"/>
        </w:rPr>
        <w:fldChar w:fldCharType="begin"/>
      </w:r>
      <w:r w:rsidR="00C03D8C" w:rsidRPr="00DC117D">
        <w:rPr>
          <w:rFonts w:cs="Times New Roman"/>
        </w:rPr>
        <w:instrText xml:space="preserve"> ADDIN ZOTERO_ITEM CSL_CITATION {"citationID":"MAe0lA7q","properties":{"formattedCitation":"(Spies 2012)","plainCitation":"(Spies 2012)","noteIndex":0},"citationItems":[{"id":14459,"uris":["http://zotero.org/users/6698527/items/ZV8AP9PK"],"itemData":{"id":14459,"type":"article-journal","abstract":"Landscape genetics of Paciﬁc cod Gadus macrocephalus within the Bering Sea and Aleutian Islands (BSAI) management area of Alaska was examined in samples from nine spawning locations, including one temporal replicate sample, using 17 microsatellite DNA markers. This study examined ﬁne-scale population structure of Paciﬁc cod in the BSAI with the goal of identifying breaks in genetic continuity associated with physical barriers to migration and larval transport. Samples were taken from spawning ﬁsh collected from the western Aleutian Islands east to Unimak Pass and as far north as the Pribilof Islands. Overall, this work conﬁrms previous studies, which found that genetic differentiation between samples is proportional to the distance between them, and also resolves population structure on a scale not previously possible. Results indicate that dispersal is not continuous at a ﬁne scale and several distinct genetic groups were identiﬁed that correspond to differences in the physical environment of the BSAI. The data provide evidence for limited connectivity among spawning groups; in particular, there is evidence that a barrier exists between the Aleutian Islands and the eastern Bering Sea. In addition, analysis of molecular variance and Monmonier algorithm results suggest that, within the Bering Sea, the Unimak Pass and Pribilof Islands spawning groups may be distinct from each other, and the Wombling analysis indicates that samples west of Amchitka Pass in the western Aleutians may be distinct from those in the eastern Aleutians.","container-title":"Transactions of the American Fisheries Society","DOI":"10.1080/00028487.2012.711265","ISSN":"0002-8487, 1548-8659","issue":"6","journalAbbreviation":"Trans Am Fish Soc","language":"en","page":"1557-1573","source":"DOI.org (Crossref)","title":"Landscape Genetics Reveals Population Subdivision in Bering Sea and Aleutian Islands Pacific Cod","volume":"141","author":[{"family":"Spies","given":"Ingrid"}],"issued":{"date-parts":[["2012",11]]}}}],"schema":"https://github.com/citation-style-language/schema/raw/master/csl-citation.json"} </w:instrText>
      </w:r>
      <w:r w:rsidR="00C03D8C" w:rsidRPr="00DC117D">
        <w:rPr>
          <w:rFonts w:cs="Times New Roman"/>
        </w:rPr>
        <w:fldChar w:fldCharType="separate"/>
      </w:r>
      <w:r w:rsidR="00C03D8C" w:rsidRPr="00DC117D">
        <w:rPr>
          <w:rFonts w:cs="Times New Roman"/>
        </w:rPr>
        <w:t>(Spies 2012)</w:t>
      </w:r>
      <w:r w:rsidR="00C03D8C" w:rsidRPr="00DC117D">
        <w:rPr>
          <w:rFonts w:cs="Times New Roman"/>
        </w:rPr>
        <w:fldChar w:fldCharType="end"/>
      </w:r>
      <w:r w:rsidR="002B4781" w:rsidRPr="00DC117D">
        <w:rPr>
          <w:rFonts w:cs="Times New Roman"/>
        </w:rPr>
        <w:t xml:space="preserve">. </w:t>
      </w:r>
      <w:r w:rsidR="00013EF1" w:rsidRPr="00DC117D">
        <w:rPr>
          <w:rFonts w:cs="Times New Roman"/>
        </w:rPr>
        <w:t>In particular</w:t>
      </w:r>
      <w:r w:rsidR="00D73CB5" w:rsidRPr="00DC117D">
        <w:rPr>
          <w:rFonts w:cs="Times New Roman"/>
        </w:rPr>
        <w:t>, the presence of deep trenches and passes along the Aleutian Islands may limit the dispersal of adults, given their preference for depths of about 260m. Strong tidal currents are present in these regions,</w:t>
      </w:r>
      <w:r w:rsidR="00196F99" w:rsidRPr="00DC117D">
        <w:rPr>
          <w:rFonts w:cs="Times New Roman"/>
        </w:rPr>
        <w:t xml:space="preserve"> coupled with semi-adhesive eggs</w:t>
      </w:r>
      <w:r w:rsidR="00231482" w:rsidRPr="00DC117D">
        <w:rPr>
          <w:rFonts w:cs="Times New Roman"/>
        </w:rPr>
        <w:t>,</w:t>
      </w:r>
      <w:r w:rsidR="00D73CB5" w:rsidRPr="00DC117D">
        <w:rPr>
          <w:rFonts w:cs="Times New Roman"/>
        </w:rPr>
        <w:t xml:space="preserve"> can act to </w:t>
      </w:r>
      <w:proofErr w:type="gramStart"/>
      <w:r w:rsidR="00D73CB5" w:rsidRPr="00DC117D">
        <w:rPr>
          <w:rFonts w:cs="Times New Roman"/>
        </w:rPr>
        <w:t>entrain</w:t>
      </w:r>
      <w:proofErr w:type="gramEnd"/>
      <w:r w:rsidR="00D73CB5" w:rsidRPr="00DC117D">
        <w:rPr>
          <w:rFonts w:cs="Times New Roman"/>
        </w:rPr>
        <w:t xml:space="preserve"> and retain both larvae and eggs within the AI region. This stock structure is supported by studies that have used </w:t>
      </w:r>
      <w:proofErr w:type="spellStart"/>
      <w:r w:rsidR="00D73CB5" w:rsidRPr="00DC117D">
        <w:rPr>
          <w:rFonts w:cs="Times New Roman"/>
        </w:rPr>
        <w:t>RADSeq</w:t>
      </w:r>
      <w:proofErr w:type="spellEnd"/>
      <w:r w:rsidR="00D73CB5" w:rsidRPr="00DC117D">
        <w:rPr>
          <w:rFonts w:cs="Times New Roman"/>
        </w:rPr>
        <w:t xml:space="preserve"> for population assignment</w:t>
      </w:r>
      <w:r w:rsidR="00375133" w:rsidRPr="00DC117D">
        <w:rPr>
          <w:rFonts w:cs="Times New Roman"/>
        </w:rPr>
        <w:t>s</w:t>
      </w:r>
      <w:r w:rsidR="00D73CB5" w:rsidRPr="00DC117D">
        <w:rPr>
          <w:rFonts w:cs="Times New Roman"/>
        </w:rPr>
        <w:t xml:space="preserve">, where they were able to assign individuals from the </w:t>
      </w:r>
      <w:r w:rsidR="00546E02" w:rsidRPr="00DC117D">
        <w:rPr>
          <w:rFonts w:cs="Times New Roman"/>
        </w:rPr>
        <w:t>BS and AI</w:t>
      </w:r>
      <w:r w:rsidR="00D73CB5" w:rsidRPr="00DC117D">
        <w:rPr>
          <w:rFonts w:cs="Times New Roman"/>
        </w:rPr>
        <w:t xml:space="preserve"> back to their population of origin </w:t>
      </w:r>
      <w:r w:rsidR="001606D9" w:rsidRPr="00DC117D">
        <w:rPr>
          <w:rFonts w:cs="Times New Roman"/>
        </w:rPr>
        <w:t xml:space="preserve">with about 80% accuracy </w:t>
      </w:r>
      <w:r w:rsidR="00D73CB5" w:rsidRPr="00DC117D">
        <w:rPr>
          <w:rFonts w:cs="Times New Roman"/>
        </w:rPr>
        <w:fldChar w:fldCharType="begin"/>
      </w:r>
      <w:r w:rsidR="00E017D4" w:rsidRPr="00DC117D">
        <w:rPr>
          <w:rFonts w:cs="Times New Roman"/>
        </w:rPr>
        <w:instrText xml:space="preserve"> ADDIN ZOTERO_ITEM CSL_CITATION {"citationID":"5ZcfSe74","properties":{"formattedCitation":"(Drinan et al. 2018)","plainCitation":"(Drinan et al. 2018)","noteIndex":0},"citationItems":[{"id":14457,"uris":["http://zotero.org/users/6698527/items/5BG72TWK"],"itemData":{"id":14457,"type":"article-journal","abstract":"The discernment of populations as management units is a fundamental prerequisite for sustainable exploitation of species. A lack of clear stock boundaries complicates not only the identification of spatial management units, but also the assessment of mixed fisheries by population assignment and mixed stock analysis. Many marine species, such as Pacific cod, are characterized by isolation by distance, showing significant differentiation but no clear stock boundaries. Here, we used restriction-­site-­ associated DNA (RAD) sequencing to investigate population structure and assess power to genetically assign Pacific cod to putative populations of origin. Samples were collected across the species range in the eastern Pacific Ocean, from the Salish Sea to the Aleutian Islands. A total of 6,425 putative biallelic single nucleotide polymorphisms were identified from 276 individuals. We found a strong isolation-­by-­ distance signal along coastlines that mirrored previous microsatellite results and pronounced genetic differentiation between coastal samples and those from the inland waters of the Salish Sea, with no evidence for hybridization between these two populations. Individual assignment success based on two methods was high overall (≥84%) but decreased from south to north. Assignment to geographic location of origin also was successful, with average distance between capture and assignment location of 220 km. Outlier analyses identified more loci potentially under selection along the coast than between Salish Sea and coastal samples, suggesting more diverse adaptation to latitudinal environmental factors than inshore vs. offshore environments. Our results confirm previous observations of sharp genetic differentiation of the Salish Sea population and isolation by distance along the coast, but also highlight the feasibility of using modern genomic techniques to inform stock boundaries and fisheries management in a low FST marine species.","container-title":"Evolutionary Applications","DOI":"10.1111/eva.12639","ISSN":"1752-4571, 1752-4571","issue":"8","journalAbbreviation":"Evolutionary Applications","language":"en","page":"1448-1464","source":"DOI.org (Crossref)","title":"Population assignment and local adaptation along an isolation</w:instrText>
      </w:r>
      <w:r w:rsidR="00E017D4" w:rsidRPr="00DC117D">
        <w:rPr>
          <w:rFonts w:ascii="Cambria Math" w:hAnsi="Cambria Math" w:cs="Cambria Math"/>
        </w:rPr>
        <w:instrText>‐</w:instrText>
      </w:r>
      <w:r w:rsidR="00E017D4" w:rsidRPr="00DC117D">
        <w:rPr>
          <w:rFonts w:cs="Times New Roman"/>
        </w:rPr>
        <w:instrText>by</w:instrText>
      </w:r>
      <w:r w:rsidR="00E017D4" w:rsidRPr="00DC117D">
        <w:rPr>
          <w:rFonts w:ascii="Cambria Math" w:hAnsi="Cambria Math" w:cs="Cambria Math"/>
        </w:rPr>
        <w:instrText>‐</w:instrText>
      </w:r>
      <w:r w:rsidR="00E017D4" w:rsidRPr="00DC117D">
        <w:rPr>
          <w:rFonts w:cs="Times New Roman"/>
        </w:rPr>
        <w:instrText xml:space="preserve">distance gradient in Pacific cod ( &lt;i&gt;Gadus macrocephalus&lt;/i&gt; )","volume":"11","author":[{"family":"Drinan","given":"Daniel P."},{"family":"Gruenthal","given":"Kristen M."},{"family":"Canino","given":"Michael F."},{"family":"Lowry","given":"Dayv"},{"family":"Fisher","given":"Mary C."},{"family":"Hauser","given":"Lorenz"}],"issued":{"date-parts":[["2018",9]]}}}],"schema":"https://github.com/citation-style-language/schema/raw/master/csl-citation.json"} </w:instrText>
      </w:r>
      <w:r w:rsidR="00D73CB5" w:rsidRPr="00DC117D">
        <w:rPr>
          <w:rFonts w:cs="Times New Roman"/>
        </w:rPr>
        <w:fldChar w:fldCharType="separate"/>
      </w:r>
      <w:r w:rsidR="00E017D4" w:rsidRPr="00DC117D">
        <w:rPr>
          <w:rFonts w:cs="Times New Roman"/>
        </w:rPr>
        <w:t>(Drinan et al. 2018)</w:t>
      </w:r>
      <w:r w:rsidR="00D73CB5" w:rsidRPr="00DC117D">
        <w:rPr>
          <w:rFonts w:cs="Times New Roman"/>
        </w:rPr>
        <w:fldChar w:fldCharType="end"/>
      </w:r>
      <w:r w:rsidR="00D73CB5" w:rsidRPr="00DC117D">
        <w:rPr>
          <w:rFonts w:cs="Times New Roman"/>
        </w:rPr>
        <w:t>. Additionally,</w:t>
      </w:r>
      <w:r w:rsidR="0034284B" w:rsidRPr="00DC117D">
        <w:rPr>
          <w:rFonts w:cs="Times New Roman"/>
        </w:rPr>
        <w:t xml:space="preserve"> the presence of stock structure between the BS and AI are also speculated to be arise from </w:t>
      </w:r>
      <w:r w:rsidR="00D73CB5" w:rsidRPr="00DC117D">
        <w:rPr>
          <w:rFonts w:cs="Times New Roman"/>
        </w:rPr>
        <w:t>sea-ice dynamics in the Bering Sea</w:t>
      </w:r>
      <w:r w:rsidR="004E0CC5" w:rsidRPr="00DC117D">
        <w:rPr>
          <w:rFonts w:cs="Times New Roman"/>
        </w:rPr>
        <w:t xml:space="preserve">, which could </w:t>
      </w:r>
      <w:r w:rsidR="00D73CB5" w:rsidRPr="00DC117D">
        <w:rPr>
          <w:rFonts w:cs="Times New Roman"/>
        </w:rPr>
        <w:t xml:space="preserve">be acting selectivity on the genome of Pacific </w:t>
      </w:r>
      <w:proofErr w:type="gramStart"/>
      <w:r w:rsidR="00D73CB5" w:rsidRPr="00DC117D">
        <w:rPr>
          <w:rFonts w:cs="Times New Roman"/>
        </w:rPr>
        <w:t xml:space="preserve">cod, </w:t>
      </w:r>
      <w:r w:rsidR="00EE2296" w:rsidRPr="00DC117D">
        <w:rPr>
          <w:rFonts w:cs="Times New Roman"/>
        </w:rPr>
        <w:t>and</w:t>
      </w:r>
      <w:proofErr w:type="gramEnd"/>
      <w:r w:rsidR="00EE2296" w:rsidRPr="00DC117D">
        <w:rPr>
          <w:rFonts w:cs="Times New Roman"/>
        </w:rPr>
        <w:t xml:space="preserve"> may</w:t>
      </w:r>
      <w:r w:rsidR="00D73CB5" w:rsidRPr="00DC117D">
        <w:rPr>
          <w:rFonts w:cs="Times New Roman"/>
        </w:rPr>
        <w:t xml:space="preserve"> further drive local adaption and stock structure in these stocks. In particular, the Bering Sea is </w:t>
      </w:r>
      <w:r w:rsidR="00D73CB5" w:rsidRPr="00DC117D">
        <w:rPr>
          <w:rFonts w:cs="Times New Roman"/>
        </w:rPr>
        <w:lastRenderedPageBreak/>
        <w:t xml:space="preserve">characterized by the cold pool and sea-ice dynamics, both of which are absent in the Aleutian Islands; these selective forces </w:t>
      </w:r>
      <w:r w:rsidR="00383AFD" w:rsidRPr="00DC117D">
        <w:rPr>
          <w:rFonts w:cs="Times New Roman"/>
        </w:rPr>
        <w:t xml:space="preserve">have been </w:t>
      </w:r>
      <w:r w:rsidR="00DD2B69" w:rsidRPr="00DC117D">
        <w:rPr>
          <w:rFonts w:cs="Times New Roman"/>
        </w:rPr>
        <w:t>hypothesized</w:t>
      </w:r>
      <w:r w:rsidR="00383AFD" w:rsidRPr="00DC117D">
        <w:rPr>
          <w:rFonts w:cs="Times New Roman"/>
        </w:rPr>
        <w:t xml:space="preserve"> to</w:t>
      </w:r>
      <w:r w:rsidR="00D73CB5" w:rsidRPr="00DC117D">
        <w:rPr>
          <w:rFonts w:cs="Times New Roman"/>
        </w:rPr>
        <w:t xml:space="preserve"> be </w:t>
      </w:r>
      <w:r w:rsidR="00692C1A" w:rsidRPr="00DC117D">
        <w:rPr>
          <w:rFonts w:cs="Times New Roman"/>
        </w:rPr>
        <w:t>act</w:t>
      </w:r>
      <w:r w:rsidR="00D73CB5" w:rsidRPr="00DC117D">
        <w:rPr>
          <w:rFonts w:cs="Times New Roman"/>
        </w:rPr>
        <w:t xml:space="preserve"> upon the ZP3 gene which regulates glycoproteins and antifreeze proteins for the embryo </w:t>
      </w:r>
      <w:r w:rsidR="00D73CB5" w:rsidRPr="00DC117D">
        <w:rPr>
          <w:rFonts w:cs="Times New Roman"/>
        </w:rPr>
        <w:fldChar w:fldCharType="begin"/>
      </w:r>
      <w:r w:rsidR="00E017D4" w:rsidRPr="00DC117D">
        <w:rPr>
          <w:rFonts w:cs="Times New Roman"/>
        </w:rPr>
        <w:instrText xml:space="preserve"> ADDIN ZOTERO_ITEM CSL_CITATION {"citationID":"QctVvlKR","properties":{"formattedCitation":"(Spies et al. 2021)","plainCitation":"(Spies et al. 2021)","noteIndex":0},"citationItems":[{"id":14463,"uris":["http://zotero.org/users/6698527/items/BCDKDJJD"],"itemData":{"id":14463,"type":"article-journal","abstract":"Genetic differentiation has been observed in marine species even when no obvious barriers to gene flow exist, and understanding such differentiation is essential for effective fisheries management. Highly differentiated outlier loci can provide information on how genetic variation might not only contribute to local adaptation but may also be affected by historical demographic events. A locus which aligned to a predicted zona pellucida sperm-­binding protein 3 gene (ZP3) in Atlantic cod (Gadus morhua) was previously identified as the highest outlier based on FST in a RADseq study of Pacific cod (Gadus macrocephalus) across the West Coast of North America. However, because of the limited length of the RAD sequence and restricted geographic area of sampling, no conclusion on the functional significance of the observed variation was possible. In other marine species, ZP3 is involved in reproductive isolation, local adaptation, and has neofunctionalized as an antifreeze gene, and so it may provide important insights in functional population structure of Pacific cod. Here, we sequenced a 544-­bp region of ZP3 in 230 Pacific cod collected from throughout their geographic range. We observed striking patterns of spatial structuring of ZP3 haplotypes, with a sharp break near Kodiak, Alaska, USA where populations within ~200 km of each other are nearly fixed for different haplotypes, contrasting a pattern of isolation by distance at other genetic markers in this region (FST = 0.003). Phylogenetic analysis of ZP3 haplotypes revealed that the more southern haplotypes appear to be ancestral, with the northern haplotype evolving more recently, potentially in response to a novel selective pressure as Pacific cod recolonized northern latitudes after glaciation. The sharp break in haplotype frequencies suggests strong selective pressures are operating on small spatial scales and illustrates that selection can create high divergence even in marine species with ample opportunities for gene flow.","container-title":"Ecology and Evolution","DOI":"10.1002/ece3.8284","ISSN":"2045-7758, 2045-7758","issue":"23","journalAbbreviation":"Ecology and Evolution","language":"en","page":"16661-16679","source":"DOI.org (Crossref)","title":"Evidence for selection and spatially distinct patterns found in a putative zona pellucida gene in Pacific cod, and implications for management","volume":"11","author":[{"family":"Spies","given":"Ingrid"},{"family":"Drinan","given":"Daniel P."},{"family":"Petrou","given":"Eleni L."},{"family":"Spurr","given":"Rory"},{"family":"Tarpey","given":"Carolyn"},{"family":"Hartinger","given":"Theodore"},{"family":"Larson","given":"Wes"},{"family":"Hauser","given":"Lorenz"}],"issued":{"date-parts":[["2021",12]]}}}],"schema":"https://github.com/citation-style-language/schema/raw/master/csl-citation.json"} </w:instrText>
      </w:r>
      <w:r w:rsidR="00D73CB5" w:rsidRPr="00DC117D">
        <w:rPr>
          <w:rFonts w:cs="Times New Roman"/>
        </w:rPr>
        <w:fldChar w:fldCharType="separate"/>
      </w:r>
      <w:r w:rsidR="00E017D4" w:rsidRPr="00DC117D">
        <w:rPr>
          <w:rFonts w:cs="Times New Roman"/>
        </w:rPr>
        <w:t>(Spies et al. 2021)</w:t>
      </w:r>
      <w:r w:rsidR="00D73CB5" w:rsidRPr="00DC117D">
        <w:rPr>
          <w:rFonts w:cs="Times New Roman"/>
        </w:rPr>
        <w:fldChar w:fldCharType="end"/>
      </w:r>
      <w:r w:rsidR="00D73CB5" w:rsidRPr="00DC117D">
        <w:rPr>
          <w:rFonts w:cs="Times New Roman"/>
        </w:rPr>
        <w:t xml:space="preserve">. </w:t>
      </w:r>
      <w:r w:rsidR="000978D8" w:rsidRPr="00DC117D">
        <w:rPr>
          <w:rFonts w:cs="Times New Roman"/>
        </w:rPr>
        <w:t>Furthermore, the use of Pool-Seq</w:t>
      </w:r>
      <w:r w:rsidR="0073156A" w:rsidRPr="00DC117D">
        <w:rPr>
          <w:rFonts w:cs="Times New Roman"/>
        </w:rPr>
        <w:t xml:space="preserve"> (I think </w:t>
      </w:r>
      <w:proofErr w:type="spellStart"/>
      <w:r w:rsidR="0073156A" w:rsidRPr="00DC117D">
        <w:rPr>
          <w:rFonts w:cs="Times New Roman"/>
        </w:rPr>
        <w:t>PoolSeq</w:t>
      </w:r>
      <w:proofErr w:type="spellEnd"/>
      <w:r w:rsidR="0073156A" w:rsidRPr="00DC117D">
        <w:rPr>
          <w:rFonts w:cs="Times New Roman"/>
        </w:rPr>
        <w:t xml:space="preserve"> is better than </w:t>
      </w:r>
      <w:proofErr w:type="spellStart"/>
      <w:r w:rsidR="0073156A" w:rsidRPr="00DC117D">
        <w:rPr>
          <w:rFonts w:cs="Times New Roman"/>
        </w:rPr>
        <w:t>RADSeq</w:t>
      </w:r>
      <w:proofErr w:type="spellEnd"/>
      <w:r w:rsidR="0073156A" w:rsidRPr="00DC117D">
        <w:rPr>
          <w:rFonts w:cs="Times New Roman"/>
        </w:rPr>
        <w:t>, although I’m not a geneticist..)</w:t>
      </w:r>
      <w:r w:rsidR="000978D8" w:rsidRPr="00DC117D">
        <w:rPr>
          <w:rFonts w:cs="Times New Roman"/>
        </w:rPr>
        <w:t xml:space="preserve"> detected several islands of differentiation between the </w:t>
      </w:r>
      <w:r w:rsidR="00ED2346" w:rsidRPr="00DC117D">
        <w:rPr>
          <w:rFonts w:cs="Times New Roman"/>
        </w:rPr>
        <w:t xml:space="preserve">BS and AI stocks, </w:t>
      </w:r>
      <w:r w:rsidR="000978D8" w:rsidRPr="00DC117D">
        <w:rPr>
          <w:rFonts w:cs="Times New Roman"/>
        </w:rPr>
        <w:t xml:space="preserve">associated with vision-related genes </w:t>
      </w:r>
      <w:r w:rsidR="000978D8" w:rsidRPr="00DC117D">
        <w:rPr>
          <w:rFonts w:cs="Times New Roman"/>
        </w:rPr>
        <w:fldChar w:fldCharType="begin"/>
      </w:r>
      <w:r w:rsidR="00882660">
        <w:rPr>
          <w:rFonts w:cs="Times New Roman"/>
        </w:rPr>
        <w:instrText xml:space="preserve"> ADDIN ZOTERO_ITEM CSL_CITATION {"citationID":"QW3sHOQL","properties":{"formattedCitation":"(Spies et al. 2022)","plainCitation":"(Spies et al. 2022)","noteIndex":0},"citationItems":[{"id":14464,"uris":["http://zotero.org/users/6698527/items/Z8S8XYDZ"],"itemData":{"id":14464,"type":"article-journal","abstract":"Patterns of genetic differentiation across the genome can provide insight into selective forces driving adaptation. We used pooled whole genome sequencing, gene annotation, and environmental covariates to evaluate patterns of genomic differentiation and to investigate mechanisms responsible for divergence among proximate Pacific cod (Gadus macrocephalus) populations from the Bering Sea and Aleutian Islands and more distant Washington Coast cod. Samples were taken from eight spawning locations, three of which were replicated to estimate consistency in allele frequency estimation. A kernel smoothing moving weighted average of relative divergence (FST) identified 11 genomic islands of differentiation between the Aleutian Islands and Bering Sea samples. In some islands of differentiation, there was also elevated absolute divergence (dXY) and evidence for selection, despite proximity and potential for gene flow. Similar levels of absolute divergence (dXY) but roughly double the relative divergence (FST) were observed between the distant Bering Sea and Washington Coast samples. Islands of differentiation were much smaller than the four large inversions among Atlantic cod ecotypes. Islands of differentiation between the Bering Sea and Aleutian Island were associated with SNPs from five vision system genes, which can be associated with feeding, predator avoidance, orientation, and socialization. We hypothesize that islands of differentiation between Pacific cod from the Bering Sea and Aleutian Islands provide evidence for adaptive differentiation despite gene flow in this commercially important marine species.","container-title":"Evolutionary Applications","DOI":"10.1111/eva.13488","ISSN":"1752-4571, 1752-4571","issue":"11","journalAbbreviation":"Evolutionary Applications","language":"en","page":"1907-1924","source":"DOI.org (Crossref)","title":"Genomic differentiation in Pacific cod using &lt;span style=\"font-variant:small-caps;\"&gt;P&lt;/span&gt; ool</w:instrText>
      </w:r>
      <w:r w:rsidR="00882660">
        <w:rPr>
          <w:rFonts w:ascii="Cambria Math" w:hAnsi="Cambria Math" w:cs="Cambria Math"/>
        </w:rPr>
        <w:instrText>‐</w:instrText>
      </w:r>
      <w:r w:rsidR="00882660">
        <w:rPr>
          <w:rFonts w:cs="Times New Roman"/>
        </w:rPr>
        <w:instrText xml:space="preserve"> &lt;span style=\"font-variant:small-caps;\"&gt;S&lt;/span&gt; eq","title-short":"Genomic differentiation in Pacific cod using &lt;span style=\"font-variant","volume":"15","author":[{"family":"Spies","given":"Ingrid"},{"family":"Tarpey","given":"Carolyn"},{"family":"Kristiansen","given":"Trond"},{"family":"Fisher","given":"Mary"},{"family":"Rohan","given":"Sean"},{"family":"Hauser","given":"Lorenz"}],"issued":{"date-parts":[["2022",11]]}}}],"schema":"https://github.com/citation-style-language/schema/raw/master/csl-citation.json"} </w:instrText>
      </w:r>
      <w:r w:rsidR="000978D8" w:rsidRPr="00DC117D">
        <w:rPr>
          <w:rFonts w:cs="Times New Roman"/>
        </w:rPr>
        <w:fldChar w:fldCharType="separate"/>
      </w:r>
      <w:r w:rsidR="00882660">
        <w:rPr>
          <w:rFonts w:cs="Times New Roman"/>
        </w:rPr>
        <w:t>(Spies et al. 2022)</w:t>
      </w:r>
      <w:r w:rsidR="000978D8" w:rsidRPr="00DC117D">
        <w:rPr>
          <w:rFonts w:cs="Times New Roman"/>
        </w:rPr>
        <w:fldChar w:fldCharType="end"/>
      </w:r>
      <w:r w:rsidR="000978D8" w:rsidRPr="00DC117D">
        <w:rPr>
          <w:rFonts w:cs="Times New Roman"/>
        </w:rPr>
        <w:t xml:space="preserve">. Differentiation was found to be correlated/related to differences in salinity, velocity, chlorophyll, followed by temperature. </w:t>
      </w:r>
      <w:r w:rsidR="0083762A">
        <w:rPr>
          <w:rFonts w:cs="Times New Roman"/>
        </w:rPr>
        <w:t>It</w:t>
      </w:r>
      <w:r w:rsidR="000978D8" w:rsidRPr="00DC117D">
        <w:rPr>
          <w:rFonts w:cs="Times New Roman"/>
        </w:rPr>
        <w:t xml:space="preserve"> is likely that differentiation due to vision-related genes could be due to differences in light penetration, which is lower in the EBS than in the AI, and suggests that these vision-related genes combined with the ZP3 gene may act to select for certain individuals, resulting in stock structure between these regions (i.e., darker in EBS because of sea-ice, and the need to be locally adapted). </w:t>
      </w:r>
    </w:p>
    <w:p w14:paraId="0D8D8D41" w14:textId="679B0108" w:rsidR="00D73CB5" w:rsidRPr="00AB124C" w:rsidRDefault="00D73CB5" w:rsidP="00C73BA2">
      <w:pPr>
        <w:ind w:firstLine="720"/>
        <w:jc w:val="both"/>
        <w:rPr>
          <w:rFonts w:cs="Times New Roman"/>
        </w:rPr>
      </w:pPr>
    </w:p>
    <w:p w14:paraId="66783158" w14:textId="78EA4D8C" w:rsidR="00A70219" w:rsidRPr="00E6481C" w:rsidRDefault="00FE38FF" w:rsidP="003B646B">
      <w:pPr>
        <w:ind w:firstLine="720"/>
        <w:jc w:val="both"/>
        <w:rPr>
          <w:rFonts w:ascii="Aptos" w:hAnsi="Aptos" w:cs="Times New Roman"/>
        </w:rPr>
      </w:pPr>
      <w:r>
        <w:rPr>
          <w:rFonts w:ascii="Aptos" w:hAnsi="Aptos" w:cs="Times New Roman"/>
          <w:b/>
          <w:bCs/>
          <w:i/>
          <w:iCs/>
        </w:rPr>
        <w:t>W</w:t>
      </w:r>
      <w:r w:rsidR="00BC160A">
        <w:rPr>
          <w:rFonts w:ascii="Aptos" w:hAnsi="Aptos" w:cs="Times New Roman"/>
          <w:b/>
          <w:bCs/>
          <w:i/>
          <w:iCs/>
        </w:rPr>
        <w:t>ithin</w:t>
      </w:r>
      <w:r w:rsidR="00F97BAD" w:rsidRPr="00892B40">
        <w:rPr>
          <w:rFonts w:ascii="Aptos" w:hAnsi="Aptos" w:cs="Times New Roman"/>
          <w:b/>
          <w:bCs/>
          <w:i/>
          <w:iCs/>
        </w:rPr>
        <w:t xml:space="preserve"> the GOA, two separate stocks likely </w:t>
      </w:r>
      <w:r w:rsidR="00A70219" w:rsidRPr="00892B40">
        <w:rPr>
          <w:rFonts w:ascii="Aptos" w:hAnsi="Aptos" w:cs="Times New Roman"/>
          <w:b/>
          <w:bCs/>
          <w:i/>
          <w:iCs/>
        </w:rPr>
        <w:t>exist between the WGOA and EGOA</w:t>
      </w:r>
      <w:r w:rsidR="00A70219" w:rsidRPr="00E6481C">
        <w:rPr>
          <w:rFonts w:ascii="Aptos" w:hAnsi="Aptos" w:cs="Times New Roman"/>
        </w:rPr>
        <w:t>, potentially driven by oceanographic breaks as well as natal homing dynamics.</w:t>
      </w:r>
      <w:r w:rsidR="007A586A" w:rsidRPr="00E6481C">
        <w:rPr>
          <w:rFonts w:ascii="Aptos" w:hAnsi="Aptos" w:cs="Times New Roman"/>
        </w:rPr>
        <w:t xml:space="preserve"> </w:t>
      </w:r>
      <w:r w:rsidR="00C16417">
        <w:rPr>
          <w:rFonts w:ascii="Aptos" w:hAnsi="Aptos" w:cs="Times New Roman"/>
        </w:rPr>
        <w:t>Genetic p</w:t>
      </w:r>
      <w:r w:rsidR="00A70219" w:rsidRPr="00E6481C">
        <w:rPr>
          <w:rFonts w:ascii="Aptos" w:hAnsi="Aptos" w:cs="Times New Roman"/>
        </w:rPr>
        <w:t>opulation assignment studies have found that differences between stocks located off of Kodiak</w:t>
      </w:r>
      <w:r w:rsidR="00A22FB3">
        <w:rPr>
          <w:rFonts w:ascii="Aptos" w:hAnsi="Aptos" w:cs="Times New Roman"/>
        </w:rPr>
        <w:t xml:space="preserve"> and </w:t>
      </w:r>
      <w:proofErr w:type="spellStart"/>
      <w:r w:rsidR="00A70219" w:rsidRPr="00E6481C">
        <w:rPr>
          <w:rFonts w:ascii="Aptos" w:hAnsi="Aptos" w:cs="Times New Roman"/>
        </w:rPr>
        <w:t>Shumigan</w:t>
      </w:r>
      <w:proofErr w:type="spellEnd"/>
      <w:r w:rsidR="00A70219" w:rsidRPr="00E6481C">
        <w:rPr>
          <w:rFonts w:ascii="Aptos" w:hAnsi="Aptos" w:cs="Times New Roman"/>
        </w:rPr>
        <w:t xml:space="preserve"> Island (</w:t>
      </w:r>
      <w:r w:rsidR="00025F08">
        <w:rPr>
          <w:rFonts w:ascii="Aptos" w:hAnsi="Aptos" w:cs="Times New Roman"/>
        </w:rPr>
        <w:t xml:space="preserve">i.e., </w:t>
      </w:r>
      <w:r w:rsidR="00A70219" w:rsidRPr="00E6481C">
        <w:rPr>
          <w:rFonts w:ascii="Aptos" w:hAnsi="Aptos" w:cs="Times New Roman"/>
        </w:rPr>
        <w:t xml:space="preserve">WGOA) </w:t>
      </w:r>
      <w:r w:rsidR="007B5D8B">
        <w:rPr>
          <w:rFonts w:ascii="Aptos" w:hAnsi="Aptos" w:cs="Times New Roman"/>
        </w:rPr>
        <w:t>with</w:t>
      </w:r>
      <w:r w:rsidR="00A70219" w:rsidRPr="00E6481C">
        <w:rPr>
          <w:rFonts w:ascii="Aptos" w:hAnsi="Aptos" w:cs="Times New Roman"/>
        </w:rPr>
        <w:t xml:space="preserve"> Prince William Sound</w:t>
      </w:r>
      <w:r w:rsidR="0025595F">
        <w:rPr>
          <w:rFonts w:ascii="Aptos" w:hAnsi="Aptos" w:cs="Times New Roman"/>
        </w:rPr>
        <w:t xml:space="preserve"> (PWS)</w:t>
      </w:r>
      <w:r w:rsidR="00A70219" w:rsidRPr="00E6481C">
        <w:rPr>
          <w:rFonts w:ascii="Aptos" w:hAnsi="Aptos" w:cs="Times New Roman"/>
        </w:rPr>
        <w:t xml:space="preserve"> (</w:t>
      </w:r>
      <w:r w:rsidR="002B7CCA">
        <w:rPr>
          <w:rFonts w:ascii="Aptos" w:hAnsi="Aptos" w:cs="Times New Roman"/>
        </w:rPr>
        <w:t xml:space="preserve">i.e., </w:t>
      </w:r>
      <w:r w:rsidR="00A70219" w:rsidRPr="00E6481C">
        <w:rPr>
          <w:rFonts w:ascii="Aptos" w:hAnsi="Aptos" w:cs="Times New Roman"/>
        </w:rPr>
        <w:t xml:space="preserve">EGOA) </w:t>
      </w:r>
      <w:r w:rsidR="00A70219" w:rsidRPr="00E6481C">
        <w:rPr>
          <w:rFonts w:ascii="Aptos" w:hAnsi="Aptos" w:cs="Times New Roman"/>
        </w:rPr>
        <w:fldChar w:fldCharType="begin"/>
      </w:r>
      <w:r w:rsidR="00882660">
        <w:rPr>
          <w:rFonts w:ascii="Aptos" w:hAnsi="Aptos" w:cs="Times New Roman"/>
        </w:rPr>
        <w:instrText xml:space="preserve"> ADDIN ZOTERO_ITEM CSL_CITATION {"citationID":"4NAUv1Il","properties":{"formattedCitation":"(Drinan et al. 2018)","plainCitation":"(Drinan et al. 2018)","noteIndex":0},"citationItems":[{"id":14457,"uris":["http://zotero.org/users/6698527/items/5BG72TWK"],"itemData":{"id":14457,"type":"article-journal","abstract":"The discernment of populations as management units is a fundamental prerequisite for sustainable exploitation of species. A lack of clear stock boundaries complicates not only the identification of spatial management units, but also the assessment of mixed fisheries by population assignment and mixed stock analysis. Many marine species, such as Pacific cod, are characterized by isolation by distance, showing significant differentiation but no clear stock boundaries. Here, we used restriction-­site-­ associated DNA (RAD) sequencing to investigate population structure and assess power to genetically assign Pacific cod to putative populations of origin. Samples were collected across the species range in the eastern Pacific Ocean, from the Salish Sea to the Aleutian Islands. A total of 6,425 putative biallelic single nucleotide polymorphisms were identified from 276 individuals. We found a strong isolation-­by-­ distance signal along coastlines that mirrored previous microsatellite results and pronounced genetic differentiation between coastal samples and those from the inland waters of the Salish Sea, with no evidence for hybridization between these two populations. Individual assignment success based on two methods was high overall (≥84%) but decreased from south to north. Assignment to geographic location of origin also was successful, with average distance between capture and assignment location of 220 km. Outlier analyses identified more loci potentially under selection along the coast than between Salish Sea and coastal samples, suggesting more diverse adaptation to latitudinal environmental factors than inshore vs. offshore environments. Our results confirm previous observations of sharp genetic differentiation of the Salish Sea population and isolation by distance along the coast, but also highlight the feasibility of using modern genomic techniques to inform stock boundaries and fisheries management in a low FST marine species.","container-title":"Evolutionary Applications","DOI":"10.1111/eva.12639","ISSN":"1752-4571, 1752-4571","issue":"8","journalAbbreviation":"Evolutionary Applications","language":"en","page":"1448-1464","source":"DOI.org (Crossref)","title":"Population assignment and local adaptation along an isolation</w:instrText>
      </w:r>
      <w:r w:rsidR="00882660">
        <w:rPr>
          <w:rFonts w:ascii="Cambria Math" w:hAnsi="Cambria Math" w:cs="Cambria Math"/>
        </w:rPr>
        <w:instrText>‐</w:instrText>
      </w:r>
      <w:r w:rsidR="00882660">
        <w:rPr>
          <w:rFonts w:ascii="Aptos" w:hAnsi="Aptos" w:cs="Times New Roman"/>
        </w:rPr>
        <w:instrText>by</w:instrText>
      </w:r>
      <w:r w:rsidR="00882660">
        <w:rPr>
          <w:rFonts w:ascii="Cambria Math" w:hAnsi="Cambria Math" w:cs="Cambria Math"/>
        </w:rPr>
        <w:instrText>‐</w:instrText>
      </w:r>
      <w:r w:rsidR="00882660">
        <w:rPr>
          <w:rFonts w:ascii="Aptos" w:hAnsi="Aptos" w:cs="Times New Roman"/>
        </w:rPr>
        <w:instrText xml:space="preserve">distance gradient in Pacific cod ( &lt;i&gt;Gadus macrocephalus&lt;/i&gt; )","volume":"11","author":[{"family":"Drinan","given":"Daniel P."},{"family":"Gruenthal","given":"Kristen M."},{"family":"Canino","given":"Michael F."},{"family":"Lowry","given":"Dayv"},{"family":"Fisher","given":"Mary C."},{"family":"Hauser","given":"Lorenz"}],"issued":{"date-parts":[["2018",9]]}}}],"schema":"https://github.com/citation-style-language/schema/raw/master/csl-citation.json"} </w:instrText>
      </w:r>
      <w:r w:rsidR="00A70219" w:rsidRPr="00E6481C">
        <w:rPr>
          <w:rFonts w:ascii="Aptos" w:hAnsi="Aptos" w:cs="Times New Roman"/>
        </w:rPr>
        <w:fldChar w:fldCharType="separate"/>
      </w:r>
      <w:r w:rsidR="00882660">
        <w:rPr>
          <w:rFonts w:ascii="Aptos" w:hAnsi="Aptos" w:cs="Times New Roman"/>
        </w:rPr>
        <w:t>(Drinan et al. 2018)</w:t>
      </w:r>
      <w:r w:rsidR="00A70219" w:rsidRPr="00E6481C">
        <w:rPr>
          <w:rFonts w:ascii="Aptos" w:hAnsi="Aptos" w:cs="Times New Roman"/>
        </w:rPr>
        <w:fldChar w:fldCharType="end"/>
      </w:r>
      <w:r w:rsidR="00A0187D">
        <w:rPr>
          <w:rFonts w:ascii="Aptos" w:hAnsi="Aptos" w:cs="Times New Roman"/>
        </w:rPr>
        <w:t>, which is further supported by recent genetic</w:t>
      </w:r>
      <w:r w:rsidR="00372338">
        <w:rPr>
          <w:rFonts w:ascii="Aptos" w:hAnsi="Aptos" w:cs="Times New Roman"/>
        </w:rPr>
        <w:t xml:space="preserve"> studies </w:t>
      </w:r>
      <w:r w:rsidR="009713C3">
        <w:rPr>
          <w:rFonts w:ascii="Aptos" w:hAnsi="Aptos" w:cs="Times New Roman"/>
        </w:rPr>
        <w:t>(</w:t>
      </w:r>
      <w:r w:rsidR="00882660">
        <w:rPr>
          <w:rFonts w:ascii="Aptos" w:hAnsi="Aptos" w:cs="Times New Roman"/>
        </w:rPr>
        <w:fldChar w:fldCharType="begin"/>
      </w:r>
      <w:r w:rsidR="00882660">
        <w:rPr>
          <w:rFonts w:ascii="Aptos" w:hAnsi="Aptos" w:cs="Times New Roman"/>
        </w:rPr>
        <w:instrText xml:space="preserve"> ADDIN ZOTERO_ITEM CSL_CITATION {"citationID":"uzSLliyy","properties":{"formattedCitation":"(Barbeaux et al. 2023)","plainCitation":"(Barbeaux et al. 2023)","noteIndex":0},"citationItems":[{"id":22367,"uris":["http://zotero.org/users/6698527/items/VHIXP6EJ"],"itemData":{"id":22367,"type":"article-journal","language":"en","source":"Zotero","title":"2. Assessment of the Pacific Cod Stock in the Eastern Bering Sea","author":[{"family":"Barbeaux","given":"Steven J"},{"family":"Barnett","given":"Lewis"},{"family":"Hall","given":"Madison"},{"family":"Hulson","given":"Pete"},{"family":"Nielsen","given":"Julie"},{"family":"Shotwell","given":"S Kalei"},{"family":"Siddon","given":"Elizabeth"},{"family":"Spies","given":"Ingrid"},{"family":"Thorson","given":"James"}],"issued":{"date-parts":[["2023"]]}}}],"schema":"https://github.com/citation-style-language/schema/raw/master/csl-citation.json"} </w:instrText>
      </w:r>
      <w:r w:rsidR="00882660">
        <w:rPr>
          <w:rFonts w:ascii="Aptos" w:hAnsi="Aptos" w:cs="Times New Roman"/>
        </w:rPr>
        <w:fldChar w:fldCharType="separate"/>
      </w:r>
      <w:r w:rsidR="00882660">
        <w:rPr>
          <w:rFonts w:ascii="Aptos" w:hAnsi="Aptos" w:cs="Times New Roman"/>
          <w:noProof/>
        </w:rPr>
        <w:t>i.e., see Fig 2.1 and 2.2 of Barbeaux et al. 2023)</w:t>
      </w:r>
      <w:r w:rsidR="00882660">
        <w:rPr>
          <w:rFonts w:ascii="Aptos" w:hAnsi="Aptos" w:cs="Times New Roman"/>
        </w:rPr>
        <w:fldChar w:fldCharType="end"/>
      </w:r>
      <w:r w:rsidR="005D179E">
        <w:rPr>
          <w:rFonts w:ascii="Aptos" w:hAnsi="Aptos" w:cs="Times New Roman"/>
        </w:rPr>
        <w:t xml:space="preserve">. </w:t>
      </w:r>
      <w:r w:rsidR="0025138B">
        <w:rPr>
          <w:rFonts w:ascii="Aptos" w:hAnsi="Aptos" w:cs="Times New Roman"/>
        </w:rPr>
        <w:t>In addition to the recent</w:t>
      </w:r>
      <w:r w:rsidR="00A70219" w:rsidRPr="00E6481C">
        <w:rPr>
          <w:rFonts w:ascii="Aptos" w:hAnsi="Aptos" w:cs="Times New Roman"/>
        </w:rPr>
        <w:t xml:space="preserve"> population assignment studies that have </w:t>
      </w:r>
      <w:r w:rsidR="00602A04">
        <w:rPr>
          <w:rFonts w:ascii="Aptos" w:hAnsi="Aptos" w:cs="Times New Roman"/>
        </w:rPr>
        <w:t>utilizes</w:t>
      </w:r>
      <w:r w:rsidR="00A70219" w:rsidRPr="00E6481C">
        <w:rPr>
          <w:rFonts w:ascii="Aptos" w:hAnsi="Aptos" w:cs="Times New Roman"/>
        </w:rPr>
        <w:t xml:space="preserve"> outlier loci for assignment purposes, studies looking at the ZP3 lo</w:t>
      </w:r>
      <w:r w:rsidR="0064517E">
        <w:rPr>
          <w:rFonts w:ascii="Aptos" w:hAnsi="Aptos" w:cs="Times New Roman"/>
        </w:rPr>
        <w:t xml:space="preserve">ci </w:t>
      </w:r>
      <w:r w:rsidR="006F5C3F">
        <w:rPr>
          <w:rFonts w:ascii="Aptos" w:hAnsi="Aptos" w:cs="Times New Roman"/>
        </w:rPr>
        <w:t>(</w:t>
      </w:r>
      <w:r w:rsidR="006F5C3F" w:rsidRPr="00E6481C">
        <w:rPr>
          <w:rFonts w:ascii="Aptos" w:hAnsi="Aptos" w:cs="Times New Roman"/>
        </w:rPr>
        <w:t>related to the production of antifreeze proteins and proteins to protect the embryo</w:t>
      </w:r>
      <w:r w:rsidR="006F5C3F">
        <w:rPr>
          <w:rFonts w:ascii="Aptos" w:hAnsi="Aptos" w:cs="Times New Roman"/>
        </w:rPr>
        <w:t xml:space="preserve">) </w:t>
      </w:r>
      <w:r w:rsidR="00A70219" w:rsidRPr="00E6481C">
        <w:rPr>
          <w:rFonts w:ascii="Aptos" w:hAnsi="Aptos" w:cs="Times New Roman"/>
        </w:rPr>
        <w:t xml:space="preserve">have similarly found </w:t>
      </w:r>
      <w:r w:rsidR="00DC5757">
        <w:rPr>
          <w:rFonts w:ascii="Aptos" w:hAnsi="Aptos" w:cs="Times New Roman"/>
        </w:rPr>
        <w:t>genetic</w:t>
      </w:r>
      <w:r w:rsidR="00403065">
        <w:rPr>
          <w:rFonts w:ascii="Aptos" w:hAnsi="Aptos" w:cs="Times New Roman"/>
        </w:rPr>
        <w:t xml:space="preserve"> differentiation</w:t>
      </w:r>
      <w:r w:rsidR="00DC5757">
        <w:rPr>
          <w:rFonts w:ascii="Aptos" w:hAnsi="Aptos" w:cs="Times New Roman"/>
        </w:rPr>
        <w:t xml:space="preserve"> between the EGOA and WGOA</w:t>
      </w:r>
      <w:r w:rsidR="00403065">
        <w:rPr>
          <w:rFonts w:ascii="Aptos" w:hAnsi="Aptos" w:cs="Times New Roman"/>
        </w:rPr>
        <w:t xml:space="preserve">, suggesting </w:t>
      </w:r>
      <w:r w:rsidR="00A70219" w:rsidRPr="00E6481C">
        <w:rPr>
          <w:rFonts w:ascii="Aptos" w:hAnsi="Aptos" w:cs="Times New Roman"/>
        </w:rPr>
        <w:t>stock structure and differences in haplotype frequencies for this loci that may perhaps explain stock structure between the EGOA, WGOA, EBS</w:t>
      </w:r>
      <w:r w:rsidR="00E84969">
        <w:rPr>
          <w:rFonts w:ascii="Aptos" w:hAnsi="Aptos" w:cs="Times New Roman"/>
        </w:rPr>
        <w:t xml:space="preserve"> and AI </w:t>
      </w:r>
      <w:r w:rsidR="00A70219" w:rsidRPr="00E6481C">
        <w:rPr>
          <w:rFonts w:ascii="Aptos" w:hAnsi="Aptos" w:cs="Times New Roman"/>
        </w:rPr>
        <w:fldChar w:fldCharType="begin"/>
      </w:r>
      <w:r w:rsidR="00882660">
        <w:rPr>
          <w:rFonts w:ascii="Aptos" w:hAnsi="Aptos" w:cs="Times New Roman"/>
        </w:rPr>
        <w:instrText xml:space="preserve"> ADDIN ZOTERO_ITEM CSL_CITATION {"citationID":"RxuhgizD","properties":{"formattedCitation":"(Spies et al. 2020, 2021)","plainCitation":"(Spies et al. 2020, 2021)","noteIndex":0},"citationItems":[{"id":14462,"uris":["http://zotero.org/users/6698527/items/XHV7KC24"],"itemData":{"id":14462,"type":"article-journal","abstract":"Poleward species range shifts have been predicted to result from climate change, and many observations have confirmed such movement. Poleward shifts may represent a homogeneous shift in distribution, seasonal northward movement of specific populations, or colonization processes at the poleward edge of the distribution. The ecosystem of the Bering Sea has been changing along with the climate, moving from an arctic to a subarctic system. Several fish species have been observed farther north than previously reported and in increasing abundances. We examined one of these fish species, Pacific cod, in the northern Bering Sea (NBS) to assess whether they migrated from another stock in the eastern Bering Sea (EBS), Gulf of Alaska, or Aleutian Islands, or whether they represent a separate population. Genetic analyses using 3,599 single nucleotide polymorphism markers indicated that nonspawning cod collected in August 2017 in the NBS were similar to spawning stocks of cod in the EBS. This result suggests escalating northward movement of the large EBS stock during summer months. Whether the cod observed in the NBS migrate south during winter to spawn or remain in the NBS as a sink population is unknown.","container-title":"Evolutionary Applications","DOI":"10.1111/eva.12874","ISSN":"1752-4571, 1752-4571","issue":"2","journalAbbreviation":"Evolutionary Applications","language":"en","page":"362-375","source":"DOI.org (Crossref)","title":"Genetic evidence of a northward range expansion in the eastern Bering Sea stock of Pacific cod","volume":"13","author":[{"family":"Spies","given":"Ingrid"},{"family":"Gruenthal","given":"Kristen M."},{"family":"Drinan","given":"Daniel P."},{"family":"Hollowed","given":"Anne B."},{"family":"Stevenson","given":"Duane E."},{"family":"Tarpey","given":"Carolyn M."},{"family":"Hauser","given":"Lorenz"}],"issued":{"date-parts":[["2020",2]]}}},{"id":14463,"uris":["http://zotero.org/users/6698527/items/BCDKDJJD"],"itemData":{"id":14463,"type":"article-journal","abstract":"Genetic differentiation has been observed in marine species even when no obvious barriers to gene flow exist, and understanding such differentiation is essential for effective fisheries management. Highly differentiated outlier loci can provide information on how genetic variation might not only contribute to local adaptation but may also be affected by historical demographic events. A locus which aligned to a predicted zona pellucida sperm-­binding protein 3 gene (ZP3) in Atlantic cod (Gadus morhua) was previously identified as the highest outlier based on FST in a RADseq study of Pacific cod (Gadus macrocephalus) across the West Coast of North America. However, because of the limited length of the RAD sequence and restricted geographic area of sampling, no conclusion on the functional significance of the observed variation was possible. In other marine species, ZP3 is involved in reproductive isolation, local adaptation, and has neofunctionalized as an antifreeze gene, and so it may provide important insights in functional population structure of Pacific cod. Here, we sequenced a 544-­bp region of ZP3 in 230 Pacific cod collected from throughout their geographic range. We observed striking patterns of spatial structuring of ZP3 haplotypes, with a sharp break near Kodiak, Alaska, USA where populations within ~200 km of each other are nearly fixed for different haplotypes, contrasting a pattern of isolation by distance at other genetic markers in this region (FST = 0.003). Phylogenetic analysis of ZP3 haplotypes revealed that the more southern haplotypes appear to be ancestral, with the northern haplotype evolving more recently, potentially in response to a novel selective pressure as Pacific cod recolonized northern latitudes after glaciation. The sharp break in haplotype frequencies suggests strong selective pressures are operating on small spatial scales and illustrates that selection can create high divergence even in marine species with ample opportunities for gene flow.","container-title":"Ecology and Evolution","DOI":"10.1002/ece3.8284","ISSN":"2045-7758, 2045-7758","issue":"23","journalAbbreviation":"Ecology and Evolution","language":"en","page":"16661-16679","source":"DOI.org (Crossref)","title":"Evidence for selection and spatially distinct patterns found in a putative zona pellucida gene in Pacific cod, and implications for management","volume":"11","author":[{"family":"Spies","given":"Ingrid"},{"family":"Drinan","given":"Daniel P."},{"family":"Petrou","given":"Eleni L."},{"family":"Spurr","given":"Rory"},{"family":"Tarpey","given":"Carolyn"},{"family":"Hartinger","given":"Theodore"},{"family":"Larson","given":"Wes"},{"family":"Hauser","given":"Lorenz"}],"issued":{"date-parts":[["2021",12]]}}}],"schema":"https://github.com/citation-style-language/schema/raw/master/csl-citation.json"} </w:instrText>
      </w:r>
      <w:r w:rsidR="00A70219" w:rsidRPr="00E6481C">
        <w:rPr>
          <w:rFonts w:ascii="Aptos" w:hAnsi="Aptos" w:cs="Times New Roman"/>
        </w:rPr>
        <w:fldChar w:fldCharType="separate"/>
      </w:r>
      <w:r w:rsidR="00882660">
        <w:rPr>
          <w:rFonts w:ascii="Aptos" w:hAnsi="Aptos" w:cs="Times New Roman"/>
        </w:rPr>
        <w:t>(Spies et al. 2020, 2021)</w:t>
      </w:r>
      <w:r w:rsidR="00A70219" w:rsidRPr="00E6481C">
        <w:rPr>
          <w:rFonts w:ascii="Aptos" w:hAnsi="Aptos" w:cs="Times New Roman"/>
        </w:rPr>
        <w:fldChar w:fldCharType="end"/>
      </w:r>
      <w:r w:rsidR="00A70219" w:rsidRPr="00E6481C">
        <w:rPr>
          <w:rFonts w:ascii="Aptos" w:hAnsi="Aptos" w:cs="Times New Roman"/>
        </w:rPr>
        <w:t xml:space="preserve">. </w:t>
      </w:r>
      <w:r w:rsidR="00330CF5">
        <w:rPr>
          <w:rFonts w:ascii="Aptos" w:hAnsi="Aptos" w:cs="Times New Roman"/>
        </w:rPr>
        <w:t xml:space="preserve">Thus, similar to differentiation between the EBS and AI, </w:t>
      </w:r>
      <w:r w:rsidR="001C7D8D">
        <w:rPr>
          <w:rFonts w:ascii="Aptos" w:hAnsi="Aptos" w:cs="Times New Roman"/>
        </w:rPr>
        <w:t xml:space="preserve">there are likely </w:t>
      </w:r>
      <w:r w:rsidR="00A70219" w:rsidRPr="00E6481C">
        <w:rPr>
          <w:rFonts w:ascii="Aptos" w:hAnsi="Aptos" w:cs="Times New Roman"/>
        </w:rPr>
        <w:t>selective processes acting upon these populations. In particular, these selective processes may be due to the narrower thermal tolerance of eggs for individuals located west of Kodiak Island</w:t>
      </w:r>
      <w:r w:rsidR="00356774">
        <w:rPr>
          <w:rFonts w:ascii="Aptos" w:hAnsi="Aptos" w:cs="Times New Roman"/>
        </w:rPr>
        <w:t xml:space="preserve"> (i.e., </w:t>
      </w:r>
      <w:r w:rsidR="006472C7">
        <w:rPr>
          <w:rFonts w:ascii="Aptos" w:hAnsi="Aptos" w:cs="Times New Roman"/>
        </w:rPr>
        <w:t>the WGOA, BS ,</w:t>
      </w:r>
      <w:r w:rsidR="002A769F">
        <w:rPr>
          <w:rFonts w:ascii="Aptos" w:hAnsi="Aptos" w:cs="Times New Roman"/>
        </w:rPr>
        <w:t xml:space="preserve"> </w:t>
      </w:r>
      <w:r w:rsidR="006472C7">
        <w:rPr>
          <w:rFonts w:ascii="Aptos" w:hAnsi="Aptos" w:cs="Times New Roman"/>
        </w:rPr>
        <w:t>and A</w:t>
      </w:r>
      <w:r w:rsidR="00740091">
        <w:rPr>
          <w:rFonts w:ascii="Aptos" w:hAnsi="Aptos" w:cs="Times New Roman"/>
        </w:rPr>
        <w:t>I</w:t>
      </w:r>
      <w:r w:rsidR="002A769F">
        <w:rPr>
          <w:rFonts w:ascii="Aptos" w:hAnsi="Aptos" w:cs="Times New Roman"/>
        </w:rPr>
        <w:t>;</w:t>
      </w:r>
      <w:r w:rsidR="00A70219" w:rsidRPr="00E6481C">
        <w:rPr>
          <w:rFonts w:ascii="Aptos" w:hAnsi="Aptos" w:cs="Times New Roman"/>
        </w:rPr>
        <w:t xml:space="preserve"> </w:t>
      </w:r>
      <w:r w:rsidR="00A70219" w:rsidRPr="00E6481C">
        <w:rPr>
          <w:rFonts w:ascii="Aptos" w:hAnsi="Aptos" w:cs="Times New Roman"/>
        </w:rPr>
        <w:fldChar w:fldCharType="begin"/>
      </w:r>
      <w:r w:rsidR="00882660">
        <w:rPr>
          <w:rFonts w:ascii="Aptos" w:hAnsi="Aptos" w:cs="Times New Roman"/>
        </w:rPr>
        <w:instrText xml:space="preserve"> ADDIN ZOTERO_ITEM CSL_CITATION {"citationID":"vUvFc7sZ","properties":{"formattedCitation":"(Spies et al. 2021)","plainCitation":"(Spies et al. 2021)","noteIndex":0},"citationItems":[{"id":14463,"uris":["http://zotero.org/users/6698527/items/BCDKDJJD"],"itemData":{"id":14463,"type":"article-journal","abstract":"Genetic differentiation has been observed in marine species even when no obvious barriers to gene flow exist, and understanding such differentiation is essential for effective fisheries management. Highly differentiated outlier loci can provide information on how genetic variation might not only contribute to local adaptation but may also be affected by historical demographic events. A locus which aligned to a predicted zona pellucida sperm-­binding protein 3 gene (ZP3) in Atlantic cod (Gadus morhua) was previously identified as the highest outlier based on FST in a RADseq study of Pacific cod (Gadus macrocephalus) across the West Coast of North America. However, because of the limited length of the RAD sequence and restricted geographic area of sampling, no conclusion on the functional significance of the observed variation was possible. In other marine species, ZP3 is involved in reproductive isolation, local adaptation, and has neofunctionalized as an antifreeze gene, and so it may provide important insights in functional population structure of Pacific cod. Here, we sequenced a 544-­bp region of ZP3 in 230 Pacific cod collected from throughout their geographic range. We observed striking patterns of spatial structuring of ZP3 haplotypes, with a sharp break near Kodiak, Alaska, USA where populations within ~200 km of each other are nearly fixed for different haplotypes, contrasting a pattern of isolation by distance at other genetic markers in this region (FST = 0.003). Phylogenetic analysis of ZP3 haplotypes revealed that the more southern haplotypes appear to be ancestral, with the northern haplotype evolving more recently, potentially in response to a novel selective pressure as Pacific cod recolonized northern latitudes after glaciation. The sharp break in haplotype frequencies suggests strong selective pressures are operating on small spatial scales and illustrates that selection can create high divergence even in marine species with ample opportunities for gene flow.","container-title":"Ecology and Evolution","DOI":"10.1002/ece3.8284","ISSN":"2045-7758, 2045-7758","issue":"23","journalAbbreviation":"Ecology and Evolution","language":"en","page":"16661-16679","source":"DOI.org (Crossref)","title":"Evidence for selection and spatially distinct patterns found in a putative zona pellucida gene in Pacific cod, and implications for management","volume":"11","author":[{"family":"Spies","given":"Ingrid"},{"family":"Drinan","given":"Daniel P."},{"family":"Petrou","given":"Eleni L."},{"family":"Spurr","given":"Rory"},{"family":"Tarpey","given":"Carolyn"},{"family":"Hartinger","given":"Theodore"},{"family":"Larson","given":"Wes"},{"family":"Hauser","given":"Lorenz"}],"issued":{"date-parts":[["2021",12]]}}}],"schema":"https://github.com/citation-style-language/schema/raw/master/csl-citation.json"} </w:instrText>
      </w:r>
      <w:r w:rsidR="00A70219" w:rsidRPr="00E6481C">
        <w:rPr>
          <w:rFonts w:ascii="Aptos" w:hAnsi="Aptos" w:cs="Times New Roman"/>
        </w:rPr>
        <w:fldChar w:fldCharType="separate"/>
      </w:r>
      <w:r w:rsidR="00882660">
        <w:rPr>
          <w:rFonts w:ascii="Aptos" w:hAnsi="Aptos" w:cs="Times New Roman"/>
        </w:rPr>
        <w:t>Spies et al. 2021)</w:t>
      </w:r>
      <w:r w:rsidR="00A70219" w:rsidRPr="00E6481C">
        <w:rPr>
          <w:rFonts w:ascii="Aptos" w:hAnsi="Aptos" w:cs="Times New Roman"/>
        </w:rPr>
        <w:fldChar w:fldCharType="end"/>
      </w:r>
      <w:r w:rsidR="00A70219" w:rsidRPr="00E6481C">
        <w:rPr>
          <w:rFonts w:ascii="Aptos" w:hAnsi="Aptos" w:cs="Times New Roman"/>
        </w:rPr>
        <w:t>.</w:t>
      </w:r>
      <w:r w:rsidR="00A22B2C">
        <w:rPr>
          <w:rFonts w:ascii="Aptos" w:hAnsi="Aptos" w:cs="Times New Roman"/>
        </w:rPr>
        <w:t xml:space="preserve"> Stock structure between the WGOA and EGOA are also likely due to </w:t>
      </w:r>
      <w:r w:rsidR="00A70219" w:rsidRPr="00E6481C">
        <w:rPr>
          <w:rFonts w:ascii="Aptos" w:hAnsi="Aptos" w:cs="Times New Roman"/>
        </w:rPr>
        <w:t xml:space="preserve">differences in oceanographic dynamics between </w:t>
      </w:r>
      <w:r w:rsidR="003B646B">
        <w:rPr>
          <w:rFonts w:ascii="Aptos" w:hAnsi="Aptos" w:cs="Times New Roman"/>
        </w:rPr>
        <w:t>these regions</w:t>
      </w:r>
      <w:r w:rsidR="00193FEC">
        <w:rPr>
          <w:rFonts w:ascii="Aptos" w:hAnsi="Aptos" w:cs="Times New Roman"/>
        </w:rPr>
        <w:t xml:space="preserve">. </w:t>
      </w:r>
      <w:r w:rsidR="00A70219" w:rsidRPr="00E6481C">
        <w:rPr>
          <w:rFonts w:ascii="Aptos" w:hAnsi="Aptos" w:cs="Times New Roman"/>
        </w:rPr>
        <w:t>Specifically, IBM larval connectivity studies have shown that the PWS (fish from upstream of PWS to southeast AK) and Kodiak/</w:t>
      </w:r>
      <w:proofErr w:type="spellStart"/>
      <w:r w:rsidR="00A70219" w:rsidRPr="00E6481C">
        <w:rPr>
          <w:rFonts w:ascii="Aptos" w:hAnsi="Aptos" w:cs="Times New Roman"/>
        </w:rPr>
        <w:t>Shumigan</w:t>
      </w:r>
      <w:proofErr w:type="spellEnd"/>
      <w:r w:rsidR="00A70219" w:rsidRPr="00E6481C">
        <w:rPr>
          <w:rFonts w:ascii="Aptos" w:hAnsi="Aptos" w:cs="Times New Roman"/>
        </w:rPr>
        <w:t xml:space="preserve"> Island regions </w:t>
      </w:r>
      <w:r w:rsidR="006142C4">
        <w:rPr>
          <w:rFonts w:ascii="Aptos" w:hAnsi="Aptos" w:cs="Times New Roman"/>
        </w:rPr>
        <w:t xml:space="preserve">most likely </w:t>
      </w:r>
      <w:r w:rsidR="00A70219" w:rsidRPr="00E6481C">
        <w:rPr>
          <w:rFonts w:ascii="Aptos" w:hAnsi="Aptos" w:cs="Times New Roman"/>
        </w:rPr>
        <w:t>serve as collection regions</w:t>
      </w:r>
      <w:r w:rsidR="008C2CC1">
        <w:rPr>
          <w:rFonts w:ascii="Aptos" w:hAnsi="Aptos" w:cs="Times New Roman"/>
        </w:rPr>
        <w:t xml:space="preserve"> for Pacific eggs and larvae</w:t>
      </w:r>
      <w:r w:rsidR="00A6709E">
        <w:rPr>
          <w:rFonts w:ascii="Aptos" w:hAnsi="Aptos" w:cs="Times New Roman"/>
        </w:rPr>
        <w:t>. C</w:t>
      </w:r>
      <w:r w:rsidR="00A70219" w:rsidRPr="00E6481C">
        <w:rPr>
          <w:rFonts w:ascii="Aptos" w:hAnsi="Aptos" w:cs="Times New Roman"/>
        </w:rPr>
        <w:t>ollection</w:t>
      </w:r>
      <w:r w:rsidR="00C72F86">
        <w:rPr>
          <w:rFonts w:ascii="Aptos" w:hAnsi="Aptos" w:cs="Times New Roman"/>
        </w:rPr>
        <w:t xml:space="preserve"> regions forming</w:t>
      </w:r>
      <w:r w:rsidR="00A70219" w:rsidRPr="00E6481C">
        <w:rPr>
          <w:rFonts w:ascii="Aptos" w:hAnsi="Aptos" w:cs="Times New Roman"/>
        </w:rPr>
        <w:t xml:space="preserve"> in the PWS </w:t>
      </w:r>
      <w:r w:rsidR="00E03DB6">
        <w:rPr>
          <w:rFonts w:ascii="Aptos" w:hAnsi="Aptos" w:cs="Times New Roman"/>
        </w:rPr>
        <w:t>area</w:t>
      </w:r>
      <w:r w:rsidR="00A70219" w:rsidRPr="00E6481C">
        <w:rPr>
          <w:rFonts w:ascii="Aptos" w:hAnsi="Aptos" w:cs="Times New Roman"/>
        </w:rPr>
        <w:t xml:space="preserve"> are likely due to a narrow continental </w:t>
      </w:r>
      <w:r w:rsidR="0042277D">
        <w:rPr>
          <w:rFonts w:ascii="Aptos" w:hAnsi="Aptos" w:cs="Times New Roman"/>
        </w:rPr>
        <w:t xml:space="preserve">shelf around the </w:t>
      </w:r>
      <w:r w:rsidR="00A70219" w:rsidRPr="00E6481C">
        <w:rPr>
          <w:rFonts w:ascii="Aptos" w:hAnsi="Aptos" w:cs="Times New Roman"/>
        </w:rPr>
        <w:t xml:space="preserve">EGOA, and impingement of the Alaska current as well as </w:t>
      </w:r>
      <w:r w:rsidR="001C49B3">
        <w:rPr>
          <w:rFonts w:ascii="Aptos" w:hAnsi="Aptos" w:cs="Times New Roman"/>
        </w:rPr>
        <w:t xml:space="preserve">periodic </w:t>
      </w:r>
      <w:r w:rsidR="00A70219" w:rsidRPr="00E6481C">
        <w:rPr>
          <w:rFonts w:ascii="Aptos" w:hAnsi="Aptos" w:cs="Times New Roman"/>
        </w:rPr>
        <w:t xml:space="preserve">eddies that occur in that region (i.e., Yakutat, Sitka, Haida eddies) </w:t>
      </w:r>
      <w:r w:rsidR="00A70219" w:rsidRPr="00E6481C">
        <w:rPr>
          <w:rFonts w:ascii="Aptos" w:hAnsi="Aptos" w:cs="Times New Roman"/>
        </w:rPr>
        <w:fldChar w:fldCharType="begin"/>
      </w:r>
      <w:r w:rsidR="00882660">
        <w:rPr>
          <w:rFonts w:ascii="Aptos" w:hAnsi="Aptos" w:cs="Times New Roman"/>
        </w:rPr>
        <w:instrText xml:space="preserve"> ADDIN ZOTERO_ITEM CSL_CITATION {"citationID":"4WOcW5Bs","properties":{"formattedCitation":"(Hinckley et al. 2019)","plainCitation":"(Hinckley et al. 2019)","noteIndex":0},"citationItems":[{"id":15798,"uris":["http://zotero.org/users/6698527/items/5SNJ3HZP"],"itemData":{"id":15798,"type":"article-journal","abstract":"We present the results of a study of the connectivity between Pacific cod spawning and nursery areas, and settlement of Pacific cod in the Gulf of Alaska. This work was conducted to address the hypothesis that spatial and temporal patterns of recruitment are related to variability in connectivity between spawning and nursery areas. To examine this hypothesis, we developed a Lagrangian, biophysical, individual-based model of Pacific cod early life history and dispersal using the Dispersal Model for Early Life Stages (DisMELS) framework. This model is driven by currents and scalars such as temperature from a version of the Regional Oceanographic Model System (ROMS) developed for the Gulf of Alaska. Results of our study show connectivity patterns predicted by the model that agree with our understanding (based on genetic analyses) that there is a high degree of localized retention in Pacific cod. The results indicate that the Shumagin Islands and Prince William Sound regions may serve as important collectors of Pacific cod recruits from upstream spawning areas. We also find correlations between individual-based model outputs and several large-scale climate indicators that appear to show settlement in several important nursery areas, and recruitment overall, are positively affected by slower gyre circulation in the Gulf of Alaska. We hypothesize that this is due to enhancement of retention, settlement in the Shumagin Island region, and reduction of transport of young cod out of the Gulf of Alaska to the southwest.","container-title":"Deep Sea Research Part II: Topical Studies in Oceanography","DOI":"10.1016/j.dsr2.2019.05.007","ISSN":"09670645","journalAbbreviation":"Deep Sea Research Part II: Topical Studies in Oceanography","language":"en","page":"113-126","source":"DOI.org (Crossref)","title":"Connectivity between spawning and nursery areas for Pacific cod (Gadus macrocephalus) in the Gulf of Alaska","volume":"165","author":[{"family":"Hinckley","given":"S."},{"family":"Stockhausen","given":"W.T."},{"family":"Coyle","given":"K.O."},{"family":"Laurel","given":"B.J."},{"family":"Gibson","given":"G.A."},{"family":"Parada","given":"C."},{"family":"Hermann","given":"A.J."},{"family":"Doyle","given":"M.J."},{"family":"Hurst","given":"T.P."},{"family":"Punt","given":"A.E."},{"family":"Ladd","given":"C."}],"issued":{"date-parts":[["2019",7]]}}}],"schema":"https://github.com/citation-style-language/schema/raw/master/csl-citation.json"} </w:instrText>
      </w:r>
      <w:r w:rsidR="00A70219" w:rsidRPr="00E6481C">
        <w:rPr>
          <w:rFonts w:ascii="Aptos" w:hAnsi="Aptos" w:cs="Times New Roman"/>
        </w:rPr>
        <w:fldChar w:fldCharType="separate"/>
      </w:r>
      <w:r w:rsidR="00882660">
        <w:rPr>
          <w:rFonts w:ascii="Aptos" w:hAnsi="Aptos" w:cs="Times New Roman"/>
        </w:rPr>
        <w:t>(Hinckley et al. 2019)</w:t>
      </w:r>
      <w:r w:rsidR="00A70219" w:rsidRPr="00E6481C">
        <w:rPr>
          <w:rFonts w:ascii="Aptos" w:hAnsi="Aptos" w:cs="Times New Roman"/>
        </w:rPr>
        <w:fldChar w:fldCharType="end"/>
      </w:r>
      <w:r w:rsidR="00A70219" w:rsidRPr="00E6481C">
        <w:rPr>
          <w:rFonts w:ascii="Aptos" w:hAnsi="Aptos" w:cs="Times New Roman"/>
        </w:rPr>
        <w:t xml:space="preserve">, </w:t>
      </w:r>
      <w:r w:rsidR="00784749">
        <w:rPr>
          <w:rFonts w:ascii="Aptos" w:hAnsi="Aptos" w:cs="Times New Roman"/>
        </w:rPr>
        <w:t>coupled with</w:t>
      </w:r>
      <w:r w:rsidR="00A70219" w:rsidRPr="00E6481C">
        <w:rPr>
          <w:rFonts w:ascii="Aptos" w:hAnsi="Aptos" w:cs="Times New Roman"/>
        </w:rPr>
        <w:t xml:space="preserve"> a transition in this region from the wide and slow moving Alaska Current into the narrow and fast Alaska Stream. </w:t>
      </w:r>
    </w:p>
    <w:p w14:paraId="219183C0" w14:textId="77777777" w:rsidR="00A70219" w:rsidRPr="000B4B4F" w:rsidRDefault="00A70219" w:rsidP="005D23BA">
      <w:pPr>
        <w:ind w:firstLine="720"/>
        <w:jc w:val="both"/>
        <w:rPr>
          <w:rFonts w:cs="Times New Roman"/>
        </w:rPr>
      </w:pPr>
    </w:p>
    <w:p w14:paraId="0202EB0D" w14:textId="5BF05BCA" w:rsidR="009B2F87" w:rsidRPr="008D264E" w:rsidRDefault="00FE38FF" w:rsidP="00285607">
      <w:pPr>
        <w:ind w:firstLine="720"/>
        <w:jc w:val="both"/>
        <w:rPr>
          <w:rFonts w:ascii="Aptos" w:hAnsi="Aptos" w:cs="Times New Roman"/>
        </w:rPr>
      </w:pPr>
      <w:r w:rsidRPr="008D264E">
        <w:rPr>
          <w:rFonts w:ascii="Aptos" w:hAnsi="Aptos"/>
        </w:rPr>
        <w:t xml:space="preserve">Although </w:t>
      </w:r>
      <w:r w:rsidR="00577949" w:rsidRPr="008D264E">
        <w:rPr>
          <w:rFonts w:ascii="Aptos" w:hAnsi="Aptos"/>
        </w:rPr>
        <w:t>th</w:t>
      </w:r>
      <w:r w:rsidR="0093238F" w:rsidRPr="008D264E">
        <w:rPr>
          <w:rFonts w:ascii="Aptos" w:hAnsi="Aptos"/>
        </w:rPr>
        <w:t xml:space="preserve">ere is stock structure between these 4 regions, most likely a result of both environmental and life-history dynamics, </w:t>
      </w:r>
      <w:r w:rsidR="00FE3B90" w:rsidRPr="008D264E">
        <w:rPr>
          <w:rFonts w:ascii="Aptos" w:hAnsi="Aptos"/>
        </w:rPr>
        <w:t>there also exists mixing</w:t>
      </w:r>
      <w:r w:rsidR="00204C78" w:rsidRPr="008D264E">
        <w:rPr>
          <w:rFonts w:ascii="Aptos" w:hAnsi="Aptos"/>
        </w:rPr>
        <w:t xml:space="preserve"> between these stocks</w:t>
      </w:r>
      <w:r w:rsidR="00A93702" w:rsidRPr="008D264E">
        <w:rPr>
          <w:rFonts w:ascii="Aptos" w:hAnsi="Aptos"/>
        </w:rPr>
        <w:t xml:space="preserve">. </w:t>
      </w:r>
      <w:r w:rsidR="009B2F87" w:rsidRPr="008D264E">
        <w:rPr>
          <w:rFonts w:ascii="Aptos" w:hAnsi="Aptos" w:cs="Times New Roman"/>
        </w:rPr>
        <w:t xml:space="preserve">With respect to movement dynamics, </w:t>
      </w:r>
      <w:r w:rsidR="00EF36F8">
        <w:rPr>
          <w:rFonts w:ascii="Aptos" w:hAnsi="Aptos" w:cs="Times New Roman"/>
        </w:rPr>
        <w:t xml:space="preserve">both conventional tagging and </w:t>
      </w:r>
      <w:r w:rsidR="00B73CCC">
        <w:rPr>
          <w:rFonts w:ascii="Aptos" w:hAnsi="Aptos" w:cs="Times New Roman"/>
        </w:rPr>
        <w:t>electronic</w:t>
      </w:r>
      <w:r w:rsidR="004E2D8A">
        <w:rPr>
          <w:rFonts w:ascii="Aptos" w:hAnsi="Aptos" w:cs="Times New Roman"/>
        </w:rPr>
        <w:t xml:space="preserve"> </w:t>
      </w:r>
      <w:r w:rsidR="00EF36F8">
        <w:rPr>
          <w:rFonts w:ascii="Aptos" w:hAnsi="Aptos" w:cs="Times New Roman"/>
        </w:rPr>
        <w:t xml:space="preserve">tag </w:t>
      </w:r>
      <w:r w:rsidR="00B73CCC">
        <w:rPr>
          <w:rFonts w:ascii="Aptos" w:hAnsi="Aptos" w:cs="Times New Roman"/>
        </w:rPr>
        <w:t>studies</w:t>
      </w:r>
      <w:r w:rsidR="00EF36F8">
        <w:rPr>
          <w:rFonts w:ascii="Aptos" w:hAnsi="Aptos" w:cs="Times New Roman"/>
        </w:rPr>
        <w:t xml:space="preserve"> have shown that </w:t>
      </w:r>
      <w:r w:rsidR="004F3B6A">
        <w:rPr>
          <w:rFonts w:ascii="Aptos" w:hAnsi="Aptos" w:cs="Times New Roman"/>
        </w:rPr>
        <w:t xml:space="preserve">Pacific cod undertake seasonal feeding </w:t>
      </w:r>
      <w:r w:rsidR="00E47FD4">
        <w:rPr>
          <w:rFonts w:ascii="Aptos" w:hAnsi="Aptos" w:cs="Times New Roman"/>
        </w:rPr>
        <w:t xml:space="preserve">(spring and summer) </w:t>
      </w:r>
      <w:r w:rsidR="004F3B6A">
        <w:rPr>
          <w:rFonts w:ascii="Aptos" w:hAnsi="Aptos" w:cs="Times New Roman"/>
        </w:rPr>
        <w:t xml:space="preserve">and spawning migrations </w:t>
      </w:r>
      <w:r w:rsidR="003C05B9">
        <w:rPr>
          <w:rFonts w:ascii="Aptos" w:hAnsi="Aptos" w:cs="Times New Roman"/>
        </w:rPr>
        <w:t xml:space="preserve">(fall and winter) </w:t>
      </w:r>
      <w:r w:rsidR="004F3B6A">
        <w:rPr>
          <w:rFonts w:ascii="Aptos" w:hAnsi="Aptos" w:cs="Times New Roman"/>
        </w:rPr>
        <w:t xml:space="preserve">and can exhibit high movement rates, </w:t>
      </w:r>
      <w:r w:rsidR="000C1DBC">
        <w:rPr>
          <w:rFonts w:ascii="Aptos" w:hAnsi="Aptos" w:cs="Times New Roman"/>
        </w:rPr>
        <w:t>traversing</w:t>
      </w:r>
      <w:r w:rsidR="004F3B6A">
        <w:rPr>
          <w:rFonts w:ascii="Aptos" w:hAnsi="Aptos" w:cs="Times New Roman"/>
        </w:rPr>
        <w:t xml:space="preserve"> long distances </w:t>
      </w:r>
      <w:r w:rsidR="00EF36F8">
        <w:rPr>
          <w:rFonts w:ascii="Aptos" w:hAnsi="Aptos" w:cs="Times New Roman"/>
        </w:rPr>
        <w:fldChar w:fldCharType="begin"/>
      </w:r>
      <w:r w:rsidR="00EF36F8">
        <w:rPr>
          <w:rFonts w:ascii="Aptos" w:hAnsi="Aptos" w:cs="Times New Roman"/>
        </w:rPr>
        <w:instrText xml:space="preserve"> ADDIN ZOTERO_ITEM CSL_CITATION {"citationID":"hk0jipbH","properties":{"formattedCitation":"(Shimada and Kimura 1994; Bryan et al. 2021)","plainCitation":"(Shimada and Kimura 1994; Bryan et al. 2021)","noteIndex":0},"citationItems":[{"id":14458,"uris":["http://zotero.org/users/6698527/items/X7MS34EF"],"itemData":{"id":14458,"type":"article-journal","language":"en","source":"Zotero","title":"Seasonal movements of Pacific cod, Gadus macrocephalUS, in the eastern Bering Sea and adjacent waters based on tag-recapture data","author":[{"family":"Shimada","given":"Allen M"},{"family":"Kimura","given":"Daniel K"}],"issued":{"date-parts":[["1994"]]}}},{"id":22101,"uris":["http://zotero.org/users/6698527/items/SYGDC7XX"],"itemData":{"id":22101,"type":"article-journal","abstract":"Background:  Pacific cod (Gadus macrocephalus) is an ecologically important species that supports a valuable commercial fishery throughout Alaska waters. Although its life history includes seasonal movement for spawning and feeding, little is known about its movement ecology. Here, we present results from the first study to use pop-up satellite archival tags (PSATs) to track the within-year movements of Pacific cod to understand their potential seasonal movement patterns within the Aleutian Islands. This study was part of a cooperative research project; tagging was conducted onboard commercial vessels during the winter fishing season while Pacific cod were aggregated to spawn in the central Aleutian Islands.\nResults:  Of the 36 PSATs deployed, we were able to obtain movement data from 13 Pacific cod that were at liberty between 60 and 360 days. We determined that three tagged Pacific cod were predated on by marine mammals and three were recaptured by the commercial fishery. Geolocation models were produced for four migrating individuals. Eight Pacific cod moved to a productive foraging ground near Seguam Island located 64 to 344 km from their release site and presumed spawning ground within a few weeks of their release. These movements indicate that some Pacific cod in the Aleutian Islands undergo seasonal migration. Three Pacific cod remained near their release locations (within 50 km) for more than 75 days suggesting the existence of partial migration in the population. Two Pacific cod undertook larger movements (378 and 394 km) during which they swam over deep passes and crossed several management boundaries highlighting the potential connectedness of Pacific cod throughout the Aleutian Islands.\nConclusions:  This study provided important initial insights into the seasonal movement patterns of Pacific cod in the Aleutian Islands. Most tracked Pacific cod (77%) undertook migrations in the middle of March (64–394 km) from their winter spawning areas to summer foraging areas, but a few individuals remained in their capture location suggesting a partial migration strategy. Their ability to cross deep passes that were previously seen as potential barriers to movement has expanded our understanding of population connectivity.","container-title":"Animal Biotelemetry","DOI":"10.1186/s40317-021-00250-2","ISSN":"2050-3385","issue":"1","journalAbbreviation":"Anim Biotelemetry","language":"en","page":"24","source":"DOI.org (Crossref)","title":"Seasonal migratory patterns of Pacific cod (Gadus macrocephalus) in the Aleutian Islands","volume":"9","author":[{"family":"Bryan","given":"David R."},{"family":"McDermott","given":"Susanne F."},{"family":"Nielsen","given":"Julie K."},{"family":"Fraser","given":"Dave"},{"family":"Rand","given":"Kimberly M."}],"issued":{"date-parts":[["2021",7,7]]}}}],"schema":"https://github.com/citation-style-language/schema/raw/master/csl-citation.json"} </w:instrText>
      </w:r>
      <w:r w:rsidR="00EF36F8">
        <w:rPr>
          <w:rFonts w:ascii="Aptos" w:hAnsi="Aptos" w:cs="Times New Roman"/>
        </w:rPr>
        <w:fldChar w:fldCharType="separate"/>
      </w:r>
      <w:r w:rsidR="00EF36F8">
        <w:rPr>
          <w:rFonts w:ascii="Aptos" w:hAnsi="Aptos" w:cs="Times New Roman"/>
          <w:noProof/>
        </w:rPr>
        <w:t>(Shimada and Kimura 1994; Bryan et al. 2021)</w:t>
      </w:r>
      <w:r w:rsidR="00EF36F8">
        <w:rPr>
          <w:rFonts w:ascii="Aptos" w:hAnsi="Aptos" w:cs="Times New Roman"/>
        </w:rPr>
        <w:fldChar w:fldCharType="end"/>
      </w:r>
      <w:r w:rsidR="00B73CCC">
        <w:rPr>
          <w:rFonts w:ascii="Aptos" w:hAnsi="Aptos" w:cs="Times New Roman"/>
        </w:rPr>
        <w:t xml:space="preserve">. </w:t>
      </w:r>
      <w:r w:rsidR="009D3D83" w:rsidRPr="008D264E">
        <w:rPr>
          <w:rFonts w:ascii="Aptos" w:hAnsi="Aptos" w:cs="Times New Roman"/>
        </w:rPr>
        <w:t xml:space="preserve">Shimada and Kimura 1994 </w:t>
      </w:r>
      <w:r w:rsidR="009D3D83">
        <w:rPr>
          <w:rFonts w:ascii="Aptos" w:hAnsi="Aptos" w:cs="Times New Roman"/>
        </w:rPr>
        <w:t xml:space="preserve">found that </w:t>
      </w:r>
      <w:r w:rsidR="009D3D83" w:rsidRPr="008D264E">
        <w:rPr>
          <w:rFonts w:ascii="Aptos" w:hAnsi="Aptos" w:cs="Times New Roman"/>
        </w:rPr>
        <w:t xml:space="preserve">Pacific cod tagged in the </w:t>
      </w:r>
      <w:r w:rsidR="00F81977">
        <w:rPr>
          <w:rFonts w:ascii="Aptos" w:hAnsi="Aptos" w:cs="Times New Roman"/>
        </w:rPr>
        <w:t>EBS</w:t>
      </w:r>
      <w:r w:rsidR="009D3D83" w:rsidRPr="008D264E">
        <w:rPr>
          <w:rFonts w:ascii="Aptos" w:hAnsi="Aptos" w:cs="Times New Roman"/>
        </w:rPr>
        <w:t xml:space="preserve"> appear to be able </w:t>
      </w:r>
      <w:r w:rsidR="004143F7">
        <w:rPr>
          <w:rFonts w:ascii="Aptos" w:hAnsi="Aptos" w:cs="Times New Roman"/>
        </w:rPr>
        <w:t>to move into the</w:t>
      </w:r>
      <w:r w:rsidR="009D3D83" w:rsidRPr="008D264E">
        <w:rPr>
          <w:rFonts w:ascii="Aptos" w:hAnsi="Aptos" w:cs="Times New Roman"/>
        </w:rPr>
        <w:t xml:space="preserve"> </w:t>
      </w:r>
      <w:r w:rsidR="0056164F">
        <w:rPr>
          <w:rFonts w:ascii="Aptos" w:hAnsi="Aptos" w:cs="Times New Roman"/>
        </w:rPr>
        <w:t xml:space="preserve">WGOA (near </w:t>
      </w:r>
      <w:proofErr w:type="spellStart"/>
      <w:r w:rsidR="0056164F">
        <w:rPr>
          <w:rFonts w:ascii="Aptos" w:hAnsi="Aptos" w:cs="Times New Roman"/>
        </w:rPr>
        <w:t>Shumigan</w:t>
      </w:r>
      <w:proofErr w:type="spellEnd"/>
      <w:r w:rsidR="0056164F">
        <w:rPr>
          <w:rFonts w:ascii="Aptos" w:hAnsi="Aptos" w:cs="Times New Roman"/>
        </w:rPr>
        <w:t xml:space="preserve"> Islands)</w:t>
      </w:r>
      <w:r w:rsidR="000347A4">
        <w:rPr>
          <w:rFonts w:ascii="Aptos" w:hAnsi="Aptos" w:cs="Times New Roman"/>
        </w:rPr>
        <w:t xml:space="preserve"> </w:t>
      </w:r>
      <w:r w:rsidR="000347A4">
        <w:rPr>
          <w:rFonts w:ascii="Aptos" w:hAnsi="Aptos" w:cs="Times New Roman"/>
        </w:rPr>
        <w:lastRenderedPageBreak/>
        <w:t xml:space="preserve">and some preliminary tagging studies have confirmed this as well </w:t>
      </w:r>
      <w:r w:rsidR="00E256DA">
        <w:rPr>
          <w:rFonts w:ascii="Aptos" w:hAnsi="Aptos" w:cs="Times New Roman"/>
        </w:rPr>
        <w:fldChar w:fldCharType="begin"/>
      </w:r>
      <w:r w:rsidR="00E256DA">
        <w:rPr>
          <w:rFonts w:ascii="Aptos" w:hAnsi="Aptos" w:cs="Times New Roman"/>
        </w:rPr>
        <w:instrText xml:space="preserve"> ADDIN ZOTERO_ITEM CSL_CITATION {"citationID":"rd4Ti7Z4","properties":{"formattedCitation":"(Hulson 2023)","plainCitation":"(Hulson 2023)","noteIndex":0},"citationItems":[{"id":22365,"uris":["http://zotero.org/users/6698527/items/8BILEF5S"],"itemData":{"id":22365,"type":"article-journal","language":"en","source":"Zotero","title":"2: Assessment of the Pacific cod stock in the Gulf of Alaska","author":[{"family":"Hulson","given":"Pete"}],"issued":{"date-parts":[["2023"]]}}}],"schema":"https://github.com/citation-style-language/schema/raw/master/csl-citation.json"} </w:instrText>
      </w:r>
      <w:r w:rsidR="00E256DA">
        <w:rPr>
          <w:rFonts w:ascii="Aptos" w:hAnsi="Aptos" w:cs="Times New Roman"/>
        </w:rPr>
        <w:fldChar w:fldCharType="separate"/>
      </w:r>
      <w:r w:rsidR="00E256DA">
        <w:rPr>
          <w:rFonts w:ascii="Aptos" w:hAnsi="Aptos" w:cs="Times New Roman"/>
          <w:noProof/>
        </w:rPr>
        <w:t>(</w:t>
      </w:r>
      <w:r w:rsidR="00DD3F1E">
        <w:rPr>
          <w:rFonts w:ascii="Aptos" w:hAnsi="Aptos" w:cs="Times New Roman"/>
          <w:noProof/>
        </w:rPr>
        <w:t>introduction</w:t>
      </w:r>
      <w:r w:rsidR="00E256DA">
        <w:rPr>
          <w:rFonts w:ascii="Aptos" w:hAnsi="Aptos" w:cs="Times New Roman"/>
          <w:noProof/>
        </w:rPr>
        <w:t xml:space="preserve"> </w:t>
      </w:r>
      <w:r w:rsidR="00581228">
        <w:rPr>
          <w:rFonts w:ascii="Aptos" w:hAnsi="Aptos" w:cs="Times New Roman"/>
          <w:noProof/>
        </w:rPr>
        <w:t xml:space="preserve">and Figure 2.2 </w:t>
      </w:r>
      <w:r w:rsidR="00E256DA">
        <w:rPr>
          <w:rFonts w:ascii="Aptos" w:hAnsi="Aptos" w:cs="Times New Roman"/>
          <w:noProof/>
        </w:rPr>
        <w:t>in Hulson 2023)</w:t>
      </w:r>
      <w:r w:rsidR="00E256DA">
        <w:rPr>
          <w:rFonts w:ascii="Aptos" w:hAnsi="Aptos" w:cs="Times New Roman"/>
        </w:rPr>
        <w:fldChar w:fldCharType="end"/>
      </w:r>
      <w:r w:rsidR="00C52F67">
        <w:rPr>
          <w:rFonts w:ascii="Aptos" w:hAnsi="Aptos" w:cs="Times New Roman"/>
        </w:rPr>
        <w:t xml:space="preserve"> </w:t>
      </w:r>
      <w:r w:rsidR="009D3D83" w:rsidRPr="008D264E">
        <w:rPr>
          <w:rFonts w:ascii="Aptos" w:hAnsi="Aptos" w:cs="Times New Roman"/>
        </w:rPr>
        <w:t xml:space="preserve">Similarly, fish tagged in </w:t>
      </w:r>
      <w:r w:rsidR="00FD5F48">
        <w:rPr>
          <w:rFonts w:ascii="Aptos" w:hAnsi="Aptos" w:cs="Times New Roman"/>
        </w:rPr>
        <w:t>the AI have been recaptured in the BS</w:t>
      </w:r>
      <w:r w:rsidR="009D3D83" w:rsidRPr="008D264E">
        <w:rPr>
          <w:rFonts w:ascii="Aptos" w:hAnsi="Aptos" w:cs="Times New Roman"/>
        </w:rPr>
        <w:t xml:space="preserve">, suggesting some degree of connectivity between the EBS, WGOA, and AI regions </w:t>
      </w:r>
      <w:r w:rsidR="009D3D83" w:rsidRPr="008D264E">
        <w:rPr>
          <w:rFonts w:ascii="Aptos" w:hAnsi="Aptos" w:cs="Times New Roman"/>
        </w:rPr>
        <w:fldChar w:fldCharType="begin"/>
      </w:r>
      <w:r w:rsidR="009D3D83">
        <w:rPr>
          <w:rFonts w:ascii="Aptos" w:hAnsi="Aptos" w:cs="Times New Roman"/>
        </w:rPr>
        <w:instrText xml:space="preserve"> ADDIN ZOTERO_ITEM CSL_CITATION {"citationID":"Xh17WGCk","properties":{"formattedCitation":"(Shimada and Kimura 1994; Bryan et al. 2021)","plainCitation":"(Shimada and Kimura 1994; Bryan et al. 2021)","noteIndex":0},"citationItems":[{"id":14458,"uris":["http://zotero.org/users/6698527/items/X7MS34EF"],"itemData":{"id":14458,"type":"article-journal","language":"en","source":"Zotero","title":"Seasonal movements of Pacific cod, Gadus macrocephalUS, in the eastern Bering Sea and adjacent waters based on tag-recapture data","author":[{"family":"Shimada","given":"Allen M"},{"family":"Kimura","given":"Daniel K"}],"issued":{"date-parts":[["1994"]]}}},{"id":22101,"uris":["http://zotero.org/users/6698527/items/SYGDC7XX"],"itemData":{"id":22101,"type":"article-journal","abstract":"Background:  Pacific cod (Gadus macrocephalus) is an ecologically important species that supports a valuable commercial fishery throughout Alaska waters. Although its life history includes seasonal movement for spawning and feeding, little is known about its movement ecology. Here, we present results from the first study to use pop-up satellite archival tags (PSATs) to track the within-year movements of Pacific cod to understand their potential seasonal movement patterns within the Aleutian Islands. This study was part of a cooperative research project; tagging was conducted onboard commercial vessels during the winter fishing season while Pacific cod were aggregated to spawn in the central Aleutian Islands.\nResults:  Of the 36 PSATs deployed, we were able to obtain movement data from 13 Pacific cod that were at liberty between 60 and 360 days. We determined that three tagged Pacific cod were predated on by marine mammals and three were recaptured by the commercial fishery. Geolocation models were produced for four migrating individuals. Eight Pacific cod moved to a productive foraging ground near Seguam Island located 64 to 344 km from their release site and presumed spawning ground within a few weeks of their release. These movements indicate that some Pacific cod in the Aleutian Islands undergo seasonal migration. Three Pacific cod remained near their release locations (within 50 km) for more than 75 days suggesting the existence of partial migration in the population. Two Pacific cod undertook larger movements (378 and 394 km) during which they swam over deep passes and crossed several management boundaries highlighting the potential connectedness of Pacific cod throughout the Aleutian Islands.\nConclusions:  This study provided important initial insights into the seasonal movement patterns of Pacific cod in the Aleutian Islands. Most tracked Pacific cod (77%) undertook migrations in the middle of March (64–394 km) from their winter spawning areas to summer foraging areas, but a few individuals remained in their capture location suggesting a partial migration strategy. Their ability to cross deep passes that were previously seen as potential barriers to movement has expanded our understanding of population connectivity.","container-title":"Animal Biotelemetry","DOI":"10.1186/s40317-021-00250-2","ISSN":"2050-3385","issue":"1","journalAbbreviation":"Anim Biotelemetry","language":"en","page":"24","source":"DOI.org (Crossref)","title":"Seasonal migratory patterns of Pacific cod (Gadus macrocephalus) in the Aleutian Islands","volume":"9","author":[{"family":"Bryan","given":"David R."},{"family":"McDermott","given":"Susanne F."},{"family":"Nielsen","given":"Julie K."},{"family":"Fraser","given":"Dave"},{"family":"Rand","given":"Kimberly M."}],"issued":{"date-parts":[["2021",7,7]]}}}],"schema":"https://github.com/citation-style-language/schema/raw/master/csl-citation.json"} </w:instrText>
      </w:r>
      <w:r w:rsidR="009D3D83" w:rsidRPr="008D264E">
        <w:rPr>
          <w:rFonts w:ascii="Aptos" w:hAnsi="Aptos" w:cs="Times New Roman"/>
        </w:rPr>
        <w:fldChar w:fldCharType="separate"/>
      </w:r>
      <w:r w:rsidR="009D3D83">
        <w:rPr>
          <w:rFonts w:ascii="Aptos" w:hAnsi="Aptos" w:cs="Times New Roman"/>
        </w:rPr>
        <w:t>(Shimada and Kimura 1994; Bryan et al. 2021)</w:t>
      </w:r>
      <w:r w:rsidR="009D3D83" w:rsidRPr="008D264E">
        <w:rPr>
          <w:rFonts w:ascii="Aptos" w:hAnsi="Aptos" w:cs="Times New Roman"/>
        </w:rPr>
        <w:fldChar w:fldCharType="end"/>
      </w:r>
      <w:r w:rsidR="009D3D83" w:rsidRPr="008D264E">
        <w:rPr>
          <w:rFonts w:ascii="Aptos" w:hAnsi="Aptos" w:cs="Times New Roman"/>
        </w:rPr>
        <w:t xml:space="preserve">. </w:t>
      </w:r>
      <w:r w:rsidR="00285607">
        <w:rPr>
          <w:rFonts w:ascii="Aptos" w:hAnsi="Aptos" w:cs="Times New Roman"/>
        </w:rPr>
        <w:t>D</w:t>
      </w:r>
      <w:r w:rsidR="00B33092">
        <w:rPr>
          <w:rFonts w:ascii="Aptos" w:hAnsi="Aptos" w:cs="Times New Roman"/>
        </w:rPr>
        <w:t xml:space="preserve">espite some studies suggesting that deep trenches and passes within the AI may inhibit </w:t>
      </w:r>
      <w:r w:rsidR="004A3FB4">
        <w:rPr>
          <w:rFonts w:ascii="Aptos" w:hAnsi="Aptos" w:cs="Times New Roman"/>
        </w:rPr>
        <w:t>Pacific movements into the EBS</w:t>
      </w:r>
      <w:r w:rsidR="004D1C40">
        <w:rPr>
          <w:rFonts w:ascii="Aptos" w:hAnsi="Aptos" w:cs="Times New Roman"/>
        </w:rPr>
        <w:t xml:space="preserve"> </w:t>
      </w:r>
      <w:r w:rsidR="00EB7D35">
        <w:rPr>
          <w:rFonts w:ascii="Aptos" w:hAnsi="Aptos" w:cs="Times New Roman"/>
        </w:rPr>
        <w:fldChar w:fldCharType="begin"/>
      </w:r>
      <w:r w:rsidR="00EB7D35">
        <w:rPr>
          <w:rFonts w:ascii="Aptos" w:hAnsi="Aptos" w:cs="Times New Roman"/>
        </w:rPr>
        <w:instrText xml:space="preserve"> ADDIN ZOTERO_ITEM CSL_CITATION {"citationID":"uIrpaME7","properties":{"formattedCitation":"(Spies 2012)","plainCitation":"(Spies 2012)","noteIndex":0},"citationItems":[{"id":14459,"uris":["http://zotero.org/users/6698527/items/ZV8AP9PK"],"itemData":{"id":14459,"type":"article-journal","abstract":"Landscape genetics of Paciﬁc cod Gadus macrocephalus within the Bering Sea and Aleutian Islands (BSAI) management area of Alaska was examined in samples from nine spawning locations, including one temporal replicate sample, using 17 microsatellite DNA markers. This study examined ﬁne-scale population structure of Paciﬁc cod in the BSAI with the goal of identifying breaks in genetic continuity associated with physical barriers to migration and larval transport. Samples were taken from spawning ﬁsh collected from the western Aleutian Islands east to Unimak Pass and as far north as the Pribilof Islands. Overall, this work conﬁrms previous studies, which found that genetic differentiation between samples is proportional to the distance between them, and also resolves population structure on a scale not previously possible. Results indicate that dispersal is not continuous at a ﬁne scale and several distinct genetic groups were identiﬁed that correspond to differences in the physical environment of the BSAI. The data provide evidence for limited connectivity among spawning groups; in particular, there is evidence that a barrier exists between the Aleutian Islands and the eastern Bering Sea. In addition, analysis of molecular variance and Monmonier algorithm results suggest that, within the Bering Sea, the Unimak Pass and Pribilof Islands spawning groups may be distinct from each other, and the Wombling analysis indicates that samples west of Amchitka Pass in the western Aleutians may be distinct from those in the eastern Aleutians.","container-title":"Transactions of the American Fisheries Society","DOI":"10.1080/00028487.2012.711265","ISSN":"0002-8487, 1548-8659","issue":"6","journalAbbreviation":"Trans Am Fish Soc","language":"en","page":"1557-1573","source":"DOI.org (Crossref)","title":"Landscape Genetics Reveals Population Subdivision in Bering Sea and Aleutian Islands Pacific Cod","volume":"141","author":[{"family":"Spies","given":"Ingrid"}],"issued":{"date-parts":[["2012",11]]}}}],"schema":"https://github.com/citation-style-language/schema/raw/master/csl-citation.json"} </w:instrText>
      </w:r>
      <w:r w:rsidR="00EB7D35">
        <w:rPr>
          <w:rFonts w:ascii="Aptos" w:hAnsi="Aptos" w:cs="Times New Roman"/>
        </w:rPr>
        <w:fldChar w:fldCharType="separate"/>
      </w:r>
      <w:r w:rsidR="00EB7D35">
        <w:rPr>
          <w:rFonts w:ascii="Aptos" w:hAnsi="Aptos" w:cs="Times New Roman"/>
          <w:noProof/>
        </w:rPr>
        <w:t>(Spies 2012)</w:t>
      </w:r>
      <w:r w:rsidR="00EB7D35">
        <w:rPr>
          <w:rFonts w:ascii="Aptos" w:hAnsi="Aptos" w:cs="Times New Roman"/>
        </w:rPr>
        <w:fldChar w:fldCharType="end"/>
      </w:r>
      <w:r w:rsidR="00587947">
        <w:rPr>
          <w:rFonts w:ascii="Aptos" w:hAnsi="Aptos" w:cs="Times New Roman"/>
        </w:rPr>
        <w:t xml:space="preserve">, </w:t>
      </w:r>
      <w:r w:rsidR="009B2F87" w:rsidRPr="008D264E">
        <w:rPr>
          <w:rFonts w:ascii="Aptos" w:hAnsi="Aptos" w:cs="Times New Roman"/>
        </w:rPr>
        <w:t xml:space="preserve">limited pop-up satellite tagging studies have found that </w:t>
      </w:r>
      <w:r w:rsidR="00DF13A7">
        <w:rPr>
          <w:rFonts w:ascii="Aptos" w:hAnsi="Aptos" w:cs="Times New Roman"/>
        </w:rPr>
        <w:t xml:space="preserve">some </w:t>
      </w:r>
      <w:r w:rsidR="009B2F87" w:rsidRPr="008D264E">
        <w:rPr>
          <w:rFonts w:ascii="Aptos" w:hAnsi="Aptos" w:cs="Times New Roman"/>
        </w:rPr>
        <w:t xml:space="preserve">Pacific cod individuals can swim across </w:t>
      </w:r>
      <w:r w:rsidR="000574C6">
        <w:rPr>
          <w:rFonts w:ascii="Aptos" w:hAnsi="Aptos" w:cs="Times New Roman"/>
        </w:rPr>
        <w:t>these deep passes in the A</w:t>
      </w:r>
      <w:r w:rsidR="00033E31">
        <w:rPr>
          <w:rFonts w:ascii="Aptos" w:hAnsi="Aptos" w:cs="Times New Roman"/>
        </w:rPr>
        <w:t>I. However,</w:t>
      </w:r>
      <w:r w:rsidR="009B2F87" w:rsidRPr="008D264E">
        <w:rPr>
          <w:rFonts w:ascii="Aptos" w:hAnsi="Aptos" w:cs="Times New Roman"/>
        </w:rPr>
        <w:t xml:space="preserve"> this may be the exception rather than the rule, given the limited number of tags these conclusions were inferred from </w:t>
      </w:r>
      <w:r w:rsidR="009B2F87" w:rsidRPr="008D264E">
        <w:rPr>
          <w:rFonts w:ascii="Aptos" w:hAnsi="Aptos" w:cs="Times New Roman"/>
        </w:rPr>
        <w:fldChar w:fldCharType="begin"/>
      </w:r>
      <w:r w:rsidR="00EF36F8">
        <w:rPr>
          <w:rFonts w:ascii="Aptos" w:hAnsi="Aptos" w:cs="Times New Roman"/>
        </w:rPr>
        <w:instrText xml:space="preserve"> ADDIN ZOTERO_ITEM CSL_CITATION {"citationID":"7fwfuXWj","properties":{"formattedCitation":"(Bryan et al. 2021)","plainCitation":"(Bryan et al. 2021)","noteIndex":0},"citationItems":[{"id":22101,"uris":["http://zotero.org/users/6698527/items/SYGDC7XX"],"itemData":{"id":22101,"type":"article-journal","abstract":"Background:  Pacific cod (Gadus macrocephalus) is an ecologically important species that supports a valuable commercial fishery throughout Alaska waters. Although its life history includes seasonal movement for spawning and feeding, little is known about its movement ecology. Here, we present results from the first study to use pop-up satellite archival tags (PSATs) to track the within-year movements of Pacific cod to understand their potential seasonal movement patterns within the Aleutian Islands. This study was part of a cooperative research project; tagging was conducted onboard commercial vessels during the winter fishing season while Pacific cod were aggregated to spawn in the central Aleutian Islands.\nResults:  Of the 36 PSATs deployed, we were able to obtain movement data from 13 Pacific cod that were at liberty between 60 and 360 days. We determined that three tagged Pacific cod were predated on by marine mammals and three were recaptured by the commercial fishery. Geolocation models were produced for four migrating individuals. Eight Pacific cod moved to a productive foraging ground near Seguam Island located 64 to 344 km from their release site and presumed spawning ground within a few weeks of their release. These movements indicate that some Pacific cod in the Aleutian Islands undergo seasonal migration. Three Pacific cod remained near their release locations (within 50 km) for more than 75 days suggesting the existence of partial migration in the population. Two Pacific cod undertook larger movements (378 and 394 km) during which they swam over deep passes and crossed several management boundaries highlighting the potential connectedness of Pacific cod throughout the Aleutian Islands.\nConclusions:  This study provided important initial insights into the seasonal movement patterns of Pacific cod in the Aleutian Islands. Most tracked Pacific cod (77%) undertook migrations in the middle of March (64–394 km) from their winter spawning areas to summer foraging areas, but a few individuals remained in their capture location suggesting a partial migration strategy. Their ability to cross deep passes that were previously seen as potential barriers to movement has expanded our understanding of population connectivity.","container-title":"Animal Biotelemetry","DOI":"10.1186/s40317-021-00250-2","ISSN":"2050-3385","issue":"1","journalAbbreviation":"Anim Biotelemetry","language":"en","page":"24","source":"DOI.org (Crossref)","title":"Seasonal migratory patterns of Pacific cod (Gadus macrocephalus) in the Aleutian Islands","volume":"9","author":[{"family":"Bryan","given":"David R."},{"family":"McDermott","given":"Susanne F."},{"family":"Nielsen","given":"Julie K."},{"family":"Fraser","given":"Dave"},{"family":"Rand","given":"Kimberly M."}],"issued":{"date-parts":[["2021",7,7]]}}}],"schema":"https://github.com/citation-style-language/schema/raw/master/csl-citation.json"} </w:instrText>
      </w:r>
      <w:r w:rsidR="009B2F87" w:rsidRPr="008D264E">
        <w:rPr>
          <w:rFonts w:ascii="Aptos" w:hAnsi="Aptos" w:cs="Times New Roman"/>
        </w:rPr>
        <w:fldChar w:fldCharType="separate"/>
      </w:r>
      <w:r w:rsidR="00EF36F8">
        <w:rPr>
          <w:rFonts w:ascii="Aptos" w:hAnsi="Aptos" w:cs="Times New Roman"/>
        </w:rPr>
        <w:t>(Bryan et al. 2021)</w:t>
      </w:r>
      <w:r w:rsidR="009B2F87" w:rsidRPr="008D264E">
        <w:rPr>
          <w:rFonts w:ascii="Aptos" w:hAnsi="Aptos" w:cs="Times New Roman"/>
        </w:rPr>
        <w:fldChar w:fldCharType="end"/>
      </w:r>
      <w:r w:rsidR="009B2F87" w:rsidRPr="008D264E">
        <w:rPr>
          <w:rFonts w:ascii="Aptos" w:hAnsi="Aptos" w:cs="Times New Roman"/>
        </w:rPr>
        <w:t>. Nonetheless, it does suggest that Pacific cod are capable of moving through deep passes</w:t>
      </w:r>
      <w:r w:rsidR="00EB7D35">
        <w:rPr>
          <w:rFonts w:ascii="Aptos" w:hAnsi="Aptos" w:cs="Times New Roman"/>
        </w:rPr>
        <w:t xml:space="preserve">. </w:t>
      </w:r>
      <w:r w:rsidR="00B56969">
        <w:rPr>
          <w:rFonts w:ascii="Aptos" w:hAnsi="Aptos" w:cs="Times New Roman"/>
        </w:rPr>
        <w:t xml:space="preserve">Lastly, </w:t>
      </w:r>
      <w:r w:rsidR="008A6995">
        <w:rPr>
          <w:rFonts w:ascii="Aptos" w:hAnsi="Aptos" w:cs="Times New Roman"/>
        </w:rPr>
        <w:t xml:space="preserve">there are few studies evaluating movement dynamics within the GOA. However, </w:t>
      </w:r>
      <w:r w:rsidR="00175132">
        <w:rPr>
          <w:rFonts w:ascii="Aptos" w:hAnsi="Aptos" w:cs="Times New Roman"/>
        </w:rPr>
        <w:t xml:space="preserve">some preliminary tagging studies suggest that there is some degree of connectivity between the EGOA, WGOA, and CGOA </w:t>
      </w:r>
      <w:r w:rsidR="002D1489">
        <w:rPr>
          <w:rFonts w:ascii="Aptos" w:hAnsi="Aptos" w:cs="Times New Roman"/>
        </w:rPr>
        <w:fldChar w:fldCharType="begin"/>
      </w:r>
      <w:r w:rsidR="002D1489">
        <w:rPr>
          <w:rFonts w:ascii="Aptos" w:hAnsi="Aptos" w:cs="Times New Roman"/>
        </w:rPr>
        <w:instrText xml:space="preserve"> ADDIN ZOTERO_ITEM CSL_CITATION {"citationID":"gllvZRET","properties":{"formattedCitation":"(Hulson 2023)","plainCitation":"(Hulson 2023)","noteIndex":0},"citationItems":[{"id":22365,"uris":["http://zotero.org/users/6698527/items/8BILEF5S"],"itemData":{"id":22365,"type":"article-journal","language":"en","source":"Zotero","title":"2: Assessment of the Pacific cod stock in the Gulf of Alaska","author":[{"family":"Hulson","given":"Pete"}],"issued":{"date-parts":[["2023"]]}}}],"schema":"https://github.com/citation-style-language/schema/raw/master/csl-citation.json"} </w:instrText>
      </w:r>
      <w:r w:rsidR="002D1489">
        <w:rPr>
          <w:rFonts w:ascii="Aptos" w:hAnsi="Aptos" w:cs="Times New Roman"/>
        </w:rPr>
        <w:fldChar w:fldCharType="separate"/>
      </w:r>
      <w:r w:rsidR="002D1489">
        <w:rPr>
          <w:rFonts w:ascii="Aptos" w:hAnsi="Aptos" w:cs="Times New Roman"/>
          <w:noProof/>
        </w:rPr>
        <w:t xml:space="preserve">(introduction </w:t>
      </w:r>
      <w:r w:rsidR="00155FEF">
        <w:rPr>
          <w:rFonts w:ascii="Aptos" w:hAnsi="Aptos" w:cs="Times New Roman"/>
          <w:noProof/>
        </w:rPr>
        <w:t>and Figure 2.2 in</w:t>
      </w:r>
      <w:r w:rsidR="002D1489">
        <w:rPr>
          <w:rFonts w:ascii="Aptos" w:hAnsi="Aptos" w:cs="Times New Roman"/>
          <w:noProof/>
        </w:rPr>
        <w:t xml:space="preserve"> Hulson 2023)</w:t>
      </w:r>
      <w:r w:rsidR="002D1489">
        <w:rPr>
          <w:rFonts w:ascii="Aptos" w:hAnsi="Aptos" w:cs="Times New Roman"/>
        </w:rPr>
        <w:fldChar w:fldCharType="end"/>
      </w:r>
      <w:r w:rsidR="00CF0DAB">
        <w:rPr>
          <w:rFonts w:ascii="Aptos" w:hAnsi="Aptos" w:cs="Times New Roman"/>
        </w:rPr>
        <w:t xml:space="preserve">. </w:t>
      </w:r>
    </w:p>
    <w:p w14:paraId="502B8628" w14:textId="05C0CD4D" w:rsidR="007F45BE" w:rsidRDefault="00D83815" w:rsidP="001D06F3">
      <w:pPr>
        <w:pStyle w:val="Heading1"/>
      </w:pPr>
      <w:r>
        <w:t>Question 2</w:t>
      </w:r>
    </w:p>
    <w:p w14:paraId="5F091694" w14:textId="6A743789" w:rsidR="00FD6913" w:rsidRDefault="000E320E" w:rsidP="000E320E">
      <w:r>
        <w:tab/>
        <w:t xml:space="preserve">As </w:t>
      </w:r>
      <w:r w:rsidR="00502752">
        <w:t>discussed</w:t>
      </w:r>
      <w:r>
        <w:t xml:space="preserve"> above, the most likely biological structure of Pacific cod involves 4 populations, which includes the BS, AI, WGOA, and EGOA</w:t>
      </w:r>
      <w:r w:rsidR="00D166F9">
        <w:t xml:space="preserve">, where there </w:t>
      </w:r>
      <w:proofErr w:type="gramStart"/>
      <w:r w:rsidR="00D166F9">
        <w:t>is</w:t>
      </w:r>
      <w:proofErr w:type="gramEnd"/>
      <w:r w:rsidR="00D166F9">
        <w:t xml:space="preserve"> likely seasonal movements and mixing into these regions, particularly during the spring and summer months.</w:t>
      </w:r>
      <w:r w:rsidR="00167B91">
        <w:t xml:space="preserve"> </w:t>
      </w:r>
      <w:r w:rsidR="00167B91" w:rsidRPr="003E028D">
        <w:rPr>
          <w:b/>
          <w:bCs/>
          <w:i/>
          <w:iCs/>
        </w:rPr>
        <w:t xml:space="preserve">However, the current management structure assesses </w:t>
      </w:r>
      <w:r w:rsidR="00145199">
        <w:rPr>
          <w:b/>
          <w:bCs/>
          <w:i/>
          <w:iCs/>
        </w:rPr>
        <w:t>all of these components as separate stocks (aside from the GOA)</w:t>
      </w:r>
      <w:r w:rsidR="00433206">
        <w:rPr>
          <w:b/>
          <w:bCs/>
          <w:i/>
          <w:iCs/>
        </w:rPr>
        <w:t>, as opposed to having metapopulation structure</w:t>
      </w:r>
      <w:r w:rsidR="00FD30C1">
        <w:rPr>
          <w:b/>
          <w:bCs/>
          <w:i/>
          <w:iCs/>
        </w:rPr>
        <w:t xml:space="preserve">, and assumes that no immigration or emigration occurs within these regions. </w:t>
      </w:r>
      <w:r w:rsidR="00300993">
        <w:rPr>
          <w:b/>
          <w:bCs/>
          <w:i/>
          <w:iCs/>
        </w:rPr>
        <w:t xml:space="preserve">Furthermore, </w:t>
      </w:r>
      <w:r w:rsidR="00491DF5">
        <w:rPr>
          <w:b/>
          <w:bCs/>
          <w:i/>
          <w:iCs/>
        </w:rPr>
        <w:t xml:space="preserve">the WGOA and EGOA stocks are </w:t>
      </w:r>
      <w:r w:rsidR="00EA10E4">
        <w:rPr>
          <w:b/>
          <w:bCs/>
          <w:i/>
          <w:iCs/>
        </w:rPr>
        <w:t>assess</w:t>
      </w:r>
      <w:r w:rsidR="0021654C">
        <w:rPr>
          <w:b/>
          <w:bCs/>
          <w:i/>
          <w:iCs/>
        </w:rPr>
        <w:t>ed</w:t>
      </w:r>
      <w:r w:rsidR="00EA10E4">
        <w:rPr>
          <w:b/>
          <w:bCs/>
          <w:i/>
          <w:iCs/>
        </w:rPr>
        <w:t xml:space="preserve"> and managed</w:t>
      </w:r>
      <w:r w:rsidR="00491DF5">
        <w:rPr>
          <w:b/>
          <w:bCs/>
          <w:i/>
          <w:iCs/>
        </w:rPr>
        <w:t xml:space="preserve"> </w:t>
      </w:r>
      <w:r w:rsidR="00BB70F3">
        <w:rPr>
          <w:b/>
          <w:bCs/>
          <w:i/>
          <w:iCs/>
        </w:rPr>
        <w:t>as</w:t>
      </w:r>
      <w:r w:rsidR="00491DF5">
        <w:rPr>
          <w:b/>
          <w:bCs/>
          <w:i/>
          <w:iCs/>
        </w:rPr>
        <w:t xml:space="preserve"> a single stock</w:t>
      </w:r>
      <w:r w:rsidR="001036DA">
        <w:rPr>
          <w:b/>
          <w:bCs/>
          <w:i/>
          <w:iCs/>
        </w:rPr>
        <w:t xml:space="preserve">, despite there being evidence of stock structure between these areas. </w:t>
      </w:r>
      <w:r w:rsidR="005D5768">
        <w:t xml:space="preserve">The misalignment between management and biological structure </w:t>
      </w:r>
      <w:r w:rsidR="00C879FE">
        <w:t xml:space="preserve">is likely a </w:t>
      </w:r>
      <w:r w:rsidR="00B0010B">
        <w:t xml:space="preserve">combination of a variety of factors, which can include: 1) </w:t>
      </w:r>
      <w:r w:rsidR="00FD7341">
        <w:t>management structure being influenced by politics</w:t>
      </w:r>
      <w:r w:rsidR="00212E34">
        <w:t xml:space="preserve">, </w:t>
      </w:r>
      <w:r w:rsidR="00B0010B">
        <w:t xml:space="preserve">which were matched up with the biological </w:t>
      </w:r>
      <w:r w:rsidR="007337E9">
        <w:t>structure for ease of management, 2)</w:t>
      </w:r>
      <w:r w:rsidR="00C16D38">
        <w:t xml:space="preserve"> practices for how data </w:t>
      </w:r>
      <w:r w:rsidR="00B62AFA">
        <w:t>should be sampled</w:t>
      </w:r>
      <w:r w:rsidR="00EE5147">
        <w:t xml:space="preserve"> (i.e., how observer sampling is conducted, although I’m not expert on this…)</w:t>
      </w:r>
      <w:r w:rsidR="00B62AFA">
        <w:t xml:space="preserve">, which </w:t>
      </w:r>
      <w:r w:rsidR="00612C5B">
        <w:t>likely</w:t>
      </w:r>
      <w:r w:rsidR="00B62AFA">
        <w:t xml:space="preserve"> </w:t>
      </w:r>
      <w:r w:rsidR="004B67D0">
        <w:t xml:space="preserve">coincide with </w:t>
      </w:r>
      <w:r w:rsidR="00760D87">
        <w:t xml:space="preserve">defined </w:t>
      </w:r>
      <w:r w:rsidR="00AC4E6D">
        <w:t>management</w:t>
      </w:r>
      <w:r w:rsidR="00760D87">
        <w:t xml:space="preserve"> structure, </w:t>
      </w:r>
      <w:r w:rsidR="0084001D">
        <w:t xml:space="preserve">3) </w:t>
      </w:r>
      <w:r w:rsidR="00E85D35">
        <w:t xml:space="preserve">based on </w:t>
      </w:r>
      <w:r w:rsidR="000A56AE">
        <w:t xml:space="preserve">historical </w:t>
      </w:r>
      <w:r w:rsidR="00E85D35">
        <w:t>ecological theory</w:t>
      </w:r>
      <w:r w:rsidR="003D1557">
        <w:t xml:space="preserve"> </w:t>
      </w:r>
      <w:r w:rsidR="00FD6913">
        <w:t xml:space="preserve">that led to management </w:t>
      </w:r>
      <w:r w:rsidR="004D49DC">
        <w:t>structures</w:t>
      </w:r>
      <w:r w:rsidR="00FD6913">
        <w:t xml:space="preserve"> remaining static, because of a lack of evidence/not enough studies to suggest that they should be realigned</w:t>
      </w:r>
      <w:r w:rsidR="00F3333C">
        <w:t xml:space="preserve"> (also because only recently has genomics </w:t>
      </w:r>
      <w:r w:rsidR="00E9354C">
        <w:t xml:space="preserve">and tagging methods </w:t>
      </w:r>
      <w:r w:rsidR="001405EF">
        <w:t xml:space="preserve">substantially </w:t>
      </w:r>
      <w:r w:rsidR="00724899">
        <w:t>improved)</w:t>
      </w:r>
      <w:r w:rsidR="00FD6913">
        <w:t xml:space="preserve">, </w:t>
      </w:r>
      <w:r w:rsidR="004D49DC">
        <w:t xml:space="preserve">and 4) </w:t>
      </w:r>
      <w:r w:rsidR="00DA28B0">
        <w:t xml:space="preserve">insufficient data </w:t>
      </w:r>
      <w:r w:rsidR="00D050A4">
        <w:t xml:space="preserve">and resources </w:t>
      </w:r>
      <w:r w:rsidR="00DA28B0">
        <w:t xml:space="preserve">to support </w:t>
      </w:r>
      <w:r w:rsidR="00AE4752">
        <w:t xml:space="preserve">the </w:t>
      </w:r>
      <w:r w:rsidR="006F5B2D">
        <w:t>management</w:t>
      </w:r>
      <w:r w:rsidR="00AE4752">
        <w:t xml:space="preserve"> of a </w:t>
      </w:r>
      <w:r w:rsidR="006F5B2D">
        <w:t>metapopulation</w:t>
      </w:r>
      <w:r w:rsidR="000312D3">
        <w:t>/</w:t>
      </w:r>
      <w:r w:rsidR="005B0613">
        <w:t xml:space="preserve">a stock exhibiting </w:t>
      </w:r>
      <w:r w:rsidR="00167F60">
        <w:t xml:space="preserve">fine-scale population structure. </w:t>
      </w:r>
    </w:p>
    <w:p w14:paraId="67EBB59B" w14:textId="77777777" w:rsidR="00FD6913" w:rsidRDefault="00FD6913" w:rsidP="000E320E"/>
    <w:p w14:paraId="4B51312B" w14:textId="3F0086FB" w:rsidR="00525BCF" w:rsidRDefault="009D35DF" w:rsidP="001D178F">
      <w:pPr>
        <w:ind w:firstLine="360"/>
        <w:jc w:val="both"/>
        <w:rPr>
          <w:rFonts w:cs="Times New Roman"/>
        </w:rPr>
      </w:pPr>
      <w:r w:rsidRPr="00E674B9">
        <w:t xml:space="preserve">Several consequences of misaligning </w:t>
      </w:r>
      <w:r w:rsidR="00067CA0" w:rsidRPr="00E674B9">
        <w:t>management and biological</w:t>
      </w:r>
      <w:r w:rsidRPr="00E674B9">
        <w:t xml:space="preserve"> structure can be envisioned. </w:t>
      </w:r>
      <w:r w:rsidR="00B11F73" w:rsidRPr="00E674B9">
        <w:t xml:space="preserve">Firstly, within the context of an assessment, “demographic leakage” could </w:t>
      </w:r>
      <w:r w:rsidR="00A9064C" w:rsidRPr="00E674B9">
        <w:t>occur</w:t>
      </w:r>
      <w:r w:rsidR="00B11F73" w:rsidRPr="00E674B9">
        <w:t xml:space="preserve">, where the incorrect processes are averaged </w:t>
      </w:r>
      <w:r w:rsidR="000E1FC5" w:rsidRPr="00E674B9">
        <w:t>across each other</w:t>
      </w:r>
      <w:r w:rsidR="00516E70" w:rsidRPr="00E674B9">
        <w:t xml:space="preserve"> (e.g., growth, mortality</w:t>
      </w:r>
      <w:r w:rsidR="00D146A8" w:rsidRPr="00E674B9">
        <w:t>, productivity</w:t>
      </w:r>
      <w:r w:rsidR="002C0411" w:rsidRPr="00E674B9">
        <w:t>)</w:t>
      </w:r>
      <w:r w:rsidR="000E1FC5" w:rsidRPr="00E674B9">
        <w:t xml:space="preserve">, </w:t>
      </w:r>
      <w:r w:rsidR="00D72ABE" w:rsidRPr="00E674B9">
        <w:t xml:space="preserve">which has the potential to result in incorrect </w:t>
      </w:r>
      <w:r w:rsidR="003207DD" w:rsidRPr="00E674B9">
        <w:t>estimates</w:t>
      </w:r>
      <w:r w:rsidR="00D72ABE" w:rsidRPr="00E674B9">
        <w:t xml:space="preserve"> of stock status and abundanc</w:t>
      </w:r>
      <w:r w:rsidR="00487608" w:rsidRPr="00E674B9">
        <w:t xml:space="preserve">e </w:t>
      </w:r>
      <w:r w:rsidR="004B1B75" w:rsidRPr="00E674B9">
        <w:fldChar w:fldCharType="begin"/>
      </w:r>
      <w:r w:rsidR="004B1B75" w:rsidRPr="00E674B9">
        <w:instrText xml:space="preserve"> ADDIN ZOTERO_ITEM CSL_CITATION {"citationID":"CmpxeCIU","properties":{"formattedCitation":"(Berger et al. 2021)","plainCitation":"(Berger et al. 2021)","noteIndex":0},"citationItems":[{"id":15098,"uris":["http://zotero.org/users/6698527/items/EY8R4J4Z"],"itemData":{"id":15098,"type":"article-journal","abstract":"Fisheries policy inherently relies on an explicit deﬁnition of management boundaries that delineate the spatial extent over which stocks are assessed and regulations are implemented. However, management boundaries tend to be static and determined by politically negotiated or historically identiﬁed population (or multi-species) units, which create a potential disconnect with underlying, dynamic population structure. The consequences of incoherent management and population or stock boundaries were explored through the application of a two-area spatial simulation–estimation framework. Results highlight the importance of aligning management assessment areas with underlying population structure and processes, especially when ﬁshing mortality is disproportionate to vulnerable biomass among management areas, demographic parameters (growth and maturity) are not homogenous within management areas, and connectivity (via recruitment or movement) unknowingly exists among management areas. Bias and risk were greater for assessments that incorrectly span multiple population segments (PSs) compared to assessments that cover a subset of a PS, and these results were exacerbated when there was connectivity between PSs. Directed studies and due consideration of critical PSs, spatially explicit models, and dynamic management options that help align management and population boundaries would likely reduce estimation biases and management risk, as would closely coordinated management that functions across population boundaries.","container-title":"ICES Journal of Marine Science","DOI":"10.1093/icesjms/fsaa203","ISSN":"1095-9289","issue":"1","language":"en","page":"155-171","source":"DOI.org (Crossref)","title":"Incoherent dimensionality in fisheries management: consequences of misaligned stock assessment and population boundaries","title-short":"Incoherent dimensionality in fisheries management","volume":"78","author":[{"family":"Berger","given":"Aaron M"},{"family":"Deroba","given":"Jonathan J"},{"family":"Bosley","given":"Katelyn M"},{"family":"Goethel","given":"Daniel R"},{"family":"Langseth","given":"Brian J"},{"family":"Schueller","given":"Amy M"},{"family":"Hanselman","given":"Dana H"}],"editor":[{"family":"Bartolino","given":"Valerio"}],"issued":{"date-parts":[["2021",3,24]]}}}],"schema":"https://github.com/citation-style-language/schema/raw/master/csl-citation.json"} </w:instrText>
      </w:r>
      <w:r w:rsidR="004B1B75" w:rsidRPr="00E674B9">
        <w:fldChar w:fldCharType="separate"/>
      </w:r>
      <w:r w:rsidR="004B1B75" w:rsidRPr="00E674B9">
        <w:rPr>
          <w:noProof/>
        </w:rPr>
        <w:t>(Berger et al. 2021)</w:t>
      </w:r>
      <w:r w:rsidR="004B1B75" w:rsidRPr="00E674B9">
        <w:fldChar w:fldCharType="end"/>
      </w:r>
      <w:r w:rsidR="004B1B75" w:rsidRPr="00E674B9">
        <w:t xml:space="preserve">. </w:t>
      </w:r>
      <w:r w:rsidR="004468B8" w:rsidRPr="00E674B9">
        <w:t xml:space="preserve">Furthermore, </w:t>
      </w:r>
      <w:r w:rsidR="001D178F" w:rsidRPr="00E674B9">
        <w:rPr>
          <w:rFonts w:cs="Times New Roman"/>
        </w:rPr>
        <w:t xml:space="preserve">movements outside of </w:t>
      </w:r>
      <w:r w:rsidR="00531B4E" w:rsidRPr="00E674B9">
        <w:rPr>
          <w:rFonts w:cs="Times New Roman"/>
        </w:rPr>
        <w:t>the assessed areas</w:t>
      </w:r>
      <w:r w:rsidR="00D7256A" w:rsidRPr="00E674B9">
        <w:rPr>
          <w:rFonts w:cs="Times New Roman"/>
        </w:rPr>
        <w:t xml:space="preserve"> (i.e., not accounting for biological structure correctly)</w:t>
      </w:r>
      <w:r w:rsidR="001D178F" w:rsidRPr="00E674B9">
        <w:rPr>
          <w:rFonts w:cs="Times New Roman"/>
        </w:rPr>
        <w:t xml:space="preserve"> </w:t>
      </w:r>
      <w:r w:rsidR="00280951" w:rsidRPr="00E674B9">
        <w:rPr>
          <w:rFonts w:cs="Times New Roman"/>
        </w:rPr>
        <w:t xml:space="preserve">can </w:t>
      </w:r>
      <w:r w:rsidR="006A51B0" w:rsidRPr="00E674B9">
        <w:rPr>
          <w:rFonts w:cs="Times New Roman"/>
        </w:rPr>
        <w:t xml:space="preserve">lead to the misperception that one </w:t>
      </w:r>
      <w:r w:rsidR="009A0E2F" w:rsidRPr="00E674B9">
        <w:rPr>
          <w:rFonts w:cs="Times New Roman"/>
        </w:rPr>
        <w:t xml:space="preserve">of the </w:t>
      </w:r>
      <w:r w:rsidR="006A51B0" w:rsidRPr="00E674B9">
        <w:rPr>
          <w:rFonts w:cs="Times New Roman"/>
        </w:rPr>
        <w:t>stock</w:t>
      </w:r>
      <w:r w:rsidR="000F6AF7" w:rsidRPr="00E674B9">
        <w:rPr>
          <w:rFonts w:cs="Times New Roman"/>
        </w:rPr>
        <w:t>s</w:t>
      </w:r>
      <w:r w:rsidR="006A51B0" w:rsidRPr="00E674B9">
        <w:rPr>
          <w:rFonts w:cs="Times New Roman"/>
        </w:rPr>
        <w:t xml:space="preserve"> </w:t>
      </w:r>
      <w:r w:rsidR="000F6AF7" w:rsidRPr="00E674B9">
        <w:rPr>
          <w:rFonts w:cs="Times New Roman"/>
        </w:rPr>
        <w:t>are</w:t>
      </w:r>
      <w:r w:rsidR="006A51B0" w:rsidRPr="00E674B9">
        <w:rPr>
          <w:rFonts w:cs="Times New Roman"/>
        </w:rPr>
        <w:t xml:space="preserve"> depleted, while another </w:t>
      </w:r>
      <w:r w:rsidR="00110740" w:rsidRPr="00E674B9">
        <w:rPr>
          <w:rFonts w:cs="Times New Roman"/>
        </w:rPr>
        <w:t xml:space="preserve">stock is experiencing an </w:t>
      </w:r>
      <w:r w:rsidR="00C14A53" w:rsidRPr="00E674B9">
        <w:rPr>
          <w:rFonts w:cs="Times New Roman"/>
        </w:rPr>
        <w:t>influx</w:t>
      </w:r>
      <w:r w:rsidR="00110740" w:rsidRPr="00E674B9">
        <w:rPr>
          <w:rFonts w:cs="Times New Roman"/>
        </w:rPr>
        <w:t xml:space="preserve"> of fish</w:t>
      </w:r>
      <w:r w:rsidR="00C14A53" w:rsidRPr="00E674B9">
        <w:rPr>
          <w:rFonts w:cs="Times New Roman"/>
        </w:rPr>
        <w:t xml:space="preserve">, when in reality, abundance of these two stocks combined has not changed. </w:t>
      </w:r>
      <w:r w:rsidR="00A86478" w:rsidRPr="00E674B9">
        <w:rPr>
          <w:rFonts w:cs="Times New Roman"/>
        </w:rPr>
        <w:t xml:space="preserve">In an example of unidirectional movement outside assessed areas, Berger et al. 2021 demonstrated that significant biases can arise in </w:t>
      </w:r>
      <w:r w:rsidR="009E1ED7" w:rsidRPr="00E674B9">
        <w:rPr>
          <w:rFonts w:cs="Times New Roman"/>
        </w:rPr>
        <w:t>estimates</w:t>
      </w:r>
      <w:r w:rsidR="00A86478" w:rsidRPr="00E674B9">
        <w:rPr>
          <w:rFonts w:cs="Times New Roman"/>
        </w:rPr>
        <w:t xml:space="preserve"> of population status and </w:t>
      </w:r>
      <w:r w:rsidR="00A86478" w:rsidRPr="00E674B9">
        <w:rPr>
          <w:rFonts w:cs="Times New Roman"/>
        </w:rPr>
        <w:lastRenderedPageBreak/>
        <w:t>resultant management advice</w:t>
      </w:r>
      <w:r w:rsidR="009E1ED7" w:rsidRPr="00E674B9">
        <w:rPr>
          <w:rFonts w:cs="Times New Roman"/>
        </w:rPr>
        <w:t xml:space="preserve">, such that </w:t>
      </w:r>
      <w:r w:rsidR="00A13811" w:rsidRPr="00E674B9">
        <w:rPr>
          <w:rFonts w:cs="Times New Roman"/>
        </w:rPr>
        <w:t>there was</w:t>
      </w:r>
      <w:r w:rsidR="009E1ED7" w:rsidRPr="00E674B9">
        <w:rPr>
          <w:rFonts w:cs="Times New Roman"/>
        </w:rPr>
        <w:t xml:space="preserve"> potential for certain stocks </w:t>
      </w:r>
      <w:r w:rsidR="00322582" w:rsidRPr="00E674B9">
        <w:rPr>
          <w:rFonts w:cs="Times New Roman"/>
        </w:rPr>
        <w:t>being over or under-utilized</w:t>
      </w:r>
      <w:r w:rsidR="00240942" w:rsidRPr="00E674B9">
        <w:rPr>
          <w:rFonts w:cs="Times New Roman"/>
        </w:rPr>
        <w:t xml:space="preserve">, which may enhance the probability of localized depletion for certain stocks. </w:t>
      </w:r>
      <w:r w:rsidR="000D6230" w:rsidRPr="00E674B9">
        <w:rPr>
          <w:rFonts w:cs="Times New Roman"/>
        </w:rPr>
        <w:t xml:space="preserve">In the classic example of </w:t>
      </w:r>
      <w:r w:rsidR="00BC39EC" w:rsidRPr="00E674B9">
        <w:rPr>
          <w:rFonts w:cs="Times New Roman"/>
        </w:rPr>
        <w:t xml:space="preserve">Atlantic cod, </w:t>
      </w:r>
      <w:r w:rsidR="00F12598" w:rsidRPr="00E674B9">
        <w:rPr>
          <w:rFonts w:cs="Times New Roman"/>
        </w:rPr>
        <w:t>a misalignment between the biological and management boundary played a central role in driving its collapse. Specifically, a misleading index of abundance from the inshore fishery led to the perception of a healthy stock status, despite offshore populations being more declined, and a shift in fish distribution towards southern regions. The misalignment and aggregated assessment of offshore and inshore regions led to the misperception of healthy stock status and overestimates of productivity, resulting in increased harvest even when the stock was declining and shifting its distribution</w:t>
      </w:r>
      <w:r w:rsidR="00820332">
        <w:rPr>
          <w:rFonts w:cs="Times New Roman"/>
        </w:rPr>
        <w:t xml:space="preserve"> </w:t>
      </w:r>
      <w:r w:rsidR="00B0336A">
        <w:rPr>
          <w:rFonts w:cs="Times New Roman"/>
        </w:rPr>
        <w:fldChar w:fldCharType="begin"/>
      </w:r>
      <w:r w:rsidR="00B0336A">
        <w:rPr>
          <w:rFonts w:cs="Times New Roman"/>
        </w:rPr>
        <w:instrText xml:space="preserve"> ADDIN ZOTERO_ITEM CSL_CITATION {"citationID":"gHw04QPJ","properties":{"formattedCitation":"(Cadrin 2020)","plainCitation":"(Cadrin 2020)","noteIndex":0},"citationItems":[{"id":14475,"uris":["http://zotero.org/users/6698527/items/FGBMJXKB"],"itemData":{"id":14475,"type":"article-journal","abstract":"In principle, the spatial extent of fishery stock assessment should reflect the biological population, and major fishing patterns or population heterogeneity within the area should be represented. However, these theoretical requirements are commonly dismissed in practice, often when there is compelling evidence that spatial scope and structure is mis-specified and without testing if the mis-specified model performs well for informing fishery management. Population dynamics theory, case studies in fishery management as well as simulation tests demonstrate that accurately accounting for spatial structure in stock assessments can improve model performance, and ignoring spatial structure can lead to misperceptions of stock status and failures in fisheries management. Therefore, the development of stock assessment applications should include an evaluation of the most appropriate spatial scope and structure. Some common challenges in defining and modeling spatial structure can be addressed by adopting general best practices, but each species and its fisheries are unique. Accordingly, determining the most appropriate spatial structure involves 1) an interdisciplinary synthesis of all available information to determine the most plausible paradigms of population structure and fishing patterns, 2) the development of spatial operating models that are conditioned on these paradigms, and 3) testing the performance of estimation models and management strategies that are based on the current spatial management unit as well as alternative spatial scopes and structures that reflect population structure and fishing patterns.","container-title":"Fisheries Research","DOI":"10.1016/j.fishres.2019.105397","ISSN":"01657836","journalAbbreviation":"Fisheries Research","language":"en","page":"105397","source":"DOI.org (Crossref)","title":"Defining spatial structure for fishery stock assessment","volume":"221","author":[{"family":"Cadrin","given":"Steven X."}],"issued":{"date-parts":[["2020",1]]}}}],"schema":"https://github.com/citation-style-language/schema/raw/master/csl-citation.json"} </w:instrText>
      </w:r>
      <w:r w:rsidR="00B0336A">
        <w:rPr>
          <w:rFonts w:cs="Times New Roman"/>
        </w:rPr>
        <w:fldChar w:fldCharType="separate"/>
      </w:r>
      <w:r w:rsidR="00B0336A">
        <w:rPr>
          <w:rFonts w:cs="Times New Roman"/>
          <w:noProof/>
        </w:rPr>
        <w:t>(Cadrin 2020)</w:t>
      </w:r>
      <w:r w:rsidR="00B0336A">
        <w:rPr>
          <w:rFonts w:cs="Times New Roman"/>
        </w:rPr>
        <w:fldChar w:fldCharType="end"/>
      </w:r>
      <w:r w:rsidR="00F12598" w:rsidRPr="00E674B9">
        <w:rPr>
          <w:rFonts w:cs="Times New Roman"/>
        </w:rPr>
        <w:t xml:space="preserve">. </w:t>
      </w:r>
      <w:r w:rsidR="00525BCF">
        <w:rPr>
          <w:rFonts w:cs="Times New Roman"/>
        </w:rPr>
        <w:t xml:space="preserve">Furthermore, although </w:t>
      </w:r>
      <w:r w:rsidR="00976633">
        <w:rPr>
          <w:rFonts w:cs="Times New Roman"/>
        </w:rPr>
        <w:t xml:space="preserve">some studies have demonstrated that system-wide values derived from incorrect </w:t>
      </w:r>
      <w:r w:rsidR="00824CF5">
        <w:rPr>
          <w:rFonts w:cs="Times New Roman"/>
        </w:rPr>
        <w:t xml:space="preserve">assumptions regarding biological structure </w:t>
      </w:r>
      <w:r w:rsidR="00523240">
        <w:rPr>
          <w:rFonts w:cs="Times New Roman"/>
        </w:rPr>
        <w:t xml:space="preserve">can be unbiased, similar to themes discussed above, </w:t>
      </w:r>
      <w:r w:rsidR="003B3892">
        <w:rPr>
          <w:rFonts w:cs="Times New Roman"/>
        </w:rPr>
        <w:t>resultant management reference points can be biased</w:t>
      </w:r>
      <w:r w:rsidR="001822C8">
        <w:rPr>
          <w:rFonts w:cs="Times New Roman"/>
        </w:rPr>
        <w:t>, particularly when there is complex fine-scale population structure and movement dynamics</w:t>
      </w:r>
      <w:r w:rsidR="00B615BB">
        <w:rPr>
          <w:rFonts w:cs="Times New Roman"/>
        </w:rPr>
        <w:t xml:space="preserve"> (e.g., natal homing dynamics as in Pacific cod)</w:t>
      </w:r>
      <w:r w:rsidR="00E0137B">
        <w:rPr>
          <w:rFonts w:cs="Times New Roman"/>
        </w:rPr>
        <w:t xml:space="preserve"> </w:t>
      </w:r>
      <w:r w:rsidR="001822C8">
        <w:rPr>
          <w:rFonts w:cs="Times New Roman"/>
        </w:rPr>
        <w:fldChar w:fldCharType="begin"/>
      </w:r>
      <w:r w:rsidR="001822C8">
        <w:rPr>
          <w:rFonts w:cs="Times New Roman"/>
        </w:rPr>
        <w:instrText xml:space="preserve"> ADDIN ZOTERO_ITEM CSL_CITATION {"citationID":"YDk9kvpE","properties":{"formattedCitation":"(Goethel and Berger 2017)","plainCitation":"(Goethel and Berger 2017)","noteIndex":0},"citationItems":[{"id":2694,"uris":["http://zotero.org/users/6698527/items/GCW6YQNS"],"itemData":{"id":2694,"type":"article-journal","abstract":"Misidentifying spatial population structure may result in harvest levels that are unable to achieve management goals. We developed a spatially explicit simulation model to determine how biological reference points differ among common population structures and to investigate the performance of management quantities that were calculated assuming incorrect spatial population dynamics. Simulated reference points were compared across a range of population structures and connectivity scenarios demonstrating the inﬂuence of spatial assumptions on management benchmarks. Simulations also illustrated that applying a harvest level based on misdiagnosed spatial structure leads to biased stock status indicators, overharvesting, or foregone yield. Across the scenarios examined, incorrectly specifying the connectivity dynamics (particularly misdiagnosing source–sink dynamics) was often more detrimental than ignoring spatial structure altogether. However, when the true dynamics exhibited spatial structure, incorrectly assuming panmictic structure resulted in severe depletion if harvesting concentrated on more productive population units (instead of being homogeneously distributed). Incorporating spatially generalized operating models, such as the one developed here, into management strategy evaluations will help develop management procedures that are more robust to spatial complexities.","container-title":"Canadian Journal of Fisheries and Aquatic Sciences","DOI":"10.1139/cjfas-2016-0290","ISSN":"0706-652X, 1205-7533","issue":"11","journalAbbreviation":"Can. J. Fish. Aquat. Sci.","language":"en","page":"1878-1894","source":"DOI.org (Crossref)","title":"Accounting for spatial complexities in the calculation of biological reference points: effects of misdiagnosing population structure for stock status indicators","title-short":"Accounting for spatial complexities in the calculation of biological reference points","volume":"74","author":[{"family":"Goethel","given":"Daniel R."},{"family":"Berger","given":"Aaron M."}],"issued":{"date-parts":[["2017",11]]}}}],"schema":"https://github.com/citation-style-language/schema/raw/master/csl-citation.json"} </w:instrText>
      </w:r>
      <w:r w:rsidR="001822C8">
        <w:rPr>
          <w:rFonts w:cs="Times New Roman"/>
        </w:rPr>
        <w:fldChar w:fldCharType="separate"/>
      </w:r>
      <w:r w:rsidR="001822C8">
        <w:rPr>
          <w:rFonts w:cs="Times New Roman"/>
          <w:noProof/>
        </w:rPr>
        <w:t>(Goethel and Berger 2017)</w:t>
      </w:r>
      <w:r w:rsidR="001822C8">
        <w:rPr>
          <w:rFonts w:cs="Times New Roman"/>
        </w:rPr>
        <w:fldChar w:fldCharType="end"/>
      </w:r>
      <w:r w:rsidR="00CF0A38">
        <w:rPr>
          <w:rFonts w:cs="Times New Roman"/>
        </w:rPr>
        <w:t xml:space="preserve">. </w:t>
      </w:r>
    </w:p>
    <w:p w14:paraId="03C7CB2E" w14:textId="77777777" w:rsidR="00F432FF" w:rsidRDefault="00F432FF" w:rsidP="001D178F">
      <w:pPr>
        <w:ind w:firstLine="360"/>
        <w:jc w:val="both"/>
        <w:rPr>
          <w:rFonts w:cs="Times New Roman"/>
        </w:rPr>
      </w:pPr>
    </w:p>
    <w:p w14:paraId="3A679C0C" w14:textId="7E09425C" w:rsidR="00F9577B" w:rsidRPr="00900BBC" w:rsidRDefault="00C7547B" w:rsidP="00900BBC">
      <w:pPr>
        <w:ind w:firstLine="360"/>
        <w:jc w:val="both"/>
        <w:rPr>
          <w:rFonts w:cs="Times New Roman"/>
        </w:rPr>
      </w:pPr>
      <w:r w:rsidRPr="00647959">
        <w:rPr>
          <w:rFonts w:cs="Times New Roman"/>
        </w:rPr>
        <w:t xml:space="preserve">Current </w:t>
      </w:r>
      <w:r w:rsidR="006A6CE5" w:rsidRPr="00647959">
        <w:rPr>
          <w:rFonts w:cs="Times New Roman"/>
        </w:rPr>
        <w:t xml:space="preserve">approaches for </w:t>
      </w:r>
      <w:r w:rsidR="008C4896" w:rsidRPr="00647959">
        <w:rPr>
          <w:rFonts w:cs="Times New Roman"/>
        </w:rPr>
        <w:t>managing</w:t>
      </w:r>
      <w:r w:rsidR="006A6CE5" w:rsidRPr="00647959">
        <w:rPr>
          <w:rFonts w:cs="Times New Roman"/>
        </w:rPr>
        <w:t xml:space="preserve"> Pacific stock</w:t>
      </w:r>
      <w:r w:rsidR="008C4896" w:rsidRPr="00647959">
        <w:rPr>
          <w:rFonts w:cs="Times New Roman"/>
        </w:rPr>
        <w:t xml:space="preserve"> include th</w:t>
      </w:r>
      <w:r w:rsidR="002955E1" w:rsidRPr="00647959">
        <w:rPr>
          <w:rFonts w:cs="Times New Roman"/>
        </w:rPr>
        <w:t>ree separate stock assessments</w:t>
      </w:r>
      <w:r w:rsidR="00AE6DE6" w:rsidRPr="00647959">
        <w:rPr>
          <w:rFonts w:cs="Times New Roman"/>
        </w:rPr>
        <w:t xml:space="preserve">, coupled with catch </w:t>
      </w:r>
      <w:r w:rsidR="005D1DE3" w:rsidRPr="00647959">
        <w:rPr>
          <w:rFonts w:cs="Times New Roman"/>
        </w:rPr>
        <w:t>allocation</w:t>
      </w:r>
      <w:r w:rsidR="00AE6DE6" w:rsidRPr="00647959">
        <w:rPr>
          <w:rFonts w:cs="Times New Roman"/>
        </w:rPr>
        <w:t xml:space="preserve"> methods </w:t>
      </w:r>
      <w:r w:rsidR="00010D52" w:rsidRPr="00647959">
        <w:rPr>
          <w:rFonts w:cs="Times New Roman"/>
        </w:rPr>
        <w:t xml:space="preserve">within the GOA and AI. In particular, catch apportionment is based upon the relative survey biomass </w:t>
      </w:r>
      <w:r w:rsidR="00554E9E" w:rsidRPr="00647959">
        <w:rPr>
          <w:rFonts w:cs="Times New Roman"/>
        </w:rPr>
        <w:t xml:space="preserve">in the WGOA and </w:t>
      </w:r>
      <w:r w:rsidR="00C051A4" w:rsidRPr="00647959">
        <w:rPr>
          <w:rFonts w:cs="Times New Roman"/>
        </w:rPr>
        <w:t>EGOA and the system wide reference point is allocated based on those proportions. The AI regions is also apportioned similarly, although</w:t>
      </w:r>
      <w:r w:rsidR="00502B2D" w:rsidRPr="00647959">
        <w:rPr>
          <w:rFonts w:cs="Times New Roman"/>
        </w:rPr>
        <w:t xml:space="preserve"> across</w:t>
      </w:r>
      <w:r w:rsidR="00C051A4" w:rsidRPr="00647959">
        <w:rPr>
          <w:rFonts w:cs="Times New Roman"/>
        </w:rPr>
        <w:t xml:space="preserve"> </w:t>
      </w:r>
      <w:r w:rsidR="00D06817" w:rsidRPr="00647959">
        <w:rPr>
          <w:rFonts w:cs="Times New Roman"/>
        </w:rPr>
        <w:t>three areas:</w:t>
      </w:r>
      <w:r w:rsidR="00C051A4" w:rsidRPr="00647959">
        <w:rPr>
          <w:rFonts w:cs="Times New Roman"/>
        </w:rPr>
        <w:t xml:space="preserve"> the eastern, central, and western AI</w:t>
      </w:r>
      <w:r w:rsidR="00324C03" w:rsidRPr="00647959">
        <w:rPr>
          <w:rFonts w:cs="Times New Roman"/>
        </w:rPr>
        <w:t xml:space="preserve"> </w:t>
      </w:r>
      <w:r w:rsidR="0039090F" w:rsidRPr="00647959">
        <w:rPr>
          <w:rFonts w:cs="Times New Roman"/>
        </w:rPr>
        <w:fldChar w:fldCharType="begin"/>
      </w:r>
      <w:r w:rsidR="0039090F" w:rsidRPr="00647959">
        <w:rPr>
          <w:rFonts w:cs="Times New Roman"/>
        </w:rPr>
        <w:instrText xml:space="preserve"> ADDIN ZOTERO_ITEM CSL_CITATION {"citationID":"Jrs96P7P","properties":{"formattedCitation":"(Hulson 2023; Spies et al. 2023)","plainCitation":"(Hulson 2023; Spies et al. 2023)","noteIndex":0},"citationItems":[{"id":22365,"uris":["http://zotero.org/users/6698527/items/8BILEF5S"],"itemData":{"id":22365,"type":"article-journal","language":"en","source":"Zotero","title":"2: Assessment of the Pacific cod stock in the Gulf of Alaska","author":[{"family":"Hulson","given":"Pete"}],"issued":{"date-parts":[["2023"]]}}},{"id":14444,"uris":["http://zotero.org/users/6698527/items/EV8ZA3RJ"],"itemData":{"id":14444,"type":"article-journal","language":"en","source":"Zotero","title":"2A. Assessment of the Pacifc cod stock in the Aleutian Islands","author":[{"family":"Spies","given":"Ingrid"},{"family":"Barbeaux","given":"Steve"},{"family":"Hulson","given":"Pete"},{"family":"Ortiz","given":"Ivonne"}],"issued":{"date-parts":[["2023"]]}}}],"schema":"https://github.com/citation-style-language/schema/raw/master/csl-citation.json"} </w:instrText>
      </w:r>
      <w:r w:rsidR="0039090F" w:rsidRPr="00647959">
        <w:rPr>
          <w:rFonts w:cs="Times New Roman"/>
        </w:rPr>
        <w:fldChar w:fldCharType="separate"/>
      </w:r>
      <w:r w:rsidR="0039090F" w:rsidRPr="00647959">
        <w:rPr>
          <w:rFonts w:cs="Times New Roman"/>
          <w:noProof/>
        </w:rPr>
        <w:t>(Hulson 2023; Spies et al. 2023)</w:t>
      </w:r>
      <w:r w:rsidR="0039090F" w:rsidRPr="00647959">
        <w:rPr>
          <w:rFonts w:cs="Times New Roman"/>
        </w:rPr>
        <w:fldChar w:fldCharType="end"/>
      </w:r>
      <w:r w:rsidR="00C051A4" w:rsidRPr="00647959">
        <w:rPr>
          <w:rFonts w:cs="Times New Roman"/>
        </w:rPr>
        <w:t xml:space="preserve">. </w:t>
      </w:r>
      <w:r w:rsidR="001C42A4" w:rsidRPr="00647959">
        <w:rPr>
          <w:rFonts w:cs="Times New Roman"/>
        </w:rPr>
        <w:t>T</w:t>
      </w:r>
      <w:r w:rsidR="0039090F" w:rsidRPr="00647959">
        <w:rPr>
          <w:rFonts w:cs="Times New Roman"/>
        </w:rPr>
        <w:t xml:space="preserve">here does not appear to be area-specific </w:t>
      </w:r>
      <w:r w:rsidR="0099474C" w:rsidRPr="00647959">
        <w:rPr>
          <w:rFonts w:cs="Times New Roman"/>
        </w:rPr>
        <w:t xml:space="preserve">catch </w:t>
      </w:r>
      <w:r w:rsidR="0039090F" w:rsidRPr="00647959">
        <w:rPr>
          <w:rFonts w:cs="Times New Roman"/>
        </w:rPr>
        <w:t>allocation</w:t>
      </w:r>
      <w:r w:rsidR="00867CF9" w:rsidRPr="00647959">
        <w:rPr>
          <w:rFonts w:cs="Times New Roman"/>
        </w:rPr>
        <w:t>s within the EBS</w:t>
      </w:r>
      <w:r w:rsidR="000458BE" w:rsidRPr="00647959">
        <w:rPr>
          <w:rFonts w:cs="Times New Roman"/>
        </w:rPr>
        <w:t xml:space="preserve"> </w:t>
      </w:r>
      <w:r w:rsidR="00AE0520" w:rsidRPr="00647959">
        <w:rPr>
          <w:rFonts w:cs="Times New Roman"/>
        </w:rPr>
        <w:fldChar w:fldCharType="begin"/>
      </w:r>
      <w:r w:rsidR="00AE0520" w:rsidRPr="00647959">
        <w:rPr>
          <w:rFonts w:cs="Times New Roman"/>
        </w:rPr>
        <w:instrText xml:space="preserve"> ADDIN ZOTERO_ITEM CSL_CITATION {"citationID":"nXrFK0TX","properties":{"formattedCitation":"(Barbeaux et al. 2023)","plainCitation":"(Barbeaux et al. 2023)","noteIndex":0},"citationItems":[{"id":22367,"uris":["http://zotero.org/users/6698527/items/VHIXP6EJ"],"itemData":{"id":22367,"type":"article-journal","language":"en","source":"Zotero","title":"2. Assessment of the Pacific Cod Stock in the Eastern Bering Sea","author":[{"family":"Barbeaux","given":"Steven J"},{"family":"Barnett","given":"Lewis"},{"family":"Hall","given":"Madison"},{"family":"Hulson","given":"Pete"},{"family":"Nielsen","given":"Julie"},{"family":"Shotwell","given":"S Kalei"},{"family":"Siddon","given":"Elizabeth"},{"family":"Spies","given":"Ingrid"},{"family":"Thorson","given":"James"}],"issued":{"date-parts":[["2023"]]}}}],"schema":"https://github.com/citation-style-language/schema/raw/master/csl-citation.json"} </w:instrText>
      </w:r>
      <w:r w:rsidR="00AE0520" w:rsidRPr="00647959">
        <w:rPr>
          <w:rFonts w:cs="Times New Roman"/>
        </w:rPr>
        <w:fldChar w:fldCharType="separate"/>
      </w:r>
      <w:r w:rsidR="00AE0520" w:rsidRPr="00647959">
        <w:rPr>
          <w:rFonts w:cs="Times New Roman"/>
          <w:noProof/>
        </w:rPr>
        <w:t>(Barbeaux et al. 2023)</w:t>
      </w:r>
      <w:r w:rsidR="00AE0520" w:rsidRPr="00647959">
        <w:rPr>
          <w:rFonts w:cs="Times New Roman"/>
        </w:rPr>
        <w:fldChar w:fldCharType="end"/>
      </w:r>
      <w:r w:rsidR="0039090F" w:rsidRPr="00647959">
        <w:rPr>
          <w:rFonts w:cs="Times New Roman"/>
        </w:rPr>
        <w:t xml:space="preserve">. </w:t>
      </w:r>
      <w:r w:rsidR="00B001C7">
        <w:rPr>
          <w:rFonts w:cs="Times New Roman"/>
        </w:rPr>
        <w:t>Importantly, note that</w:t>
      </w:r>
      <w:r w:rsidR="00192F3F">
        <w:rPr>
          <w:rFonts w:cs="Times New Roman"/>
        </w:rPr>
        <w:t xml:space="preserve"> survey biomasses are indexed during the summer, where it is known that Pacific cod undertake feeding migrations, and mix with other stock components of Pacific cod in Alaska</w:t>
      </w:r>
      <w:r w:rsidR="005F5DC5">
        <w:rPr>
          <w:rFonts w:cs="Times New Roman"/>
        </w:rPr>
        <w:t xml:space="preserve"> during this period</w:t>
      </w:r>
      <w:r w:rsidR="00192F3F">
        <w:rPr>
          <w:rFonts w:cs="Times New Roman"/>
        </w:rPr>
        <w:t xml:space="preserve">. </w:t>
      </w:r>
      <w:r w:rsidR="0074312A">
        <w:rPr>
          <w:rFonts w:cs="Times New Roman"/>
        </w:rPr>
        <w:t>While c</w:t>
      </w:r>
      <w:r w:rsidR="004E30ED" w:rsidRPr="00647959">
        <w:rPr>
          <w:rFonts w:cs="Times New Roman"/>
        </w:rPr>
        <w:t xml:space="preserve">urrent </w:t>
      </w:r>
      <w:r w:rsidR="00755D1F" w:rsidRPr="00647959">
        <w:rPr>
          <w:rFonts w:cs="Times New Roman"/>
        </w:rPr>
        <w:t xml:space="preserve">catch-allocation </w:t>
      </w:r>
      <w:r w:rsidR="004E30ED" w:rsidRPr="00647959">
        <w:rPr>
          <w:rFonts w:cs="Times New Roman"/>
        </w:rPr>
        <w:t xml:space="preserve">approaches </w:t>
      </w:r>
      <w:r w:rsidR="00661F68" w:rsidRPr="00647959">
        <w:rPr>
          <w:rFonts w:cs="Times New Roman"/>
        </w:rPr>
        <w:t xml:space="preserve">attempt to </w:t>
      </w:r>
      <w:r w:rsidR="00833A39" w:rsidRPr="00647959">
        <w:rPr>
          <w:rFonts w:cs="Times New Roman"/>
        </w:rPr>
        <w:t xml:space="preserve">distribute </w:t>
      </w:r>
      <w:proofErr w:type="gramStart"/>
      <w:r w:rsidR="00833A39" w:rsidRPr="00647959">
        <w:rPr>
          <w:rFonts w:cs="Times New Roman"/>
        </w:rPr>
        <w:t>fishing</w:t>
      </w:r>
      <w:proofErr w:type="gramEnd"/>
      <w:r w:rsidR="00833A39" w:rsidRPr="00647959">
        <w:rPr>
          <w:rFonts w:cs="Times New Roman"/>
        </w:rPr>
        <w:t xml:space="preserve"> effort based upon </w:t>
      </w:r>
      <w:r w:rsidR="007F307C" w:rsidRPr="00647959">
        <w:rPr>
          <w:rFonts w:cs="Times New Roman"/>
        </w:rPr>
        <w:t xml:space="preserve">the relative biomass in specific regions, it is not </w:t>
      </w:r>
      <w:r w:rsidR="00BA02E9">
        <w:rPr>
          <w:rFonts w:cs="Times New Roman"/>
        </w:rPr>
        <w:t xml:space="preserve">generally </w:t>
      </w:r>
      <w:r w:rsidR="007F307C" w:rsidRPr="00647959">
        <w:rPr>
          <w:rFonts w:cs="Times New Roman"/>
        </w:rPr>
        <w:t xml:space="preserve">well </w:t>
      </w:r>
      <w:r w:rsidR="009F3053">
        <w:rPr>
          <w:rFonts w:cs="Times New Roman"/>
        </w:rPr>
        <w:t>understood</w:t>
      </w:r>
      <w:r w:rsidR="007F307C" w:rsidRPr="00647959">
        <w:rPr>
          <w:rFonts w:cs="Times New Roman"/>
        </w:rPr>
        <w:t xml:space="preserve"> how appropriate this approach is to protecting </w:t>
      </w:r>
      <w:r w:rsidR="00910955">
        <w:rPr>
          <w:rFonts w:cs="Times New Roman"/>
        </w:rPr>
        <w:t xml:space="preserve">stock-specific biomass. </w:t>
      </w:r>
      <w:r w:rsidR="00FA5206" w:rsidRPr="00647959">
        <w:rPr>
          <w:rFonts w:cs="Times New Roman"/>
        </w:rPr>
        <w:t xml:space="preserve">Simulation studies have </w:t>
      </w:r>
      <w:r w:rsidR="00745749" w:rsidRPr="00647959">
        <w:rPr>
          <w:rFonts w:cs="Times New Roman"/>
        </w:rPr>
        <w:t>suggested</w:t>
      </w:r>
      <w:r w:rsidR="00FA5206" w:rsidRPr="00647959">
        <w:rPr>
          <w:rFonts w:cs="Times New Roman"/>
        </w:rPr>
        <w:t xml:space="preserve"> that</w:t>
      </w:r>
      <w:r w:rsidR="00312197" w:rsidRPr="00647959">
        <w:rPr>
          <w:rFonts w:cs="Times New Roman"/>
        </w:rPr>
        <w:t xml:space="preserve"> the performance of</w:t>
      </w:r>
      <w:r w:rsidR="00FA5206" w:rsidRPr="00647959">
        <w:rPr>
          <w:rFonts w:cs="Times New Roman"/>
        </w:rPr>
        <w:t xml:space="preserve"> </w:t>
      </w:r>
      <w:r w:rsidR="001428EB" w:rsidRPr="00647959">
        <w:rPr>
          <w:rFonts w:cs="Times New Roman"/>
        </w:rPr>
        <w:t xml:space="preserve">utilizing relative biomass to allocate catches will </w:t>
      </w:r>
      <w:r w:rsidR="00523E4D" w:rsidRPr="00647959">
        <w:rPr>
          <w:rFonts w:cs="Times New Roman"/>
        </w:rPr>
        <w:t xml:space="preserve">likely </w:t>
      </w:r>
      <w:r w:rsidR="000414E1" w:rsidRPr="00647959">
        <w:rPr>
          <w:rFonts w:cs="Times New Roman"/>
        </w:rPr>
        <w:t>depend</w:t>
      </w:r>
      <w:r w:rsidR="00523E4D" w:rsidRPr="00647959">
        <w:rPr>
          <w:rFonts w:cs="Times New Roman"/>
        </w:rPr>
        <w:t xml:space="preserve"> on movement dynamics as well as the error in </w:t>
      </w:r>
      <w:r w:rsidR="00967782">
        <w:rPr>
          <w:rFonts w:cs="Times New Roman"/>
        </w:rPr>
        <w:t>the given</w:t>
      </w:r>
      <w:r w:rsidR="00523E4D" w:rsidRPr="00647959">
        <w:rPr>
          <w:rFonts w:cs="Times New Roman"/>
        </w:rPr>
        <w:t xml:space="preserve"> index</w:t>
      </w:r>
      <w:r w:rsidR="00A270E8" w:rsidRPr="00647959">
        <w:rPr>
          <w:rFonts w:cs="Times New Roman"/>
        </w:rPr>
        <w:t xml:space="preserve"> </w:t>
      </w:r>
      <w:r w:rsidR="001428EB" w:rsidRPr="00647959">
        <w:rPr>
          <w:rFonts w:cs="Times New Roman"/>
        </w:rPr>
        <w:fldChar w:fldCharType="begin"/>
      </w:r>
      <w:r w:rsidR="001428EB" w:rsidRPr="00647959">
        <w:rPr>
          <w:rFonts w:cs="Times New Roman"/>
        </w:rPr>
        <w:instrText xml:space="preserve"> ADDIN ZOTERO_ITEM CSL_CITATION {"citationID":"F6CN7mQv","properties":{"formattedCitation":"(Bosley et al. 2019)","plainCitation":"(Bosley et al. 2019)","noteIndex":0},"citationItems":[{"id":3059,"uris":["http://zotero.org/users/6698527/items/7UTQB54A"],"itemData":{"id":3059,"type":"article-journal","abstract":"Ignoring spatial population structure in the development of ﬁsheries management advice can a</w:instrText>
      </w:r>
      <w:r w:rsidR="001428EB" w:rsidRPr="00647959">
        <w:rPr>
          <w:rFonts w:ascii="Cambria Math" w:hAnsi="Cambria Math" w:cs="Cambria Math"/>
        </w:rPr>
        <w:instrText>ﬀ</w:instrText>
      </w:r>
      <w:r w:rsidR="001428EB" w:rsidRPr="00647959">
        <w:rPr>
          <w:rFonts w:cs="Times New Roman"/>
        </w:rPr>
        <w:instrText>ect population resilience and yield. However, the resources required to develop spatial stock assessment models that match the spatial scale of management are often unavailable. As a result, quota recommendations from spatially aggregated assessment models are commonly divided among management areas based on empirical methods. We developed a spatially explicit simulation model to 1) explore how variation in population structure inﬂuences the spatial distribution of harvest that produces maximum system yield, and 2) contrast the performance of empirical quota allocation methods in approximating ideal spatial harvest strategies. Spatial scenarios that included post-recruitment movement resulted in a broader range of spatial management options (e.g., setting regional total allowable catch) that achieved near maximum system yield compared to scenarios without movement. Stochastic projections showed that using the proportion of total survey biomass in each management area to spatially allocate quota performed best for maximizing system yield when the true spatial structure was unknown, considerably outperforming equal allocation and allocation based on a recruitment index. However, with all methods, area-speciﬁc harvest rates sometimes led to unintended depletion within management units. Improved data and understanding of spatial stock dynamics can reduce the need for ad hoc approaches for spatial harvest allocation, allow for a greater range of management options, and increase the e</w:instrText>
      </w:r>
      <w:r w:rsidR="001428EB" w:rsidRPr="00647959">
        <w:rPr>
          <w:rFonts w:ascii="Cambria Math" w:hAnsi="Cambria Math" w:cs="Cambria Math"/>
        </w:rPr>
        <w:instrText>ﬃ</w:instrText>
      </w:r>
      <w:r w:rsidR="001428EB" w:rsidRPr="00647959">
        <w:rPr>
          <w:rFonts w:cs="Times New Roman"/>
        </w:rPr>
        <w:instrText xml:space="preserve">cacy of spatial management procedures.","container-title":"Fisheries Research","DOI":"10.1016/j.fishres.2019.105344","ISSN":"01657836","journalAbbreviation":"Fisheries Research","language":"en","page":"105344","source":"DOI.org (Crossref)","title":"Overcoming challenges of harvest quota allocation in spatially structured populations","volume":"220","author":[{"family":"Bosley","given":"Katelyn M."},{"family":"Goethel","given":"Daniel R."},{"family":"Berger","given":"Aaron M."},{"family":"Deroba","given":"Jonathan J."},{"family":"Fenske","given":"Kari H."},{"family":"Hanselman","given":"Dana H."},{"family":"Langseth","given":"Brian J."},{"family":"Schueller","given":"Amy M."}],"issued":{"date-parts":[["2019",12]]}}}],"schema":"https://github.com/citation-style-language/schema/raw/master/csl-citation.json"} </w:instrText>
      </w:r>
      <w:r w:rsidR="001428EB" w:rsidRPr="00647959">
        <w:rPr>
          <w:rFonts w:cs="Times New Roman"/>
        </w:rPr>
        <w:fldChar w:fldCharType="separate"/>
      </w:r>
      <w:r w:rsidR="001428EB" w:rsidRPr="00647959">
        <w:rPr>
          <w:rFonts w:cs="Times New Roman"/>
          <w:noProof/>
        </w:rPr>
        <w:t>(Bosley et al. 2019)</w:t>
      </w:r>
      <w:r w:rsidR="001428EB" w:rsidRPr="00647959">
        <w:rPr>
          <w:rFonts w:cs="Times New Roman"/>
        </w:rPr>
        <w:fldChar w:fldCharType="end"/>
      </w:r>
      <w:r w:rsidR="00FA35EB">
        <w:rPr>
          <w:rFonts w:cs="Times New Roman"/>
        </w:rPr>
        <w:t xml:space="preserve">. </w:t>
      </w:r>
      <w:r w:rsidR="001A1A4F">
        <w:rPr>
          <w:rFonts w:cs="Times New Roman"/>
        </w:rPr>
        <w:t xml:space="preserve">In particular, </w:t>
      </w:r>
      <w:r w:rsidR="003C3350">
        <w:rPr>
          <w:rFonts w:cs="Times New Roman"/>
        </w:rPr>
        <w:t>catch-allocation schemes</w:t>
      </w:r>
      <w:r w:rsidR="001C737E">
        <w:rPr>
          <w:rFonts w:cs="Times New Roman"/>
        </w:rPr>
        <w:t xml:space="preserve"> such as the one described above</w:t>
      </w:r>
      <w:r w:rsidR="009E4ECC">
        <w:rPr>
          <w:rFonts w:cs="Times New Roman"/>
        </w:rPr>
        <w:t xml:space="preserve"> generally perform well for stocks that exhibit limited movement, but </w:t>
      </w:r>
      <w:r w:rsidR="006C33B0">
        <w:rPr>
          <w:rFonts w:cs="Times New Roman"/>
        </w:rPr>
        <w:t xml:space="preserve">perform </w:t>
      </w:r>
      <w:r w:rsidR="002816F9">
        <w:rPr>
          <w:rFonts w:cs="Times New Roman"/>
        </w:rPr>
        <w:t xml:space="preserve">similarly </w:t>
      </w:r>
      <w:r w:rsidR="006C33B0">
        <w:rPr>
          <w:rFonts w:cs="Times New Roman"/>
        </w:rPr>
        <w:t xml:space="preserve">when compared to when catch is allocated equally across areas. </w:t>
      </w:r>
      <w:r w:rsidR="00464259">
        <w:rPr>
          <w:rFonts w:cs="Times New Roman"/>
        </w:rPr>
        <w:t xml:space="preserve">Furthermore, </w:t>
      </w:r>
      <w:r w:rsidR="006B395E">
        <w:rPr>
          <w:rFonts w:cs="Times New Roman"/>
        </w:rPr>
        <w:t xml:space="preserve">when movement </w:t>
      </w:r>
      <w:r w:rsidR="00B828AB">
        <w:rPr>
          <w:rFonts w:cs="Times New Roman"/>
        </w:rPr>
        <w:t xml:space="preserve">and mixing is present across areas, </w:t>
      </w:r>
      <w:r w:rsidR="00170F1E">
        <w:rPr>
          <w:rFonts w:cs="Times New Roman"/>
        </w:rPr>
        <w:t xml:space="preserve">the range of values that optimizes yield (in this case, I am considering maximum system-wide yield) </w:t>
      </w:r>
      <w:r w:rsidR="00135C5C">
        <w:rPr>
          <w:rFonts w:cs="Times New Roman"/>
        </w:rPr>
        <w:t xml:space="preserve">is broader, given that </w:t>
      </w:r>
      <w:r w:rsidR="00D36DA3">
        <w:rPr>
          <w:rFonts w:cs="Times New Roman"/>
        </w:rPr>
        <w:t xml:space="preserve">exchange of individuals between regions </w:t>
      </w:r>
      <w:r w:rsidR="008B0530">
        <w:rPr>
          <w:rFonts w:cs="Times New Roman"/>
        </w:rPr>
        <w:t>allow for a broader set of area-</w:t>
      </w:r>
      <w:r w:rsidR="00F81DC2">
        <w:rPr>
          <w:rFonts w:cs="Times New Roman"/>
        </w:rPr>
        <w:t>specific</w:t>
      </w:r>
      <w:r w:rsidR="008B0530">
        <w:rPr>
          <w:rFonts w:cs="Times New Roman"/>
        </w:rPr>
        <w:t xml:space="preserve"> strategies (non-independence from stocks). </w:t>
      </w:r>
      <w:r w:rsidR="00D36DA3">
        <w:rPr>
          <w:rFonts w:cs="Times New Roman"/>
        </w:rPr>
        <w:t xml:space="preserve"> </w:t>
      </w:r>
      <w:r w:rsidR="00C16773" w:rsidRPr="00CA53F3">
        <w:rPr>
          <w:rFonts w:cs="Times New Roman"/>
          <w:b/>
          <w:bCs/>
          <w:i/>
          <w:iCs/>
        </w:rPr>
        <w:t>Considering</w:t>
      </w:r>
      <w:r w:rsidR="00070C7E" w:rsidRPr="00CA53F3">
        <w:rPr>
          <w:rFonts w:cs="Times New Roman"/>
          <w:b/>
          <w:bCs/>
          <w:i/>
          <w:iCs/>
        </w:rPr>
        <w:t xml:space="preserve"> the </w:t>
      </w:r>
      <w:r w:rsidR="00C16773" w:rsidRPr="00CA53F3">
        <w:rPr>
          <w:rFonts w:cs="Times New Roman"/>
          <w:b/>
          <w:bCs/>
          <w:i/>
          <w:iCs/>
        </w:rPr>
        <w:t xml:space="preserve">potential for </w:t>
      </w:r>
      <w:r w:rsidR="002A1846" w:rsidRPr="00CA53F3">
        <w:rPr>
          <w:rFonts w:cs="Times New Roman"/>
          <w:b/>
          <w:bCs/>
          <w:i/>
          <w:iCs/>
        </w:rPr>
        <w:t>cross</w:t>
      </w:r>
      <w:r w:rsidR="00C16773" w:rsidRPr="00CA53F3">
        <w:rPr>
          <w:rFonts w:cs="Times New Roman"/>
          <w:b/>
          <w:bCs/>
          <w:i/>
          <w:iCs/>
        </w:rPr>
        <w:t xml:space="preserve"> boundary interactions, </w:t>
      </w:r>
      <w:r w:rsidR="00BB7F6B" w:rsidRPr="00CA53F3">
        <w:rPr>
          <w:rFonts w:cs="Times New Roman"/>
          <w:b/>
          <w:bCs/>
          <w:i/>
          <w:iCs/>
        </w:rPr>
        <w:t>complex movements dynamics of Pacific cod</w:t>
      </w:r>
      <w:r w:rsidR="0077604D" w:rsidRPr="00CA53F3">
        <w:rPr>
          <w:rFonts w:cs="Times New Roman"/>
          <w:b/>
          <w:bCs/>
          <w:i/>
          <w:iCs/>
        </w:rPr>
        <w:t>,</w:t>
      </w:r>
      <w:r w:rsidR="0018232A" w:rsidRPr="00CA53F3">
        <w:rPr>
          <w:rFonts w:cs="Times New Roman"/>
          <w:b/>
          <w:bCs/>
          <w:i/>
          <w:iCs/>
        </w:rPr>
        <w:t xml:space="preserve"> and</w:t>
      </w:r>
      <w:r w:rsidR="0077604D" w:rsidRPr="00CA53F3">
        <w:rPr>
          <w:rFonts w:cs="Times New Roman"/>
          <w:b/>
          <w:bCs/>
          <w:i/>
          <w:iCs/>
        </w:rPr>
        <w:t xml:space="preserve"> the timing of survey </w:t>
      </w:r>
      <w:r w:rsidR="00BB75FF" w:rsidRPr="00CA53F3">
        <w:rPr>
          <w:rFonts w:cs="Times New Roman"/>
          <w:b/>
          <w:bCs/>
          <w:i/>
          <w:iCs/>
        </w:rPr>
        <w:t>indices</w:t>
      </w:r>
      <w:r w:rsidR="0077604D" w:rsidRPr="00CA53F3">
        <w:rPr>
          <w:rFonts w:cs="Times New Roman"/>
          <w:b/>
          <w:bCs/>
          <w:i/>
          <w:iCs/>
        </w:rPr>
        <w:t xml:space="preserve"> typically utilized for catch-allocation</w:t>
      </w:r>
      <w:r w:rsidR="00BB75FF" w:rsidRPr="00CA53F3">
        <w:rPr>
          <w:rFonts w:cs="Times New Roman"/>
          <w:b/>
          <w:bCs/>
          <w:i/>
          <w:iCs/>
        </w:rPr>
        <w:t xml:space="preserve"> purposes</w:t>
      </w:r>
      <w:r w:rsidR="00D12E32" w:rsidRPr="00CA53F3">
        <w:rPr>
          <w:rFonts w:cs="Times New Roman"/>
          <w:b/>
          <w:bCs/>
          <w:i/>
          <w:iCs/>
        </w:rPr>
        <w:t xml:space="preserve">, </w:t>
      </w:r>
      <w:r w:rsidR="003820D9" w:rsidRPr="00CA53F3">
        <w:rPr>
          <w:rFonts w:cs="Times New Roman"/>
          <w:b/>
          <w:bCs/>
          <w:i/>
          <w:iCs/>
        </w:rPr>
        <w:t>I hypothesize</w:t>
      </w:r>
      <w:r w:rsidR="00F21F15" w:rsidRPr="00CA53F3">
        <w:rPr>
          <w:rFonts w:cs="Times New Roman"/>
          <w:b/>
          <w:bCs/>
          <w:i/>
          <w:iCs/>
        </w:rPr>
        <w:t xml:space="preserve"> </w:t>
      </w:r>
      <w:r w:rsidR="001B6EEC" w:rsidRPr="00CA53F3">
        <w:rPr>
          <w:rFonts w:cs="Times New Roman"/>
          <w:b/>
          <w:bCs/>
          <w:i/>
          <w:iCs/>
        </w:rPr>
        <w:t xml:space="preserve">that the </w:t>
      </w:r>
      <w:r w:rsidR="00035E15" w:rsidRPr="00CA53F3">
        <w:rPr>
          <w:rFonts w:cs="Times New Roman"/>
          <w:b/>
          <w:bCs/>
          <w:i/>
          <w:iCs/>
        </w:rPr>
        <w:t xml:space="preserve">current spatial management </w:t>
      </w:r>
      <w:r w:rsidR="00822203" w:rsidRPr="00CA53F3">
        <w:rPr>
          <w:rFonts w:cs="Times New Roman"/>
          <w:b/>
          <w:bCs/>
          <w:i/>
          <w:iCs/>
        </w:rPr>
        <w:t>delineations</w:t>
      </w:r>
      <w:r w:rsidR="00035E15" w:rsidRPr="00CA53F3">
        <w:rPr>
          <w:rFonts w:cs="Times New Roman"/>
          <w:b/>
          <w:bCs/>
          <w:i/>
          <w:iCs/>
        </w:rPr>
        <w:t xml:space="preserve"> </w:t>
      </w:r>
      <w:r w:rsidR="0067378A" w:rsidRPr="00CA53F3">
        <w:rPr>
          <w:rFonts w:cs="Times New Roman"/>
          <w:b/>
          <w:bCs/>
          <w:i/>
          <w:iCs/>
        </w:rPr>
        <w:t xml:space="preserve">and strategies </w:t>
      </w:r>
      <w:r w:rsidR="00035E15" w:rsidRPr="00CA53F3">
        <w:rPr>
          <w:rFonts w:cs="Times New Roman"/>
          <w:b/>
          <w:bCs/>
          <w:i/>
          <w:iCs/>
        </w:rPr>
        <w:t xml:space="preserve">for </w:t>
      </w:r>
      <w:r w:rsidR="0067082B" w:rsidRPr="00CA53F3">
        <w:rPr>
          <w:rFonts w:cs="Times New Roman"/>
          <w:b/>
          <w:bCs/>
          <w:i/>
          <w:iCs/>
        </w:rPr>
        <w:t xml:space="preserve">managing </w:t>
      </w:r>
      <w:r w:rsidR="00822203" w:rsidRPr="00CA53F3">
        <w:rPr>
          <w:rFonts w:cs="Times New Roman"/>
          <w:b/>
          <w:bCs/>
          <w:i/>
          <w:iCs/>
        </w:rPr>
        <w:t>Pacific</w:t>
      </w:r>
      <w:r w:rsidR="0067082B" w:rsidRPr="00CA53F3">
        <w:rPr>
          <w:rFonts w:cs="Times New Roman"/>
          <w:b/>
          <w:bCs/>
          <w:i/>
          <w:iCs/>
        </w:rPr>
        <w:t xml:space="preserve"> cod is suboptimal</w:t>
      </w:r>
      <w:r w:rsidR="00CB44FD">
        <w:rPr>
          <w:rFonts w:cs="Times New Roman"/>
        </w:rPr>
        <w:t xml:space="preserve">. In particular, </w:t>
      </w:r>
      <w:r w:rsidR="00746C69">
        <w:rPr>
          <w:rFonts w:cs="Times New Roman"/>
        </w:rPr>
        <w:t>it is likely that survey indice</w:t>
      </w:r>
      <w:r w:rsidR="001571F1">
        <w:rPr>
          <w:rFonts w:cs="Times New Roman"/>
        </w:rPr>
        <w:t xml:space="preserve">s collected in the summer reflect a </w:t>
      </w:r>
      <w:r w:rsidR="00474F6B">
        <w:rPr>
          <w:rFonts w:cs="Times New Roman"/>
        </w:rPr>
        <w:t>mixture</w:t>
      </w:r>
      <w:r w:rsidR="009E2042">
        <w:rPr>
          <w:rFonts w:cs="Times New Roman"/>
        </w:rPr>
        <w:t xml:space="preserve"> of individuals from any of the 4 regions defined above</w:t>
      </w:r>
      <w:r w:rsidR="00221F29">
        <w:rPr>
          <w:rFonts w:cs="Times New Roman"/>
        </w:rPr>
        <w:t xml:space="preserve">. </w:t>
      </w:r>
      <w:r w:rsidR="00474F6B">
        <w:rPr>
          <w:rFonts w:cs="Times New Roman"/>
        </w:rPr>
        <w:t xml:space="preserve">Furthermore, </w:t>
      </w:r>
      <w:r w:rsidR="004947D5">
        <w:rPr>
          <w:rFonts w:cs="Times New Roman"/>
        </w:rPr>
        <w:t xml:space="preserve">given the </w:t>
      </w:r>
      <w:r w:rsidR="004870E7">
        <w:rPr>
          <w:rFonts w:cs="Times New Roman"/>
        </w:rPr>
        <w:t>complex</w:t>
      </w:r>
      <w:r w:rsidR="004947D5">
        <w:rPr>
          <w:rFonts w:cs="Times New Roman"/>
        </w:rPr>
        <w:t xml:space="preserve"> mixing and movement dynamics</w:t>
      </w:r>
      <w:r w:rsidR="003C4AC6">
        <w:rPr>
          <w:rFonts w:cs="Times New Roman"/>
        </w:rPr>
        <w:t xml:space="preserve"> of Pacific cod</w:t>
      </w:r>
      <w:r w:rsidR="004947D5">
        <w:rPr>
          <w:rFonts w:cs="Times New Roman"/>
        </w:rPr>
        <w:t xml:space="preserve">, single-area assessments for these different stock components likely </w:t>
      </w:r>
      <w:r w:rsidR="00C55516">
        <w:rPr>
          <w:rFonts w:cs="Times New Roman"/>
        </w:rPr>
        <w:t>inhibit the potential to explore different area-specific harvest strategies</w:t>
      </w:r>
      <w:r w:rsidR="00A94139">
        <w:rPr>
          <w:rFonts w:cs="Times New Roman"/>
        </w:rPr>
        <w:t xml:space="preserve"> (i.e., the idea of a broader yield </w:t>
      </w:r>
      <w:r w:rsidR="00A94139">
        <w:rPr>
          <w:rFonts w:cs="Times New Roman"/>
        </w:rPr>
        <w:lastRenderedPageBreak/>
        <w:t xml:space="preserve">isopleth in </w:t>
      </w:r>
      <w:proofErr w:type="spellStart"/>
      <w:r w:rsidR="00A94139">
        <w:rPr>
          <w:rFonts w:cs="Times New Roman"/>
        </w:rPr>
        <w:t>Bosley</w:t>
      </w:r>
      <w:proofErr w:type="spellEnd"/>
      <w:r w:rsidR="00A94139">
        <w:rPr>
          <w:rFonts w:cs="Times New Roman"/>
        </w:rPr>
        <w:t xml:space="preserve"> et al. 2019)</w:t>
      </w:r>
      <w:r w:rsidR="00C55516">
        <w:rPr>
          <w:rFonts w:cs="Times New Roman"/>
        </w:rPr>
        <w:t xml:space="preserve"> </w:t>
      </w:r>
      <w:r w:rsidR="00E4245F">
        <w:rPr>
          <w:rFonts w:cs="Times New Roman"/>
        </w:rPr>
        <w:t xml:space="preserve">that produce similar levels of yield, while reducing the probability of localized depletion. </w:t>
      </w:r>
      <w:r w:rsidR="006D58C2">
        <w:rPr>
          <w:rFonts w:cs="Times New Roman"/>
        </w:rPr>
        <w:t>Together, the combination of misaligning stock structure</w:t>
      </w:r>
      <w:r w:rsidR="00D45E25">
        <w:rPr>
          <w:rFonts w:cs="Times New Roman"/>
        </w:rPr>
        <w:t xml:space="preserve"> and ignoring cross-boundary movements (I really only focused on AK here for time, but these ideas can be extended if there is a substantial component that moves into Russian waters) will lead to: 1) an incorrect estimation of biomass</w:t>
      </w:r>
      <w:r w:rsidR="00F10FF1">
        <w:rPr>
          <w:rFonts w:cs="Times New Roman"/>
        </w:rPr>
        <w:t xml:space="preserve"> (via incorrect auditing </w:t>
      </w:r>
      <w:r w:rsidR="00754E44">
        <w:rPr>
          <w:rFonts w:cs="Times New Roman"/>
        </w:rPr>
        <w:t>of</w:t>
      </w:r>
      <w:r w:rsidR="00F10FF1">
        <w:rPr>
          <w:rFonts w:cs="Times New Roman"/>
        </w:rPr>
        <w:t xml:space="preserve"> fishing effects to the stock)</w:t>
      </w:r>
      <w:r w:rsidR="00D45E25">
        <w:rPr>
          <w:rFonts w:cs="Times New Roman"/>
        </w:rPr>
        <w:t xml:space="preserve">, 2) potential for localized stock depletion, 3) </w:t>
      </w:r>
      <w:r w:rsidR="00F10FF1">
        <w:rPr>
          <w:rFonts w:cs="Times New Roman"/>
        </w:rPr>
        <w:t>misperception of stock status</w:t>
      </w:r>
      <w:r w:rsidR="00754E44">
        <w:rPr>
          <w:rFonts w:cs="Times New Roman"/>
        </w:rPr>
        <w:t xml:space="preserve"> (i.e., stock moving outside of boundary can be incorrectly inferred as </w:t>
      </w:r>
      <w:r w:rsidR="007D17D3">
        <w:rPr>
          <w:rFonts w:cs="Times New Roman"/>
        </w:rPr>
        <w:t>reductions in biomass</w:t>
      </w:r>
      <w:r w:rsidR="00754E44">
        <w:rPr>
          <w:rFonts w:cs="Times New Roman"/>
        </w:rPr>
        <w:t>)</w:t>
      </w:r>
      <w:r w:rsidR="00F10FF1">
        <w:rPr>
          <w:rFonts w:cs="Times New Roman"/>
        </w:rPr>
        <w:t xml:space="preserve"> and masked localized depletion</w:t>
      </w:r>
      <w:r w:rsidR="008E4850">
        <w:rPr>
          <w:rFonts w:cs="Times New Roman"/>
        </w:rPr>
        <w:t xml:space="preserve"> (i.e., system spawning biomass is </w:t>
      </w:r>
      <w:r w:rsidR="00FA6AD0">
        <w:rPr>
          <w:rFonts w:cs="Times New Roman"/>
        </w:rPr>
        <w:t>stable, but small spawning populations are extirpated)</w:t>
      </w:r>
      <w:r w:rsidR="00F10FF1">
        <w:rPr>
          <w:rFonts w:cs="Times New Roman"/>
        </w:rPr>
        <w:t xml:space="preserve">, </w:t>
      </w:r>
      <w:r w:rsidR="00020A00">
        <w:rPr>
          <w:rFonts w:cs="Times New Roman"/>
        </w:rPr>
        <w:t xml:space="preserve">and </w:t>
      </w:r>
      <w:r w:rsidR="00F10FF1">
        <w:rPr>
          <w:rFonts w:cs="Times New Roman"/>
        </w:rPr>
        <w:t xml:space="preserve">4) the potential for over and </w:t>
      </w:r>
      <w:r w:rsidR="009C56AF">
        <w:rPr>
          <w:rFonts w:cs="Times New Roman"/>
        </w:rPr>
        <w:t xml:space="preserve">underutilization of the resource. </w:t>
      </w:r>
    </w:p>
    <w:p w14:paraId="385D8024" w14:textId="7C673ABF" w:rsidR="00570357" w:rsidRDefault="00DE7508" w:rsidP="00C272F9">
      <w:pPr>
        <w:pStyle w:val="Heading1"/>
      </w:pPr>
      <w:r>
        <w:t>Question 3</w:t>
      </w:r>
    </w:p>
    <w:p w14:paraId="6E8F334F" w14:textId="29DFA6D8" w:rsidR="00570357" w:rsidRDefault="00570357" w:rsidP="00570357">
      <w:r>
        <w:tab/>
        <w:t xml:space="preserve">There are several complications that may arise from amending the current </w:t>
      </w:r>
      <w:r w:rsidR="00E86745">
        <w:t>strategy</w:t>
      </w:r>
      <w:r>
        <w:t xml:space="preserve"> to the proposed biological structure. </w:t>
      </w:r>
      <w:r w:rsidR="00B73EB2">
        <w:t xml:space="preserve">Firstly, </w:t>
      </w:r>
      <w:r w:rsidR="00A65D9F">
        <w:t>revising the current p</w:t>
      </w:r>
      <w:r w:rsidR="009A4C99">
        <w:t xml:space="preserve">opulation structure and </w:t>
      </w:r>
      <w:r w:rsidR="00AB390B">
        <w:t>managing</w:t>
      </w:r>
      <w:r w:rsidR="009A4C99">
        <w:t xml:space="preserve"> it in the proposed fashion (i.e., accounting for movement dynamics and natal homing) will require vast amounts of data that may not necessarily </w:t>
      </w:r>
      <w:r w:rsidR="00C16146">
        <w:t xml:space="preserve">be feasible due to concerns with data limitations and model </w:t>
      </w:r>
      <w:r w:rsidR="00266340">
        <w:t>overparameterization</w:t>
      </w:r>
      <w:r w:rsidR="00C16146">
        <w:t xml:space="preserve"> and </w:t>
      </w:r>
      <w:r w:rsidR="00266340">
        <w:t>stability</w:t>
      </w:r>
      <w:r w:rsidR="00C16146">
        <w:t xml:space="preserve">. </w:t>
      </w:r>
      <w:r w:rsidR="00305027">
        <w:t xml:space="preserve">In particular, </w:t>
      </w:r>
      <w:r w:rsidR="00413F0E">
        <w:t xml:space="preserve">accounting for natal homing dynamics </w:t>
      </w:r>
      <w:r w:rsidR="00560F5F">
        <w:t xml:space="preserve">here </w:t>
      </w:r>
      <w:r w:rsidR="00505E32">
        <w:t xml:space="preserve">would require stock-specific information (i.e., population origin) </w:t>
      </w:r>
      <w:r w:rsidR="0049741A">
        <w:t>from mark-recapture data</w:t>
      </w:r>
      <w:r w:rsidR="00004FB4">
        <w:t xml:space="preserve"> (</w:t>
      </w:r>
      <w:r w:rsidR="00F66937">
        <w:t xml:space="preserve">e.g., </w:t>
      </w:r>
      <w:r w:rsidR="00004FB4">
        <w:t xml:space="preserve">utilizing </w:t>
      </w:r>
      <w:r w:rsidR="00227326">
        <w:t xml:space="preserve">some variation of the overlap model; </w:t>
      </w:r>
      <w:r w:rsidR="00565A9C">
        <w:fldChar w:fldCharType="begin"/>
      </w:r>
      <w:r w:rsidR="00565A9C">
        <w:instrText xml:space="preserve"> ADDIN ZOTERO_ITEM CSL_CITATION {"citationID":"iLp5A1lP","properties":{"formattedCitation":"(Vincent et al. 2017)","plainCitation":"(Vincent et al. 2017)","noteIndex":0},"citationItems":[{"id":22494,"uris":["http://zotero.org/users/6698527/items/XLWTD8ZT"],"itemData":{"id":22494,"type":"article-journal","abstract":"The inﬂuence of model complexity on integrated tagging and catch-at-age analysis (ITCAAN) parameter estimation is poorly understood for populations exhibiting natal homing. We investigated ITCAAN performance under varying levels of movement, degree of similarity in population productivities, data quality, spatial complexity in parameterization, and whether natural mortality and (or) reporting rates were ﬁxed at actual values, estimated, or misspeciﬁed. Dynamics of four populations with natal homing that intermixed during periods of harvest were simulated based on Lake Erie walleye (Sander vitreus). Our results suggest, when high-quality tagging data are available, ITCAAN models are able to simultaneously estimate movement rates, natural mortality, and tag reporting rates, though accuracy and precision of model estimates will decrease with greater model complexity and fewer tags released. Additionally, ITCAAN models may have difﬁculty estimating individual population abundances under certain movement rates when population productivities are vastly different. ITCAAN models that estimate natural mortality and reporting rates may perform best with similar sized populations and when data are available to assist the estimation of reporting rates.","container-title":"Canadian Journal of Fisheries and Aquatic Sciences","DOI":"10.1139/cjfas-2016-0297","ISSN":"0706-652X, 1205-7533","issue":"11","journalAbbreviation":"Can. J. Fish. Aquat. Sci.","language":"en","license":"http://www.nrcresearchpress.com/page/about/CorporateTextAndDataMining","page":"1930-1949","source":"DOI.org (Crossref)","title":"Simulation testing the robustness of a multiregion, tag-integrated assessment model that exhibits natal homing and estimates natural mortality and reporting rate","volume":"74","author":[{"family":"Vincent","given":"Matthew T."},{"family":"Brenden","given":"Travis O."},{"family":"Bence","given":"James R."}],"issued":{"date-parts":[["2017",11]]}}}],"schema":"https://github.com/citation-style-language/schema/raw/master/csl-citation.json"} </w:instrText>
      </w:r>
      <w:r w:rsidR="00565A9C">
        <w:fldChar w:fldCharType="separate"/>
      </w:r>
      <w:r w:rsidR="00565A9C">
        <w:rPr>
          <w:noProof/>
        </w:rPr>
        <w:t>Vincent et al. 2017)</w:t>
      </w:r>
      <w:r w:rsidR="00565A9C">
        <w:fldChar w:fldCharType="end"/>
      </w:r>
      <w:r w:rsidR="0049741A">
        <w:t xml:space="preserve">. </w:t>
      </w:r>
      <w:r w:rsidR="00266340">
        <w:t xml:space="preserve">Furthermore, </w:t>
      </w:r>
      <w:r w:rsidR="00D3421B">
        <w:t xml:space="preserve">potential difficulties in data collection </w:t>
      </w:r>
      <w:r w:rsidR="005646DE">
        <w:t>protocols</w:t>
      </w:r>
      <w:r w:rsidR="00D3421B">
        <w:t xml:space="preserve"> may arise from </w:t>
      </w:r>
      <w:r w:rsidR="00266340">
        <w:t>treating the GOA region as two separate stocks</w:t>
      </w:r>
      <w:r w:rsidR="005646DE">
        <w:t xml:space="preserve">. For example, </w:t>
      </w:r>
      <w:r w:rsidR="00771705">
        <w:t>if differential harvest</w:t>
      </w:r>
      <w:r w:rsidR="00837C9F">
        <w:t xml:space="preserve"> </w:t>
      </w:r>
      <w:r w:rsidR="00F35128">
        <w:t>pressure</w:t>
      </w:r>
      <w:r w:rsidR="00661E47">
        <w:t xml:space="preserve"> </w:t>
      </w:r>
      <w:r w:rsidR="004D26CE">
        <w:t>occur</w:t>
      </w:r>
      <w:r w:rsidR="006435C3">
        <w:t>s</w:t>
      </w:r>
      <w:r w:rsidR="00837C9F">
        <w:t xml:space="preserve"> (which it likely does) </w:t>
      </w:r>
      <w:r w:rsidR="00850B25">
        <w:t xml:space="preserve">between the EGOA and WGOA, </w:t>
      </w:r>
      <w:r w:rsidR="00443213">
        <w:t xml:space="preserve">sampling protocols will </w:t>
      </w:r>
      <w:r w:rsidR="00F35128">
        <w:t>dictate increased effort towards data collection for heavily harvested areas</w:t>
      </w:r>
      <w:r w:rsidR="003E1FF6">
        <w:t xml:space="preserve">, which may impede estimation of </w:t>
      </w:r>
      <w:r w:rsidR="008E4850">
        <w:t>spatially explicit</w:t>
      </w:r>
      <w:r w:rsidR="003E1FF6">
        <w:t xml:space="preserve"> parameters. </w:t>
      </w:r>
      <w:r w:rsidR="00EF63DB">
        <w:t xml:space="preserve">To support the proposed approach, more resources would need to be allocated towards sampling these 4 </w:t>
      </w:r>
      <w:r w:rsidR="00097BF3">
        <w:t xml:space="preserve">different stocks adequately. </w:t>
      </w:r>
    </w:p>
    <w:p w14:paraId="5FF2B12F" w14:textId="77777777" w:rsidR="003E1FF6" w:rsidRDefault="003E1FF6" w:rsidP="00570357"/>
    <w:p w14:paraId="737D19C7" w14:textId="07449E62" w:rsidR="003E1FF6" w:rsidRDefault="006831D3" w:rsidP="00570357">
      <w:r>
        <w:tab/>
        <w:t xml:space="preserve">Assuming that </w:t>
      </w:r>
      <w:r w:rsidR="003508CB">
        <w:t xml:space="preserve">the proposed strategy </w:t>
      </w:r>
      <w:r w:rsidR="00587BAD">
        <w:t xml:space="preserve">(i.e., spatial assessment) </w:t>
      </w:r>
      <w:r w:rsidR="003508CB">
        <w:t xml:space="preserve">and realignment of </w:t>
      </w:r>
      <w:r w:rsidR="00587BAD">
        <w:t>biological</w:t>
      </w:r>
      <w:r w:rsidR="003508CB">
        <w:t xml:space="preserve"> structure is feasible, </w:t>
      </w:r>
      <w:r w:rsidR="00803C8A">
        <w:t xml:space="preserve">there can be </w:t>
      </w:r>
      <w:r w:rsidR="00736FEE">
        <w:t>different</w:t>
      </w:r>
      <w:r w:rsidR="00803C8A">
        <w:t xml:space="preserve"> implications</w:t>
      </w:r>
      <w:r w:rsidR="00514730">
        <w:t xml:space="preserve"> </w:t>
      </w:r>
      <w:r w:rsidR="00B34292">
        <w:t>pertaining</w:t>
      </w:r>
      <w:r w:rsidR="00514730">
        <w:t xml:space="preserve"> to harvest quotas. </w:t>
      </w:r>
      <w:r w:rsidR="004279A7">
        <w:t xml:space="preserve">In particular, if certain stock components </w:t>
      </w:r>
      <w:r w:rsidR="004958CA">
        <w:t>have small population sizes</w:t>
      </w:r>
      <w:r w:rsidR="00BE3C62">
        <w:t xml:space="preserve"> and receive substantial</w:t>
      </w:r>
      <w:r w:rsidR="007758A5">
        <w:t xml:space="preserve"> subsidies from other stocks due to </w:t>
      </w:r>
      <w:r w:rsidR="00062E44">
        <w:t xml:space="preserve">mixing, </w:t>
      </w:r>
      <w:r w:rsidR="00AE65EA">
        <w:t>there is</w:t>
      </w:r>
      <w:r w:rsidR="00282E8F">
        <w:t xml:space="preserve"> potential for </w:t>
      </w:r>
      <w:r w:rsidR="00143430">
        <w:t xml:space="preserve">management </w:t>
      </w:r>
      <w:r w:rsidR="00C02420">
        <w:t xml:space="preserve">advice that suggests minimal fishing effort towards stocks providing </w:t>
      </w:r>
      <w:r w:rsidR="00282E8F">
        <w:t>the subsidy</w:t>
      </w:r>
      <w:r w:rsidR="005D7C80">
        <w:t xml:space="preserve">, </w:t>
      </w:r>
      <w:r w:rsidR="001D557F">
        <w:t xml:space="preserve">while </w:t>
      </w:r>
      <w:r w:rsidR="00E1362A">
        <w:t>allowing for high fishing mortality to the</w:t>
      </w:r>
      <w:r w:rsidR="000D76D1">
        <w:t xml:space="preserve"> receiving stock</w:t>
      </w:r>
      <w:r w:rsidR="00E1362A">
        <w:t xml:space="preserve"> </w:t>
      </w:r>
      <w:r w:rsidR="00CF2F36">
        <w:fldChar w:fldCharType="begin"/>
      </w:r>
      <w:r w:rsidR="00CF2F36">
        <w:instrText xml:space="preserve"> ADDIN ZOTERO_ITEM CSL_CITATION {"citationID":"yyxhWC9t","properties":{"formattedCitation":"(Goethel and Berger 2017; Bosley et al. 2019)","plainCitation":"(Goethel and Berger 2017; Bosley et al. 2019)","noteIndex":0},"citationItems":[{"id":2694,"uris":["http://zotero.org/users/6698527/items/GCW6YQNS"],"itemData":{"id":2694,"type":"article-journal","abstract":"Misidentifying spatial population structure may result in harvest levels that are unable to achieve management goals. We developed a spatially explicit simulation model to determine how biological reference points differ among common population structures and to investigate the performance of management quantities that were calculated assuming incorrect spatial population dynamics. Simulated reference points were compared across a range of population structures and connectivity scenarios demonstrating the inﬂuence of spatial assumptions on management benchmarks. Simulations also illustrated that applying a harvest level based on misdiagnosed spatial structure leads to biased stock status indicators, overharvesting, or foregone yield. Across the scenarios examined, incorrectly specifying the connectivity dynamics (particularly misdiagnosing source–sink dynamics) was often more detrimental than ignoring spatial structure altogether. However, when the true dynamics exhibited spatial structure, incorrectly assuming panmictic structure resulted in severe depletion if harvesting concentrated on more productive population units (instead of being homogeneously distributed). Incorporating spatially generalized operating models, such as the one developed here, into management strategy evaluations will help develop management procedures that are more robust to spatial complexities.","container-title":"Canadian Journal of Fisheries and Aquatic Sciences","DOI":"10.1139/cjfas-2016-0290","ISSN":"0706-652X, 1205-7533","issue":"11","journalAbbreviation":"Can. J. Fish. Aquat. Sci.","language":"en","page":"1878-1894","source":"DOI.org (Crossref)","title":"Accounting for spatial complexities in the calculation of biological reference points: effects of misdiagnosing population structure for stock status indicators","title-short":"Accounting for spatial complexities in the calculation of biological reference points","volume":"74","author":[{"family":"Goethel","given":"Daniel R."},{"family":"Berger","given":"Aaron M."}],"issued":{"date-parts":[["2017",11]]}}},{"id":3059,"uris":["http://zotero.org/users/6698527/items/7UTQB54A"],"itemData":{"id":3059,"type":"article-journal","abstract":"Ignoring spatial population structure in the development of ﬁsheries management advice can a</w:instrText>
      </w:r>
      <w:r w:rsidR="00CF2F36">
        <w:rPr>
          <w:rFonts w:ascii="Cambria Math" w:hAnsi="Cambria Math" w:cs="Cambria Math"/>
        </w:rPr>
        <w:instrText>ﬀ</w:instrText>
      </w:r>
      <w:r w:rsidR="00CF2F36">
        <w:instrText>ect population resilience and yield. However, the resources required to develop spatial stock assessment models that match the spatial scale of management are often unavailable. As a result, quota recommendations from spatially aggregated assessment models are commonly divided among management areas based on empirical methods. We developed a spatially explicit simulation model to 1) explore how variation in population structure inﬂuences the spatial distribution of harvest that produces maximum system yield, and 2) contrast the performance of empirical quota allocation methods in approximating ideal spatial harvest strategies. Spatial scenarios that included post-recruitment movement resulted in a broader range of spatial management options (e.g., setting regional total allowable catch) that achieved near maximum system yield compared to scenarios without movement. Stochastic projections showed that using the proportion of total survey biomass in each management area to spatially allocate quota performed best for maximizing system yield when the true spatial structure was unknown, considerably outperforming equal allocation and allocation based on a recruitment index. However, with all methods, area-speciﬁc harvest rates sometimes led to unintended depletion within management units. Improved data and understanding of spatial stock dynamics can reduce the need for ad hoc approaches for spatial harvest allocation, allow for a greater range of management options, and increase the e</w:instrText>
      </w:r>
      <w:r w:rsidR="00CF2F36">
        <w:rPr>
          <w:rFonts w:ascii="Cambria Math" w:hAnsi="Cambria Math" w:cs="Cambria Math"/>
        </w:rPr>
        <w:instrText>ﬃ</w:instrText>
      </w:r>
      <w:r w:rsidR="00CF2F36">
        <w:instrText xml:space="preserve">cacy of spatial management procedures.","container-title":"Fisheries Research","DOI":"10.1016/j.fishres.2019.105344","ISSN":"01657836","journalAbbreviation":"Fisheries Research","language":"en","page":"105344","source":"DOI.org (Crossref)","title":"Overcoming challenges of harvest quota allocation in spatially structured populations","volume":"220","author":[{"family":"Bosley","given":"Katelyn M."},{"family":"Goethel","given":"Daniel R."},{"family":"Berger","given":"Aaron M."},{"family":"Deroba","given":"Jonathan J."},{"family":"Fenske","given":"Kari H."},{"family":"Hanselman","given":"Dana H."},{"family":"Langseth","given":"Brian J."},{"family":"Schueller","given":"Amy M."}],"issued":{"date-parts":[["2019",12]]}}}],"schema":"https://github.com/citation-style-language/schema/raw/master/csl-citation.json"} </w:instrText>
      </w:r>
      <w:r w:rsidR="00CF2F36">
        <w:fldChar w:fldCharType="separate"/>
      </w:r>
      <w:r w:rsidR="00CF2F36">
        <w:rPr>
          <w:noProof/>
        </w:rPr>
        <w:t>(Goethel and Berger 2017; Bosley et al. 2019)</w:t>
      </w:r>
      <w:r w:rsidR="00CF2F36">
        <w:fldChar w:fldCharType="end"/>
      </w:r>
      <w:r w:rsidR="00CF2F36">
        <w:t xml:space="preserve">. This </w:t>
      </w:r>
      <w:r w:rsidR="002C1AFC">
        <w:t>has the potential to result</w:t>
      </w:r>
      <w:r w:rsidR="00CF2F36">
        <w:t xml:space="preserve"> in a substantial displacement of fishing effort</w:t>
      </w:r>
      <w:r w:rsidR="00936C68">
        <w:t xml:space="preserve"> </w:t>
      </w:r>
      <w:r w:rsidR="005359D0">
        <w:t xml:space="preserve">and inequitable fishery outcomes </w:t>
      </w:r>
      <w:r w:rsidR="00936C68">
        <w:t>(i.e., harvesters may have to travel much further from port to be able to fish</w:t>
      </w:r>
      <w:r w:rsidR="00ED2E22">
        <w:t>) and</w:t>
      </w:r>
      <w:r w:rsidR="0064027D">
        <w:t xml:space="preserve"> is </w:t>
      </w:r>
      <w:r w:rsidR="0046168F">
        <w:t xml:space="preserve">generally </w:t>
      </w:r>
      <w:r w:rsidR="0064027D">
        <w:t>inconsistent with how management and fisheries operate</w:t>
      </w:r>
      <w:r w:rsidR="001A5B99">
        <w:t xml:space="preserve">. </w:t>
      </w:r>
      <w:r w:rsidR="003F10D4">
        <w:t>I recognize that</w:t>
      </w:r>
      <w:r w:rsidR="00BD2063">
        <w:t xml:space="preserve"> the current proposed </w:t>
      </w:r>
      <w:r w:rsidR="003F10D4">
        <w:t>realignment</w:t>
      </w:r>
      <w:r w:rsidR="00114C17">
        <w:t xml:space="preserve"> of boundaries </w:t>
      </w:r>
      <w:r w:rsidR="007C6720">
        <w:t xml:space="preserve">generally </w:t>
      </w:r>
      <w:r w:rsidR="00261395">
        <w:t>refers</w:t>
      </w:r>
      <w:r w:rsidR="007C6720">
        <w:t xml:space="preserve"> to Alaska as a whole.</w:t>
      </w:r>
      <w:r w:rsidR="003F26C5">
        <w:t xml:space="preserve"> To cover my bases, i</w:t>
      </w:r>
      <w:r w:rsidR="00455FDA">
        <w:t xml:space="preserve">f boundaries were to be delineated between </w:t>
      </w:r>
      <w:r w:rsidR="009D3C5A">
        <w:t>Japa</w:t>
      </w:r>
      <w:r w:rsidR="00430D4D">
        <w:t>n</w:t>
      </w:r>
      <w:r w:rsidR="009D3C5A">
        <w:t xml:space="preserve">, </w:t>
      </w:r>
      <w:r w:rsidR="00455FDA">
        <w:t>Russia,</w:t>
      </w:r>
      <w:r w:rsidR="00306EFC">
        <w:t xml:space="preserve"> Alaska,</w:t>
      </w:r>
      <w:r w:rsidR="00455FDA">
        <w:t xml:space="preserve"> British Columbia, and coastal Washington</w:t>
      </w:r>
      <w:r w:rsidR="003426BE">
        <w:t xml:space="preserve"> as a whole</w:t>
      </w:r>
      <w:r w:rsidR="005133DD">
        <w:t xml:space="preserve"> (i.e., implications on an international scale), </w:t>
      </w:r>
      <w:r w:rsidR="0036112D">
        <w:t xml:space="preserve">the </w:t>
      </w:r>
      <w:r w:rsidR="00C52071">
        <w:t>impacts</w:t>
      </w:r>
      <w:r w:rsidR="0036112D">
        <w:t xml:space="preserve"> discussed above would likely result</w:t>
      </w:r>
      <w:r w:rsidR="005A46FB">
        <w:t xml:space="preserve"> (no harvest in certain regions)</w:t>
      </w:r>
      <w:r w:rsidR="0036112D">
        <w:t xml:space="preserve"> in </w:t>
      </w:r>
      <w:r w:rsidR="00E90B47">
        <w:t xml:space="preserve">substantial </w:t>
      </w:r>
      <w:r w:rsidR="00261395">
        <w:t>political</w:t>
      </w:r>
      <w:r w:rsidR="00E90B47">
        <w:t xml:space="preserve"> tension, and </w:t>
      </w:r>
      <w:r w:rsidR="00420A2C">
        <w:t>potentially</w:t>
      </w:r>
      <w:r w:rsidR="00E90B47">
        <w:t xml:space="preserve">… </w:t>
      </w:r>
      <w:r w:rsidR="00D8716F">
        <w:t>World War III</w:t>
      </w:r>
      <w:r w:rsidR="00A8582B">
        <w:t xml:space="preserve"> </w:t>
      </w:r>
      <w:r w:rsidR="007C7322">
        <w:t>given the</w:t>
      </w:r>
      <w:r w:rsidR="00B31EDC">
        <w:t xml:space="preserve"> </w:t>
      </w:r>
      <w:r w:rsidR="00A8582B">
        <w:t xml:space="preserve">current </w:t>
      </w:r>
      <w:r w:rsidR="00902293">
        <w:t>political</w:t>
      </w:r>
      <w:r w:rsidR="00A8582B">
        <w:t xml:space="preserve"> climate</w:t>
      </w:r>
      <w:r w:rsidR="00294606">
        <w:t xml:space="preserve"> (I would have to fight for America!)</w:t>
      </w:r>
      <w:r w:rsidR="00A8582B">
        <w:t xml:space="preserve">. </w:t>
      </w:r>
    </w:p>
    <w:p w14:paraId="1107A88D" w14:textId="77777777" w:rsidR="004279A7" w:rsidRDefault="004279A7" w:rsidP="00570357"/>
    <w:p w14:paraId="23DF1E0E" w14:textId="22F6EB40" w:rsidR="0023729E" w:rsidRDefault="0069754C" w:rsidP="00570357">
      <w:r w:rsidRPr="00EA733C">
        <w:lastRenderedPageBreak/>
        <w:tab/>
      </w:r>
      <w:r w:rsidR="0056611D" w:rsidRPr="00EA733C">
        <w:t xml:space="preserve">Considering </w:t>
      </w:r>
      <w:r w:rsidRPr="00EA733C">
        <w:t xml:space="preserve">current management constraints, several </w:t>
      </w:r>
      <w:r w:rsidR="003E77AE" w:rsidRPr="00EA733C">
        <w:t xml:space="preserve">approaches can be implemented to ensure population </w:t>
      </w:r>
      <w:r w:rsidR="009924E5" w:rsidRPr="00EA733C">
        <w:t>resilience</w:t>
      </w:r>
      <w:r w:rsidR="003E77AE" w:rsidRPr="00EA733C">
        <w:t xml:space="preserve">, while still maintaining </w:t>
      </w:r>
      <w:r w:rsidR="009924E5" w:rsidRPr="00EA733C">
        <w:t xml:space="preserve">equitable fishery outcomes. Firstly, it is possible that the current </w:t>
      </w:r>
      <w:r w:rsidR="005D506F" w:rsidRPr="00EA733C">
        <w:t>methods for allocating catches to different regions/stocks are appropriate</w:t>
      </w:r>
      <w:r w:rsidR="006F2F21" w:rsidRPr="00EA733C">
        <w:t xml:space="preserve"> (i.e., catch-cascading; </w:t>
      </w:r>
      <w:r w:rsidR="00B907DB" w:rsidRPr="00EA733C">
        <w:fldChar w:fldCharType="begin"/>
      </w:r>
      <w:r w:rsidR="00B907DB" w:rsidRPr="00EA733C">
        <w:instrText xml:space="preserve"> ADDIN ZOTERO_ITEM CSL_CITATION {"citationID":"IbXPb5ay","properties":{"formattedCitation":"(Spies et al. 2015)","plainCitation":"(Spies et al. 2015)","noteIndex":0},"citationItems":[{"id":14461,"uris":["http://zotero.org/users/6698527/items/5DHVDZ56"],"itemData":{"id":14461,"type":"article-journal","abstract":"There is no established management protocol for stocks subject to isolation-by-distance (IBD) stock structure. This study examines several management strategies for two marine ﬁsh species subject to IBD using simulation: Paciﬁc cod (Gadus macrocephalus) in the Aleutian Islands (AI) and northern rockﬁsh (Sebastes polyspinis) in the Eastern Bering Sea (EBS) and AI. A one-dimensional stepping stone model was used to model IBD and was intended to mimic regions where marine species are exploited along a continental shelf. The performance of spatial assessment and management methods depended on how the range was split. Splitting anywhere within the managed area led to fewer demes falling below target and threshold biomass levels and higher yield than managing the entire area as a single unit. Equilibrium yield was maximized when each deme was assessed and managed separately and under catch cascading, in which harvest quotas within a management unit are spatially allocated based upon the distribution of survey biomass. The longer-lived rockﬁsh declined more slowly than Paciﬁc cod and experienced greater depletion in biomass under disproportionate ﬁshing effort because of lower productivity. Overall, splitting a management area of the size simulated in the model improved performance measures, and the optimal management strategy grouped management units by demes with similar relative ﬁshing effort.","container-title":"Canadian Journal of Fisheries and Aquatic Sciences","DOI":"10.1139/cjfas-2014-0366","ISSN":"0706-652X, 1205-7533","issue":"7","journalAbbreviation":"Can. J. Fish. Aquat. Sci.","language":"en","page":"968-982","source":"DOI.org (Crossref)","title":"Where do we draw the line? A simulation approach for evaluating management of marine fish stocks with isolation-by-distance stock structure","title-short":"Where do we draw the line?","volume":"72","author":[{"family":"Spies","given":"Ingrid"},{"family":"Spencer","given":"Paul D."},{"family":"Punt","given":"André E."}],"editor":[{"family":"Krkošek","given":"Martin"}],"issued":{"date-parts":[["2015",7]]}}}],"schema":"https://github.com/citation-style-language/schema/raw/master/csl-citation.json"} </w:instrText>
      </w:r>
      <w:r w:rsidR="00B907DB" w:rsidRPr="00EA733C">
        <w:fldChar w:fldCharType="separate"/>
      </w:r>
      <w:r w:rsidR="00B907DB" w:rsidRPr="00EA733C">
        <w:rPr>
          <w:noProof/>
        </w:rPr>
        <w:t>Spies et al. 2015)</w:t>
      </w:r>
      <w:r w:rsidR="00B907DB" w:rsidRPr="00EA733C">
        <w:fldChar w:fldCharType="end"/>
      </w:r>
      <w:r w:rsidR="005D506F" w:rsidRPr="00EA733C">
        <w:t xml:space="preserve">. </w:t>
      </w:r>
      <w:r w:rsidR="002306A5" w:rsidRPr="00EA733C">
        <w:t xml:space="preserve">However, instead of </w:t>
      </w:r>
      <w:r w:rsidR="007A29AA" w:rsidRPr="00EA733C">
        <w:t>simply utilizing the survey index to allocate catches, it may be</w:t>
      </w:r>
      <w:r w:rsidR="004273B4" w:rsidRPr="00EA733C">
        <w:t xml:space="preserve"> more appropriate to allocate catches utilizing </w:t>
      </w:r>
      <w:r w:rsidR="007A671C" w:rsidRPr="00EA733C">
        <w:t>data</w:t>
      </w:r>
      <w:r w:rsidR="004273B4" w:rsidRPr="00EA733C">
        <w:t xml:space="preserve"> from the fishery during the winter, which may better reflect differences in spawning components. </w:t>
      </w:r>
      <w:r w:rsidR="00AB55B6" w:rsidRPr="00EA733C">
        <w:t>Alternative</w:t>
      </w:r>
      <w:r w:rsidR="004273B4" w:rsidRPr="00EA733C">
        <w:t xml:space="preserve"> approaches could </w:t>
      </w:r>
      <w:r w:rsidR="00FC061C" w:rsidRPr="00EA733C">
        <w:t>consider</w:t>
      </w:r>
      <w:r w:rsidR="00AB55B6" w:rsidRPr="00EA733C">
        <w:t xml:space="preserve"> combining both fishery-independent and dependent data to </w:t>
      </w:r>
      <w:r w:rsidR="00FC061C" w:rsidRPr="00EA733C">
        <w:t>develop</w:t>
      </w:r>
      <w:r w:rsidR="00AB55B6" w:rsidRPr="00EA733C">
        <w:t xml:space="preserve"> a more representative index of </w:t>
      </w:r>
      <w:r w:rsidR="0079129D" w:rsidRPr="00EA733C">
        <w:t xml:space="preserve">stock-specific </w:t>
      </w:r>
      <w:r w:rsidR="00AB55B6" w:rsidRPr="00EA733C">
        <w:t>biomass</w:t>
      </w:r>
      <w:r w:rsidR="00F15715" w:rsidRPr="00EA733C">
        <w:t xml:space="preserve">, although there are other complications </w:t>
      </w:r>
      <w:r w:rsidR="00A7279C" w:rsidRPr="00EA733C">
        <w:t xml:space="preserve">that need to be considered there. </w:t>
      </w:r>
      <w:r w:rsidR="0072540E" w:rsidRPr="00EA733C">
        <w:t xml:space="preserve"> </w:t>
      </w:r>
      <w:r w:rsidR="0050043A" w:rsidRPr="00EA733C">
        <w:t xml:space="preserve">In addition to </w:t>
      </w:r>
      <w:r w:rsidR="00461E49" w:rsidRPr="00EA733C">
        <w:t xml:space="preserve">catch </w:t>
      </w:r>
      <w:r w:rsidR="0050043A" w:rsidRPr="00EA733C">
        <w:t xml:space="preserve">allocation-methods, </w:t>
      </w:r>
      <w:r w:rsidR="00BD39D0" w:rsidRPr="00EA733C">
        <w:t xml:space="preserve">utilizing strategies that protect the weakest component of the stock from fishing </w:t>
      </w:r>
      <w:r w:rsidR="00820DA1" w:rsidRPr="00EA733C">
        <w:t xml:space="preserve">could also be employed, </w:t>
      </w:r>
      <w:r w:rsidR="006143B0" w:rsidRPr="00EA733C">
        <w:t xml:space="preserve">but has the potential to result in underutilization of yield as well as </w:t>
      </w:r>
      <w:r w:rsidR="00160867" w:rsidRPr="00EA733C">
        <w:t>unnecessary</w:t>
      </w:r>
      <w:r w:rsidR="006143B0" w:rsidRPr="00EA733C">
        <w:t xml:space="preserve"> fishing effort being imposed upon populations that are more productive </w:t>
      </w:r>
      <w:r w:rsidR="00BD39D0" w:rsidRPr="00EA733C">
        <w:t xml:space="preserve"> </w:t>
      </w:r>
      <w:r w:rsidR="00F4148F" w:rsidRPr="00EA733C">
        <w:fldChar w:fldCharType="begin"/>
      </w:r>
      <w:r w:rsidR="00F4148F" w:rsidRPr="00EA733C">
        <w:instrText xml:space="preserve"> ADDIN ZOTERO_ITEM CSL_CITATION {"citationID":"vt4Ae9mC","properties":{"formattedCitation":"(Kerr et al. 2014)","plainCitation":"(Kerr et al. 2014)","noteIndex":0},"citationItems":[{"id":2698,"uris":["http://zotero.org/users/6698527/items/XE96G6WV"],"itemData":{"id":2698,"type":"article-journal","abstract":"A mismatch between the scale of ﬁshery management units and biological population structure can potentially result in a misperception of the productivity and sustainable yield of ﬁsh stocks. We used simulation modelling as a tool to compare the perception of productivity, stability, and sustainability of Atlantic cod (Gadus morhua) off New England from an operating model based on the current US management units to a model that more closely reﬂects the biological complexity of the resource. Two age-structured models were compared: (i) the management unit model, wherein cod were grouped based on the current spatially deﬁned US management areas (Gulf of Maine and Georges Bank), and (ii) the biological unit model, consisting of three genetically deﬁned population components (northern spring spawning, southern winter/spring spawning, and eastern Georges Bank spring-spawning groups). Overall, the regional productivity and maximum sustainable yield of the biological unit model was lower compared with the management unit model. The biological unit model also provided insights on the distribution of productivity in the region, with southern and northern spawning groups being the dominant contributors to the regional spawning–stock biomass and yield and the eastern Georges Bank spawning group being the minority contributor at low to intermediate levels of ﬁshing mortality. The comparison of models revealed that the perception of Atlantic cod derived from the management unit model was of a resource that is more resilient to ﬁshing mortality and not as susceptible to “collapse” as indicated by the biological unit model. For Atlantic cod, one of the main risks of ignoring population structure appears the potential for overexploitation of segments of the population. Consideration of population structure of cod changed our perception of the magnitude and distribution of productivity in the region, suggesting that expectations of sustainable yield of cod in US waters should be reconsidered.","container-title":"ICES Journal of Marine Science","DOI":"10.1093/icesjms/fsu113","ISSN":"1054-3139, 1095-9289","issue":"6","language":"en","page":"1366-1381","source":"DOI.org (Crossref)","title":"Consequences of a mismatch between biological and management units on our perception of Atlantic cod off New England","volume":"71","author":[{"family":"Kerr","given":"Lisa A."},{"family":"Cadrin","given":"Steven X."},{"family":"Kovach","given":"Adrienne I."}],"issued":{"date-parts":[["2014",9,1]]}}}],"schema":"https://github.com/citation-style-language/schema/raw/master/csl-citation.json"} </w:instrText>
      </w:r>
      <w:r w:rsidR="00F4148F" w:rsidRPr="00EA733C">
        <w:fldChar w:fldCharType="separate"/>
      </w:r>
      <w:r w:rsidR="00F4148F" w:rsidRPr="00EA733C">
        <w:rPr>
          <w:noProof/>
        </w:rPr>
        <w:t>(Kerr et al. 2014)</w:t>
      </w:r>
      <w:r w:rsidR="00F4148F" w:rsidRPr="00EA733C">
        <w:fldChar w:fldCharType="end"/>
      </w:r>
      <w:r w:rsidR="00F4148F" w:rsidRPr="00EA733C">
        <w:t xml:space="preserve">. </w:t>
      </w:r>
      <w:r w:rsidR="00007193" w:rsidRPr="00EA733C">
        <w:t xml:space="preserve">The use of spatial and/or temporal closures could also be utilized to displace fishing effort and protect spawning </w:t>
      </w:r>
      <w:r w:rsidR="00D546A6" w:rsidRPr="00EA733C">
        <w:t xml:space="preserve">contingents, which would not require the use of a fully </w:t>
      </w:r>
      <w:r w:rsidR="00C3499E" w:rsidRPr="00EA733C">
        <w:t>spatially explicit</w:t>
      </w:r>
      <w:r w:rsidR="00D546A6" w:rsidRPr="00EA733C">
        <w:t xml:space="preserve"> assessment procedure. </w:t>
      </w:r>
      <w:r w:rsidR="00BF2C63" w:rsidRPr="00EA733C">
        <w:t xml:space="preserve"> </w:t>
      </w:r>
      <w:r w:rsidR="00E80E82" w:rsidRPr="00EA733C">
        <w:t xml:space="preserve">Furthermore, </w:t>
      </w:r>
      <w:r w:rsidR="00A80183" w:rsidRPr="00EA733C">
        <w:t xml:space="preserve">alternative approaches that could also be considered include </w:t>
      </w:r>
      <w:r w:rsidR="009524C5" w:rsidRPr="00EA733C">
        <w:t>managing</w:t>
      </w:r>
      <w:r w:rsidR="00A80183" w:rsidRPr="00EA733C">
        <w:t xml:space="preserve"> high fishing effort areas </w:t>
      </w:r>
      <w:r w:rsidR="009524C5" w:rsidRPr="00EA733C">
        <w:t>separate</w:t>
      </w:r>
      <w:r w:rsidR="00A80183" w:rsidRPr="00EA733C">
        <w:t xml:space="preserve"> from lower fishing effort areas. </w:t>
      </w:r>
      <w:r w:rsidR="00880DE7" w:rsidRPr="00EA733C">
        <w:t xml:space="preserve">In particular, some studies have found that this strategy can be useful </w:t>
      </w:r>
      <w:r w:rsidR="00471458" w:rsidRPr="00EA733C">
        <w:t>for</w:t>
      </w:r>
      <w:r w:rsidR="00880DE7" w:rsidRPr="00EA733C">
        <w:t xml:space="preserve"> </w:t>
      </w:r>
      <w:r w:rsidR="00340DF5" w:rsidRPr="00EA733C">
        <w:t>reducing</w:t>
      </w:r>
      <w:r w:rsidR="00880DE7" w:rsidRPr="00EA733C">
        <w:t xml:space="preserve"> the probability of stock overexploitation</w:t>
      </w:r>
      <w:r w:rsidR="00B2053E" w:rsidRPr="00EA733C">
        <w:t xml:space="preserve">, when compared to an approach that </w:t>
      </w:r>
      <w:r w:rsidR="002C3B01" w:rsidRPr="00EA733C">
        <w:t xml:space="preserve">manages both high and low fishing effort regions as a single </w:t>
      </w:r>
      <w:r w:rsidR="003A6277" w:rsidRPr="00EA733C">
        <w:t>unit</w:t>
      </w:r>
      <w:r w:rsidR="00EB7E7E" w:rsidRPr="00EA733C">
        <w:t xml:space="preserve">, because the latter </w:t>
      </w:r>
      <w:r w:rsidR="00F9734C" w:rsidRPr="00EA733C">
        <w:t>approach masks the potential for localized depletion</w:t>
      </w:r>
      <w:r w:rsidR="001623C0" w:rsidRPr="00EA733C">
        <w:t xml:space="preserve"> </w:t>
      </w:r>
      <w:r w:rsidR="003A6277" w:rsidRPr="00EA733C">
        <w:t xml:space="preserve"> </w:t>
      </w:r>
      <w:r w:rsidR="00EB7E7E" w:rsidRPr="00EA733C">
        <w:fldChar w:fldCharType="begin"/>
      </w:r>
      <w:r w:rsidR="00EB7E7E" w:rsidRPr="00EA733C">
        <w:instrText xml:space="preserve"> ADDIN ZOTERO_ITEM CSL_CITATION {"citationID":"jETtz2rF","properties":{"formattedCitation":"(Spies et al. 2015)","plainCitation":"(Spies et al. 2015)","noteIndex":0},"citationItems":[{"id":14461,"uris":["http://zotero.org/users/6698527/items/5DHVDZ56"],"itemData":{"id":14461,"type":"article-journal","abstract":"There is no established management protocol for stocks subject to isolation-by-distance (IBD) stock structure. This study examines several management strategies for two marine ﬁsh species subject to IBD using simulation: Paciﬁc cod (Gadus macrocephalus) in the Aleutian Islands (AI) and northern rockﬁsh (Sebastes polyspinis) in the Eastern Bering Sea (EBS) and AI. A one-dimensional stepping stone model was used to model IBD and was intended to mimic regions where marine species are exploited along a continental shelf. The performance of spatial assessment and management methods depended on how the range was split. Splitting anywhere within the managed area led to fewer demes falling below target and threshold biomass levels and higher yield than managing the entire area as a single unit. Equilibrium yield was maximized when each deme was assessed and managed separately and under catch cascading, in which harvest quotas within a management unit are spatially allocated based upon the distribution of survey biomass. The longer-lived rockﬁsh declined more slowly than Paciﬁc cod and experienced greater depletion in biomass under disproportionate ﬁshing effort because of lower productivity. Overall, splitting a management area of the size simulated in the model improved performance measures, and the optimal management strategy grouped management units by demes with similar relative ﬁshing effort.","container-title":"Canadian Journal of Fisheries and Aquatic Sciences","DOI":"10.1139/cjfas-2014-0366","ISSN":"0706-652X, 1205-7533","issue":"7","journalAbbreviation":"Can. J. Fish. Aquat. Sci.","language":"en","page":"968-982","source":"DOI.org (Crossref)","title":"Where do we draw the line? A simulation approach for evaluating management of marine fish stocks with isolation-by-distance stock structure","title-short":"Where do we draw the line?","volume":"72","author":[{"family":"Spies","given":"Ingrid"},{"family":"Spencer","given":"Paul D."},{"family":"Punt","given":"André E."}],"editor":[{"family":"Krkošek","given":"Martin"}],"issued":{"date-parts":[["2015",7]]}}}],"schema":"https://github.com/citation-style-language/schema/raw/master/csl-citation.json"} </w:instrText>
      </w:r>
      <w:r w:rsidR="00EB7E7E" w:rsidRPr="00EA733C">
        <w:fldChar w:fldCharType="separate"/>
      </w:r>
      <w:r w:rsidR="00EB7E7E" w:rsidRPr="00EA733C">
        <w:rPr>
          <w:noProof/>
        </w:rPr>
        <w:t>(Spies et al. 2015)</w:t>
      </w:r>
      <w:r w:rsidR="00EB7E7E" w:rsidRPr="00EA733C">
        <w:fldChar w:fldCharType="end"/>
      </w:r>
      <w:r w:rsidR="008F7E53" w:rsidRPr="00EA733C">
        <w:t xml:space="preserve">. </w:t>
      </w:r>
      <w:r w:rsidR="00C46F7D" w:rsidRPr="00EA733C">
        <w:t xml:space="preserve">Lastly, </w:t>
      </w:r>
      <w:r w:rsidR="003C30F2" w:rsidRPr="00EA733C">
        <w:t xml:space="preserve">management approaches could also utilize empirical reference points </w:t>
      </w:r>
      <w:r w:rsidR="00ED7229" w:rsidRPr="00EA733C">
        <w:t xml:space="preserve">to </w:t>
      </w:r>
      <w:r w:rsidR="00D30593" w:rsidRPr="00EA733C">
        <w:t xml:space="preserve">protect biocomplexity and resilience. Specifically, </w:t>
      </w:r>
      <w:r w:rsidR="00F24E93" w:rsidRPr="00EA733C">
        <w:t>indices</w:t>
      </w:r>
      <w:r w:rsidR="00D30593" w:rsidRPr="00EA733C">
        <w:t xml:space="preserve"> such as the Highest Density Area (HDA) </w:t>
      </w:r>
      <w:r w:rsidR="00C31F21" w:rsidRPr="00EA733C">
        <w:t xml:space="preserve">reference point </w:t>
      </w:r>
      <w:r w:rsidR="005D3F17">
        <w:t xml:space="preserve">have been demonstrated to </w:t>
      </w:r>
      <w:r w:rsidR="00C4439B">
        <w:t>exhibit</w:t>
      </w:r>
      <w:r w:rsidR="005A16F0">
        <w:t xml:space="preserve"> a concave relationship with spawning </w:t>
      </w:r>
      <w:proofErr w:type="gramStart"/>
      <w:r w:rsidR="005A16F0">
        <w:t>biomass, and</w:t>
      </w:r>
      <w:proofErr w:type="gramEnd"/>
      <w:r w:rsidR="005A16F0">
        <w:t xml:space="preserve"> seeks to reflect the erosion of spatial structure (density hotspots)</w:t>
      </w:r>
      <w:r w:rsidR="00C4439B">
        <w:t xml:space="preserve">. </w:t>
      </w:r>
      <w:r w:rsidR="00185059">
        <w:t xml:space="preserve">These empirical reference points can readily be incorporated as limit or target reference points within </w:t>
      </w:r>
      <w:r w:rsidR="001E4B4E">
        <w:t xml:space="preserve">harvest control rules commonly utilized, and could also be a promising approach to address concerns with population structure </w:t>
      </w:r>
      <w:r w:rsidR="00185059">
        <w:t xml:space="preserve"> </w:t>
      </w:r>
      <w:r w:rsidR="00556BD4">
        <w:fldChar w:fldCharType="begin"/>
      </w:r>
      <w:r w:rsidR="00556BD4">
        <w:instrText xml:space="preserve"> ADDIN ZOTERO_ITEM CSL_CITATION {"citationID":"62SypW4P","properties":{"formattedCitation":"(Reuchlin-Hugenholtz et al. 2016)","plainCitation":"(Reuchlin-Hugenholtz et al. 2016)","noteIndex":0},"citationItems":[{"id":15086,"uris":["http://zotero.org/users/6698527/items/EU2I5YLH"],"itemData":{"id":15086,"type":"article-journal","abstract":"Abstract\n            According to density-dependent habitat selection theory, areas of high density can be indicative of high population productivity and have positive individual fitness consequences. Here, we explore six groundfish populations on the Scotian Shelf, Canada, where a decline in areas of high density beyond a certain threshold is associated with disproportionately large declines in Spawning Stock Biomass (SSB). This is evidenced by empirical, concave, positive relationships between high-density areas (HDAs) and SSB. We introduce a methodology to estimate the threshold below which SSB declines increasingly faster per unit of HDA decline. The spatial threshold among these six stocks was remarkably consistent; when stocks lose 70–80% of HDAs, disproportionately large SSB declines are likely to occur. We propose that spatial thresholds could serve as spatial reference points to complement existing SSB limit reference points (LRPs). For some stocks we identify spatial thresholds which correspond to SSB levels that exceed those associated with the designated SSB LRP, suggesting that a review of these SSB LRPs warrants merit. For other stocks, spatial reference points can be used in concert with SSB reference points, strengthening efforts to incorporate a precautionary approach to fisheries management. Our results warrant further research into the general application of HDA as spatial limit and target reference points for fisheries management in addition to other population status indicators within a broad recovery framework.","container-title":"ICES Journal of Marine Science","DOI":"10.1093/icesjms/fsw123","ISSN":"1054-3139, 1095-9289","issue":"10","language":"en","page":"2468-2478","source":"DOI.org (Crossref)","title":"Spatial reference points for groundfish","volume":"73","author":[{"family":"Reuchlin-Hugenholtz","given":"Emilie"},{"family":"Shackell","given":"Nancy L."},{"family":"Hutchings","given":"Jeffrey A."},{"literal":"Handling editor: Valerio Bartolino"}],"issued":{"date-parts":[["2016",11,1]]}}}],"schema":"https://github.com/citation-style-language/schema/raw/master/csl-citation.json"} </w:instrText>
      </w:r>
      <w:r w:rsidR="00556BD4">
        <w:fldChar w:fldCharType="separate"/>
      </w:r>
      <w:r w:rsidR="00556BD4">
        <w:rPr>
          <w:noProof/>
        </w:rPr>
        <w:t>(Reuchlin-Hugenholtz et al. 2016)</w:t>
      </w:r>
      <w:r w:rsidR="00556BD4">
        <w:fldChar w:fldCharType="end"/>
      </w:r>
      <w:r w:rsidR="00556BD4">
        <w:t xml:space="preserve">. However, the appropriateness </w:t>
      </w:r>
      <w:r w:rsidR="006C0B58">
        <w:t xml:space="preserve">and robustness </w:t>
      </w:r>
      <w:r w:rsidR="00556BD4">
        <w:t xml:space="preserve">of </w:t>
      </w:r>
      <w:r w:rsidR="004745A9">
        <w:t xml:space="preserve">each of the approaches discussed </w:t>
      </w:r>
      <w:r w:rsidR="00EB7560">
        <w:t xml:space="preserve">above will require </w:t>
      </w:r>
      <w:r w:rsidR="008053E4">
        <w:t>need to be thoroughly evaluated within the context of a spatially explicit management strategy evaluation</w:t>
      </w:r>
      <w:r w:rsidR="006E4624">
        <w:t xml:space="preserve"> </w:t>
      </w:r>
      <w:r w:rsidR="0072164A">
        <w:fldChar w:fldCharType="begin"/>
      </w:r>
      <w:r w:rsidR="0072164A">
        <w:instrText xml:space="preserve"> ADDIN ZOTERO_ITEM CSL_CITATION {"citationID":"sUJfR7OV","properties":{"formattedCitation":"(Cadrin et al. 2023)","plainCitation":"(Cadrin et al. 2023)","noteIndex":0},"citationItems":[{"id":9976,"uris":["http://zotero.org/users/6698527/items/S5U7BATY"],"itemData":{"id":9976,"type":"article-journal","abstract":"The ‘stock concept’ in fisheries science conforms to theoretical assumptions of stock assessment models, including negligible movement across stock boundaries, relatively homogeneous vital rates, and extensive mixing within stock areas. Best practices for representing population structure in stock assessment involve 1) interdisciplinary stock identification to delineate spatially discrete populations or more complex population structure; 2) stock boundaries that are aligned with the most plausible population structure; 3) spatially-explicit sampling, fleet structure or spatial structure in assessment models to account for heterogeneity, fishing patterns, and movement within stock areas; 4) routine stock composition sampling and analysis for spatially overlapping populations; and 5) simulation testing the performance of assessments with mis-specified or uncertain population structure. Practical assessment units that do not accurately represent population structure may not provide sufficient information to achieve fishery management objectives, so practical constraints should be addressed through iterative advances in routine stock identification, delineation of stocks to meet unit-stock assumptions, and stock assessment modeling.","container-title":"Fisheries Research","DOI":"10.1016/j.fishres.2023.106650","ISSN":"01657836","journalAbbreviation":"Fisheries Research","language":"en","page":"106650","source":"DOI.org (Crossref)","title":"Best practices for defining spatial boundaries and spatial structure in stock assessment","volume":"262","author":[{"family":"Cadrin","given":"Steven X."},{"family":"Goethel","given":"Daniel R."},{"family":"Berger","given":"Aaron"},{"family":"Jardim","given":"Ernesto"}],"issued":{"date-parts":[["2023",6]]}}}],"schema":"https://github.com/citation-style-language/schema/raw/master/csl-citation.json"} </w:instrText>
      </w:r>
      <w:r w:rsidR="0072164A">
        <w:fldChar w:fldCharType="separate"/>
      </w:r>
      <w:r w:rsidR="0072164A">
        <w:rPr>
          <w:noProof/>
        </w:rPr>
        <w:t>(Cadrin et al. 2023)</w:t>
      </w:r>
      <w:r w:rsidR="0072164A">
        <w:fldChar w:fldCharType="end"/>
      </w:r>
      <w:r w:rsidR="008053E4">
        <w:t xml:space="preserve">. </w:t>
      </w:r>
      <w:r w:rsidR="00EB7560">
        <w:t xml:space="preserve"> </w:t>
      </w:r>
    </w:p>
    <w:p w14:paraId="20237BDA" w14:textId="1C88F0DB" w:rsidR="00DE7508" w:rsidRDefault="001E1C4D" w:rsidP="001D06F3">
      <w:pPr>
        <w:pStyle w:val="Heading1"/>
      </w:pPr>
      <w:r>
        <w:t>Question 4</w:t>
      </w:r>
    </w:p>
    <w:p w14:paraId="78A6C7A6" w14:textId="58DFDDAE" w:rsidR="00464E50" w:rsidRDefault="00464E50" w:rsidP="00B80F51">
      <w:pPr>
        <w:pStyle w:val="Heading2"/>
      </w:pPr>
      <w:r>
        <w:t xml:space="preserve">Outline </w:t>
      </w:r>
    </w:p>
    <w:p w14:paraId="636AC470" w14:textId="75532B9E" w:rsidR="003B7874" w:rsidRDefault="003B7874" w:rsidP="003B7874">
      <w:r>
        <w:t xml:space="preserve">Steps 1 through 4 synthesizes all </w:t>
      </w:r>
      <w:r w:rsidR="00F9740F">
        <w:t>available</w:t>
      </w:r>
      <w:r>
        <w:t xml:space="preserve"> information about the stock structure and is meant to be an iterative process and allow for </w:t>
      </w:r>
      <w:r w:rsidR="006F2E5A">
        <w:t xml:space="preserve">review and flexibility in redefining stock structure and boundaries </w:t>
      </w:r>
      <w:r w:rsidR="006136C4">
        <w:t>(</w:t>
      </w:r>
      <w:r w:rsidR="004A44CA">
        <w:t>iterated</w:t>
      </w:r>
      <w:r w:rsidR="006136C4">
        <w:t xml:space="preserve"> every several years). </w:t>
      </w:r>
    </w:p>
    <w:p w14:paraId="41F0788D" w14:textId="77777777" w:rsidR="003B7874" w:rsidRPr="003B7874" w:rsidRDefault="003B7874" w:rsidP="003B7874"/>
    <w:p w14:paraId="17D29012" w14:textId="7E769003" w:rsidR="0093305A" w:rsidRDefault="0093305A" w:rsidP="0093305A">
      <w:pPr>
        <w:pStyle w:val="ListParagraph"/>
        <w:numPr>
          <w:ilvl w:val="0"/>
          <w:numId w:val="6"/>
        </w:numPr>
      </w:pPr>
      <w:r>
        <w:t>Synthesize all available data of the stock</w:t>
      </w:r>
      <w:r>
        <w:t xml:space="preserve"> (e.g., genetic differences, </w:t>
      </w:r>
      <w:r w:rsidR="003830AF">
        <w:t>phenotypic difference</w:t>
      </w:r>
      <w:r w:rsidR="000B50CF">
        <w:t>s – can be identified via genomics, natural markers, larval IBM modelling</w:t>
      </w:r>
      <w:r w:rsidR="003830AF">
        <w:t>)</w:t>
      </w:r>
      <w:r w:rsidR="00082146">
        <w:t>,</w:t>
      </w:r>
    </w:p>
    <w:p w14:paraId="1E867C73" w14:textId="518F7B31" w:rsidR="00360FE1" w:rsidRDefault="00174D33" w:rsidP="00174D33">
      <w:pPr>
        <w:pStyle w:val="ListParagraph"/>
        <w:numPr>
          <w:ilvl w:val="0"/>
          <w:numId w:val="6"/>
        </w:numPr>
      </w:pPr>
      <w:r>
        <w:t>Identify stock boundaries</w:t>
      </w:r>
      <w:r w:rsidR="00082146">
        <w:t>,</w:t>
      </w:r>
    </w:p>
    <w:p w14:paraId="5216AA53" w14:textId="16D40661" w:rsidR="003830AF" w:rsidRDefault="00F420B6" w:rsidP="00174D33">
      <w:pPr>
        <w:pStyle w:val="ListParagraph"/>
        <w:numPr>
          <w:ilvl w:val="0"/>
          <w:numId w:val="6"/>
        </w:numPr>
      </w:pPr>
      <w:r>
        <w:lastRenderedPageBreak/>
        <w:t>Identify spatial structure within the stock (e.g., metapopulation, spatial heterogeneity</w:t>
      </w:r>
      <w:r w:rsidR="0087411C">
        <w:t>, fleet structure</w:t>
      </w:r>
      <w:r>
        <w:t xml:space="preserve">), </w:t>
      </w:r>
    </w:p>
    <w:p w14:paraId="2EE9D1B9" w14:textId="51A2154C" w:rsidR="00082146" w:rsidRDefault="00535924" w:rsidP="00174D33">
      <w:pPr>
        <w:pStyle w:val="ListParagraph"/>
        <w:numPr>
          <w:ilvl w:val="0"/>
          <w:numId w:val="6"/>
        </w:numPr>
      </w:pPr>
      <w:r>
        <w:t xml:space="preserve">Develop hypotheses </w:t>
      </w:r>
      <w:r w:rsidR="00330FD9">
        <w:t>and drivers of</w:t>
      </w:r>
      <w:r w:rsidR="000F43DF">
        <w:t xml:space="preserve"> movement dynamics</w:t>
      </w:r>
      <w:r w:rsidR="00407586">
        <w:t xml:space="preserve"> (e.g., ontogenetic, time-varying</w:t>
      </w:r>
      <w:r w:rsidR="009310F8">
        <w:t>, seasonal migrations</w:t>
      </w:r>
      <w:r w:rsidR="00407586">
        <w:t>),</w:t>
      </w:r>
    </w:p>
    <w:p w14:paraId="03832295" w14:textId="77777777" w:rsidR="00E30B87" w:rsidRDefault="00E30B87" w:rsidP="00E30B87">
      <w:pPr>
        <w:ind w:left="360"/>
      </w:pPr>
    </w:p>
    <w:p w14:paraId="356B90D3" w14:textId="4BDB51A8" w:rsidR="009D05FA" w:rsidRDefault="00EA7A42" w:rsidP="009D05FA">
      <w:r>
        <w:t>The following steps will be an</w:t>
      </w:r>
      <w:r w:rsidR="00DE741F">
        <w:t xml:space="preserve"> iterative process based on stakeholder and expert feedback, </w:t>
      </w:r>
      <w:r w:rsidR="00D147EC">
        <w:t xml:space="preserve">which will also consider the available data to represent the proposed dynamics.  </w:t>
      </w:r>
    </w:p>
    <w:p w14:paraId="79F71310" w14:textId="77777777" w:rsidR="00B473B5" w:rsidRDefault="00B473B5" w:rsidP="009D05FA"/>
    <w:p w14:paraId="30BDFA6A" w14:textId="7A9E7B97" w:rsidR="00407586" w:rsidRDefault="00214B80" w:rsidP="00174D33">
      <w:pPr>
        <w:pStyle w:val="ListParagraph"/>
        <w:numPr>
          <w:ilvl w:val="0"/>
          <w:numId w:val="6"/>
        </w:numPr>
      </w:pPr>
      <w:r>
        <w:t xml:space="preserve">Define population structure </w:t>
      </w:r>
      <w:r w:rsidR="006F5FE8">
        <w:t xml:space="preserve">for the assessment </w:t>
      </w:r>
      <w:r>
        <w:t xml:space="preserve">utilizing information about </w:t>
      </w:r>
      <w:r w:rsidR="00DE7254">
        <w:t xml:space="preserve">stock structure, spatial structure, and </w:t>
      </w:r>
      <w:r w:rsidR="00612EFC">
        <w:t>stock boundaries</w:t>
      </w:r>
      <w:r w:rsidR="00B51C5E">
        <w:t xml:space="preserve"> (e.g., metapopulation, spatial </w:t>
      </w:r>
      <w:r w:rsidR="00775F14">
        <w:t>heterogeneity</w:t>
      </w:r>
      <w:r w:rsidR="00B51C5E">
        <w:t>)</w:t>
      </w:r>
      <w:r w:rsidR="00612EFC">
        <w:t>,</w:t>
      </w:r>
    </w:p>
    <w:p w14:paraId="265EA433" w14:textId="5F3ABD1D" w:rsidR="00612EFC" w:rsidRDefault="008C3FF3" w:rsidP="00174D33">
      <w:pPr>
        <w:pStyle w:val="ListParagraph"/>
        <w:numPr>
          <w:ilvl w:val="0"/>
          <w:numId w:val="6"/>
        </w:numPr>
      </w:pPr>
      <w:r>
        <w:t>Define temporal resolution of the model based on fishery and biological dynamics (e.g., seasonal movements, discrete fisheries),</w:t>
      </w:r>
    </w:p>
    <w:p w14:paraId="086E5E91" w14:textId="41087EDA" w:rsidR="00014F28" w:rsidRDefault="00D964BC" w:rsidP="00174D33">
      <w:pPr>
        <w:pStyle w:val="ListParagraph"/>
        <w:numPr>
          <w:ilvl w:val="0"/>
          <w:numId w:val="6"/>
        </w:numPr>
      </w:pPr>
      <w:r>
        <w:t>Decide how recruitment should be modelled</w:t>
      </w:r>
      <w:r w:rsidR="00B51C5E">
        <w:t>, which should be guided based</w:t>
      </w:r>
      <w:r w:rsidR="00775F14">
        <w:t xml:space="preserve"> on the population structure (e.g., spatial apportionment with global recruitment for spatial heterogeneity population structure), </w:t>
      </w:r>
      <w:r w:rsidR="00B51C5E">
        <w:t xml:space="preserve"> </w:t>
      </w:r>
    </w:p>
    <w:p w14:paraId="25818BA0" w14:textId="4C281CC6" w:rsidR="008C3FF3" w:rsidRDefault="00014F28" w:rsidP="00174D33">
      <w:pPr>
        <w:pStyle w:val="ListParagraph"/>
        <w:numPr>
          <w:ilvl w:val="0"/>
          <w:numId w:val="6"/>
        </w:numPr>
      </w:pPr>
      <w:r>
        <w:t>Parameterize</w:t>
      </w:r>
      <w:r w:rsidR="00B56F8C">
        <w:t xml:space="preserve"> the gear structure of the model (e.g.</w:t>
      </w:r>
      <w:r w:rsidR="00667A74">
        <w:t>, whether</w:t>
      </w:r>
      <w:r w:rsidR="004D052B">
        <w:t xml:space="preserve"> different gears share the same selectivity patterns),</w:t>
      </w:r>
    </w:p>
    <w:p w14:paraId="3A722C93" w14:textId="2E487605" w:rsidR="004D052B" w:rsidRDefault="0037083B" w:rsidP="00174D33">
      <w:pPr>
        <w:pStyle w:val="ListParagraph"/>
        <w:numPr>
          <w:ilvl w:val="0"/>
          <w:numId w:val="6"/>
        </w:numPr>
      </w:pPr>
      <w:r>
        <w:t>Parametrize</w:t>
      </w:r>
      <w:r w:rsidR="00DC2A36">
        <w:t xml:space="preserve"> </w:t>
      </w:r>
      <w:r w:rsidR="001E6422">
        <w:t xml:space="preserve">dispersal </w:t>
      </w:r>
      <w:r w:rsidR="00DC2A36">
        <w:t>movement dynamics</w:t>
      </w:r>
      <w:r w:rsidR="00AC6E4E">
        <w:t xml:space="preserve"> utilizing</w:t>
      </w:r>
      <w:r w:rsidR="00DC2A36">
        <w:t xml:space="preserve"> </w:t>
      </w:r>
      <w:r w:rsidR="004523E3">
        <w:t>hypotheses developed in step 4 (e.g., natal homing</w:t>
      </w:r>
      <w:r w:rsidR="004D1CD0">
        <w:t xml:space="preserve"> and the</w:t>
      </w:r>
      <w:r w:rsidR="004523E3">
        <w:t xml:space="preserve"> potential for skipped spawning</w:t>
      </w:r>
      <w:r w:rsidR="00584DFB">
        <w:t>, ontogenetic movements, no movements post-</w:t>
      </w:r>
      <w:r w:rsidR="00C62231">
        <w:t>settlement</w:t>
      </w:r>
      <w:r w:rsidR="004523E3">
        <w:t>),</w:t>
      </w:r>
    </w:p>
    <w:p w14:paraId="4ED13B72" w14:textId="6F14DCEC" w:rsidR="004523E3" w:rsidRDefault="00C62231" w:rsidP="00174D33">
      <w:pPr>
        <w:pStyle w:val="ListParagraph"/>
        <w:numPr>
          <w:ilvl w:val="0"/>
          <w:numId w:val="6"/>
        </w:numPr>
      </w:pPr>
      <w:r>
        <w:t>Decide on</w:t>
      </w:r>
      <w:r w:rsidR="008052A2">
        <w:t xml:space="preserve"> how demographic variation should be represented (e.g.,</w:t>
      </w:r>
      <w:r w:rsidR="00242F05">
        <w:t xml:space="preserve"> </w:t>
      </w:r>
      <w:r w:rsidR="00215C5F">
        <w:t>are they area-specific or stock-specific (spatial-</w:t>
      </w:r>
      <w:r w:rsidR="0031268A">
        <w:t>heterogeneity</w:t>
      </w:r>
      <w:r w:rsidR="00215C5F">
        <w:t xml:space="preserve"> vs. meta-population), </w:t>
      </w:r>
      <w:r w:rsidR="0031268A">
        <w:t>do they vary across space or time?)</w:t>
      </w:r>
    </w:p>
    <w:p w14:paraId="32A7275E" w14:textId="32A278A5" w:rsidR="00464E50" w:rsidRDefault="00D22526" w:rsidP="00060136">
      <w:pPr>
        <w:pStyle w:val="ListParagraph"/>
        <w:numPr>
          <w:ilvl w:val="0"/>
          <w:numId w:val="6"/>
        </w:numPr>
      </w:pPr>
      <w:r>
        <w:t>If competing hypotheses exist, develop additional models utilizing this framework</w:t>
      </w:r>
      <w:r w:rsidR="009B3330">
        <w:t xml:space="preserve">, </w:t>
      </w:r>
    </w:p>
    <w:p w14:paraId="2DFD7AC9" w14:textId="123E4139" w:rsidR="009B3330" w:rsidRDefault="009B3330" w:rsidP="00060136">
      <w:pPr>
        <w:pStyle w:val="ListParagraph"/>
        <w:numPr>
          <w:ilvl w:val="0"/>
          <w:numId w:val="6"/>
        </w:numPr>
      </w:pPr>
      <w:r>
        <w:t xml:space="preserve">Compare </w:t>
      </w:r>
      <w:r w:rsidR="008E1EC6">
        <w:t xml:space="preserve">different spatial models with varying </w:t>
      </w:r>
      <w:r w:rsidR="00324FC8">
        <w:t>hypotheses</w:t>
      </w:r>
      <w:r w:rsidR="008E1EC6">
        <w:t xml:space="preserve"> as well as non-spatial models (e.g., population trajectories, </w:t>
      </w:r>
      <w:r w:rsidR="008E1EC6">
        <w:rPr>
          <w:i/>
          <w:iCs/>
        </w:rPr>
        <w:t>a priori</w:t>
      </w:r>
      <w:r w:rsidR="008E1EC6">
        <w:t xml:space="preserve"> hypotheses and knowledge, </w:t>
      </w:r>
      <w:r w:rsidR="00324FC8">
        <w:t>model fits),</w:t>
      </w:r>
    </w:p>
    <w:p w14:paraId="61CC0103" w14:textId="72FCBBCF" w:rsidR="00324FC8" w:rsidRDefault="00460713" w:rsidP="00060136">
      <w:pPr>
        <w:pStyle w:val="ListParagraph"/>
        <w:numPr>
          <w:ilvl w:val="0"/>
          <w:numId w:val="6"/>
        </w:numPr>
      </w:pPr>
      <w:r>
        <w:t>Consider</w:t>
      </w:r>
      <w:r w:rsidR="007A5327">
        <w:t xml:space="preserve"> how reference points should be </w:t>
      </w:r>
      <w:r w:rsidR="00B639FB">
        <w:t>defined (e.g., area-specific, system-wide, equilibrium vs. non-equilibrium),</w:t>
      </w:r>
    </w:p>
    <w:p w14:paraId="4BCC68A3" w14:textId="139D4A68" w:rsidR="00233D01" w:rsidRDefault="00233D01" w:rsidP="00060136">
      <w:pPr>
        <w:pStyle w:val="ListParagraph"/>
        <w:numPr>
          <w:ilvl w:val="0"/>
          <w:numId w:val="6"/>
        </w:numPr>
      </w:pPr>
      <w:r>
        <w:t xml:space="preserve">Simulation </w:t>
      </w:r>
      <w:proofErr w:type="gramStart"/>
      <w:r>
        <w:t>test</w:t>
      </w:r>
      <w:proofErr w:type="gramEnd"/>
      <w:r>
        <w:t xml:space="preserve"> the developed model frameworks </w:t>
      </w:r>
      <w:r w:rsidR="00443414">
        <w:t xml:space="preserve">against higher resolution spatial models (e.g., </w:t>
      </w:r>
      <w:r w:rsidR="00F67F4D">
        <w:t>spatially explicit IBMs</w:t>
      </w:r>
      <w:r w:rsidR="00947AD6">
        <w:t>,</w:t>
      </w:r>
      <w:r w:rsidR="000B5F38">
        <w:t xml:space="preserve"> models with more complex spatial structure</w:t>
      </w:r>
      <w:r w:rsidR="00443414">
        <w:t>)</w:t>
      </w:r>
      <w:r w:rsidR="00BF1DA1">
        <w:t xml:space="preserve">, </w:t>
      </w:r>
      <w:r w:rsidR="00443414">
        <w:t xml:space="preserve"> </w:t>
      </w:r>
    </w:p>
    <w:p w14:paraId="23974F2C" w14:textId="1D3ADEA7" w:rsidR="00B639FB" w:rsidRDefault="00B639FB" w:rsidP="00060136">
      <w:pPr>
        <w:pStyle w:val="ListParagraph"/>
        <w:numPr>
          <w:ilvl w:val="0"/>
          <w:numId w:val="6"/>
        </w:numPr>
      </w:pPr>
      <w:r>
        <w:t xml:space="preserve">Communicate results </w:t>
      </w:r>
      <w:r w:rsidR="00330FD9">
        <w:t xml:space="preserve">with scientists, and stakeholders, </w:t>
      </w:r>
      <w:r w:rsidR="00A25581">
        <w:t xml:space="preserve">while implementing </w:t>
      </w:r>
      <w:r w:rsidR="00654393">
        <w:t>transparent</w:t>
      </w:r>
      <w:r w:rsidR="00A25581">
        <w:t xml:space="preserve"> assessment frameworks </w:t>
      </w:r>
      <w:r w:rsidR="00654393">
        <w:t>(code-sharing</w:t>
      </w:r>
      <w:r w:rsidR="000C5402">
        <w:t xml:space="preserve"> </w:t>
      </w:r>
      <w:r w:rsidR="00654393">
        <w:t xml:space="preserve">and detail </w:t>
      </w:r>
      <w:r w:rsidR="008F04B1">
        <w:t>decision points</w:t>
      </w:r>
      <w:r w:rsidR="00654393">
        <w:t>)</w:t>
      </w:r>
      <w:r w:rsidR="00965B3C">
        <w:t xml:space="preserve">. Iterate model parameterizations and validate models utilizing knowledge from </w:t>
      </w:r>
      <w:r w:rsidR="00980A68">
        <w:t>stakeholders</w:t>
      </w:r>
      <w:r w:rsidR="00965B3C">
        <w:t xml:space="preserve"> and community members. </w:t>
      </w:r>
    </w:p>
    <w:p w14:paraId="003A2A7D" w14:textId="77777777" w:rsidR="00464E50" w:rsidRDefault="00464E50" w:rsidP="00060136"/>
    <w:p w14:paraId="65F3E4CC" w14:textId="77777777" w:rsidR="00607D1A" w:rsidRDefault="00607D1A" w:rsidP="001232DE"/>
    <w:p w14:paraId="5D9E73C5" w14:textId="77777777" w:rsidR="001232DE" w:rsidRDefault="001232DE" w:rsidP="001232DE"/>
    <w:p w14:paraId="0FE11350" w14:textId="77777777" w:rsidR="001232DE" w:rsidRDefault="001232DE" w:rsidP="001232DE"/>
    <w:p w14:paraId="7095F129" w14:textId="77777777" w:rsidR="001232DE" w:rsidRDefault="001232DE" w:rsidP="001232DE"/>
    <w:p w14:paraId="2CB4E2AA" w14:textId="77777777" w:rsidR="001232DE" w:rsidRDefault="001232DE" w:rsidP="001232DE"/>
    <w:p w14:paraId="66FA2986" w14:textId="77777777" w:rsidR="001232DE" w:rsidRDefault="001232DE" w:rsidP="001232DE"/>
    <w:p w14:paraId="005E8A57" w14:textId="77777777" w:rsidR="001232DE" w:rsidRDefault="001232DE" w:rsidP="001232DE"/>
    <w:p w14:paraId="4F52344C" w14:textId="6A5B9B87" w:rsidR="001232DE" w:rsidRDefault="007F3866" w:rsidP="007F3866">
      <w:pPr>
        <w:pStyle w:val="Heading2"/>
      </w:pPr>
      <w:r>
        <w:lastRenderedPageBreak/>
        <w:t>Conceptual Model</w:t>
      </w:r>
    </w:p>
    <w:p w14:paraId="6072DCBE" w14:textId="77777777" w:rsidR="005B0D83" w:rsidRDefault="007F3866" w:rsidP="007F3866">
      <w:r>
        <w:tab/>
      </w:r>
      <w:r w:rsidR="005B0D83">
        <w:rPr>
          <w:noProof/>
        </w:rPr>
        <w:drawing>
          <wp:inline distT="0" distB="0" distL="0" distR="0" wp14:anchorId="2D696B6F" wp14:editId="157F5D0B">
            <wp:extent cx="5943600" cy="2700020"/>
            <wp:effectExtent l="0" t="0" r="0" b="5080"/>
            <wp:docPr id="753174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74006" name="Picture 753174006"/>
                    <pic:cNvPicPr/>
                  </pic:nvPicPr>
                  <pic:blipFill>
                    <a:blip r:embed="rId7">
                      <a:extLst>
                        <a:ext uri="{28A0092B-C50C-407E-A947-70E740481C1C}">
                          <a14:useLocalDpi xmlns:a14="http://schemas.microsoft.com/office/drawing/2010/main" val="0"/>
                        </a:ext>
                      </a:extLst>
                    </a:blip>
                    <a:stretch>
                      <a:fillRect/>
                    </a:stretch>
                  </pic:blipFill>
                  <pic:spPr>
                    <a:xfrm>
                      <a:off x="0" y="0"/>
                      <a:ext cx="5943600" cy="2700020"/>
                    </a:xfrm>
                    <a:prstGeom prst="rect">
                      <a:avLst/>
                    </a:prstGeom>
                  </pic:spPr>
                </pic:pic>
              </a:graphicData>
            </a:graphic>
          </wp:inline>
        </w:drawing>
      </w:r>
    </w:p>
    <w:p w14:paraId="482ADC9C" w14:textId="30CED774" w:rsidR="005B0D83" w:rsidRDefault="00E4604B" w:rsidP="007F3866">
      <w:r>
        <w:t>Figure 1. Conce</w:t>
      </w:r>
      <w:r w:rsidR="00446B58">
        <w:t xml:space="preserve">ptual model of the ideal spatial structure and assessment framework for Pacific cod </w:t>
      </w:r>
      <w:r w:rsidR="00AD1BC6">
        <w:fldChar w:fldCharType="begin"/>
      </w:r>
      <w:r w:rsidR="00AD1BC6">
        <w:instrText xml:space="preserve"> ADDIN ZOTERO_ITEM CSL_CITATION {"citationID":"f71LlKGP","properties":{"formattedCitation":"(Vincent et al. 2017)","plainCitation":"(Vincent et al. 2017)","noteIndex":0},"citationItems":[{"id":22494,"uris":["http://zotero.org/users/6698527/items/XLWTD8ZT"],"itemData":{"id":22494,"type":"article-journal","abstract":"The inﬂuence of model complexity on integrated tagging and catch-at-age analysis (ITCAAN) parameter estimation is poorly understood for populations exhibiting natal homing. We investigated ITCAAN performance under varying levels of movement, degree of similarity in population productivities, data quality, spatial complexity in parameterization, and whether natural mortality and (or) reporting rates were ﬁxed at actual values, estimated, or misspeciﬁed. Dynamics of four populations with natal homing that intermixed during periods of harvest were simulated based on Lake Erie walleye (Sander vitreus). Our results suggest, when high-quality tagging data are available, ITCAAN models are able to simultaneously estimate movement rates, natural mortality, and tag reporting rates, though accuracy and precision of model estimates will decrease with greater model complexity and fewer tags released. Additionally, ITCAAN models may have difﬁculty estimating individual population abundances under certain movement rates when population productivities are vastly different. ITCAAN models that estimate natural mortality and reporting rates may perform best with similar sized populations and when data are available to assist the estimation of reporting rates.","container-title":"Canadian Journal of Fisheries and Aquatic Sciences","DOI":"10.1139/cjfas-2016-0297","ISSN":"0706-652X, 1205-7533","issue":"11","journalAbbreviation":"Can. J. Fish. Aquat. Sci.","language":"en","license":"http://www.nrcresearchpress.com/page/about/CorporateTextAndDataMining","page":"1930-1949","source":"DOI.org (Crossref)","title":"Simulation testing the robustness of a multiregion, tag-integrated assessment model that exhibits natal homing and estimates natural mortality and reporting rate","volume":"74","author":[{"family":"Vincent","given":"Matthew T."},{"family":"Brenden","given":"Travis O."},{"family":"Bence","given":"James R."}],"issued":{"date-parts":[["2017",11]]}}}],"schema":"https://github.com/citation-style-language/schema/raw/master/csl-citation.json"} </w:instrText>
      </w:r>
      <w:r w:rsidR="00AD1BC6">
        <w:fldChar w:fldCharType="separate"/>
      </w:r>
      <w:r w:rsidR="00AD1BC6">
        <w:rPr>
          <w:noProof/>
        </w:rPr>
        <w:t>(</w:t>
      </w:r>
      <w:r w:rsidR="00186FD5">
        <w:rPr>
          <w:noProof/>
        </w:rPr>
        <w:t xml:space="preserve">stolen from </w:t>
      </w:r>
      <w:r w:rsidR="00AD1BC6">
        <w:rPr>
          <w:noProof/>
        </w:rPr>
        <w:t>Vincent et al. 2017</w:t>
      </w:r>
      <w:r w:rsidR="0017368B">
        <w:rPr>
          <w:noProof/>
        </w:rPr>
        <w:t>; somehow this nicely fit what I wanted…</w:t>
      </w:r>
      <w:r w:rsidR="00AD1BC6">
        <w:rPr>
          <w:noProof/>
        </w:rPr>
        <w:t>)</w:t>
      </w:r>
      <w:r w:rsidR="00AD1BC6">
        <w:fldChar w:fldCharType="end"/>
      </w:r>
      <w:r w:rsidR="00AD1BC6">
        <w:t xml:space="preserve">. Here, 4 </w:t>
      </w:r>
      <w:r w:rsidR="002D5AAA">
        <w:t>stocks</w:t>
      </w:r>
      <w:r w:rsidR="001458EB">
        <w:t xml:space="preserve"> and </w:t>
      </w:r>
      <w:r w:rsidR="00361750">
        <w:t xml:space="preserve">harvest </w:t>
      </w:r>
      <w:r w:rsidR="001458EB">
        <w:t>regions</w:t>
      </w:r>
      <w:r w:rsidR="00AD1BC6">
        <w:t xml:space="preserve"> are defined, representing the Bering Sea, Aleutian Islands, western Gulf of Alaska, and the eastern Gulf of Alaska. During the first quarter of the year, individuals return to their population to spawn. During the </w:t>
      </w:r>
      <w:r w:rsidR="00C029B3">
        <w:t>remaining 3</w:t>
      </w:r>
      <w:r w:rsidR="006162F7">
        <w:t xml:space="preserve"> </w:t>
      </w:r>
      <w:r w:rsidR="00AD1BC6">
        <w:t xml:space="preserve">quarters, individuals </w:t>
      </w:r>
      <w:r w:rsidR="001458EB">
        <w:t>mix within different harvest regions</w:t>
      </w:r>
      <w:r w:rsidR="00D376B2">
        <w:t xml:space="preserve">. </w:t>
      </w:r>
      <w:r w:rsidR="00B47FC3">
        <w:t xml:space="preserve">Within each harvest region, </w:t>
      </w:r>
      <w:r w:rsidR="00F37E57">
        <w:t>3</w:t>
      </w:r>
      <w:r w:rsidR="00452660">
        <w:t xml:space="preserve"> separate gears would </w:t>
      </w:r>
      <w:r w:rsidR="00485763">
        <w:t>exist</w:t>
      </w:r>
      <w:r w:rsidR="00452660">
        <w:t xml:space="preserve">, which include pot gear, trawl gear, </w:t>
      </w:r>
      <w:r w:rsidR="002C5835">
        <w:t xml:space="preserve">and </w:t>
      </w:r>
      <w:r w:rsidR="00452660">
        <w:t>longline gear</w:t>
      </w:r>
      <w:r w:rsidR="005168D8">
        <w:t>.</w:t>
      </w:r>
      <w:r w:rsidR="00452660">
        <w:t xml:space="preserve"> </w:t>
      </w:r>
    </w:p>
    <w:p w14:paraId="519B01FC" w14:textId="77777777" w:rsidR="008F4BA7" w:rsidRDefault="008F4BA7" w:rsidP="007F3866"/>
    <w:p w14:paraId="444B5676" w14:textId="58817B1D" w:rsidR="008F4BA7" w:rsidRDefault="002F63C3" w:rsidP="00405C9C">
      <w:pPr>
        <w:pStyle w:val="Heading2"/>
      </w:pPr>
      <w:r>
        <w:t>General</w:t>
      </w:r>
      <w:r w:rsidR="00405C9C">
        <w:t xml:space="preserve"> Parameterization</w:t>
      </w:r>
    </w:p>
    <w:p w14:paraId="5546BEB5" w14:textId="77777777" w:rsidR="002F63C3" w:rsidRPr="002F63C3" w:rsidRDefault="002F63C3" w:rsidP="002F63C3"/>
    <w:p w14:paraId="4DA5BE01" w14:textId="315563D9" w:rsidR="00A93A91" w:rsidRDefault="002F63C3" w:rsidP="007F3866">
      <w:r>
        <w:tab/>
        <w:t xml:space="preserve">Here, a </w:t>
      </w:r>
      <w:r w:rsidR="00A541ED">
        <w:t>spatially explicit</w:t>
      </w:r>
      <w:r>
        <w:t xml:space="preserve"> but stratified approach will be utilized</w:t>
      </w:r>
      <w:r w:rsidR="00F73FBD">
        <w:t xml:space="preserve"> (single sex)</w:t>
      </w:r>
      <w:r>
        <w:t xml:space="preserve">. </w:t>
      </w:r>
      <w:r w:rsidR="00033A23">
        <w:t xml:space="preserve">This model generally mimics the </w:t>
      </w:r>
      <w:r w:rsidR="00A16A2E">
        <w:t>spatial overlap model, where individuals home to their original population at the start of the year and are able to mix during the remainder of the year</w:t>
      </w:r>
      <w:r w:rsidR="00ED2361">
        <w:t xml:space="preserve"> </w:t>
      </w:r>
      <w:r w:rsidR="00830AE5">
        <w:fldChar w:fldCharType="begin"/>
      </w:r>
      <w:r w:rsidR="00830AE5">
        <w:instrText xml:space="preserve"> ADDIN ZOTERO_ITEM CSL_CITATION {"citationID":"u71V7HRR","properties":{"formattedCitation":"(Vincent et al. 2017)","plainCitation":"(Vincent et al. 2017)","noteIndex":0},"citationItems":[{"id":22494,"uris":["http://zotero.org/users/6698527/items/XLWTD8ZT"],"itemData":{"id":22494,"type":"article-journal","abstract":"The inﬂuence of model complexity on integrated tagging and catch-at-age analysis (ITCAAN) parameter estimation is poorly understood for populations exhibiting natal homing. We investigated ITCAAN performance under varying levels of movement, degree of similarity in population productivities, data quality, spatial complexity in parameterization, and whether natural mortality and (or) reporting rates were ﬁxed at actual values, estimated, or misspeciﬁed. Dynamics of four populations with natal homing that intermixed during periods of harvest were simulated based on Lake Erie walleye (Sander vitreus). Our results suggest, when high-quality tagging data are available, ITCAAN models are able to simultaneously estimate movement rates, natural mortality, and tag reporting rates, though accuracy and precision of model estimates will decrease with greater model complexity and fewer tags released. Additionally, ITCAAN models may have difﬁculty estimating individual population abundances under certain movement rates when population productivities are vastly different. ITCAAN models that estimate natural mortality and reporting rates may perform best with similar sized populations and when data are available to assist the estimation of reporting rates.","container-title":"Canadian Journal of Fisheries and Aquatic Sciences","DOI":"10.1139/cjfas-2016-0297","ISSN":"0706-652X, 1205-7533","issue":"11","journalAbbreviation":"Can. J. Fish. Aquat. Sci.","language":"en","license":"http://www.nrcresearchpress.com/page/about/CorporateTextAndDataMining","page":"1930-1949","source":"DOI.org (Crossref)","title":"Simulation testing the robustness of a multiregion, tag-integrated assessment model that exhibits natal homing and estimates natural mortality and reporting rate","volume":"74","author":[{"family":"Vincent","given":"Matthew T."},{"family":"Brenden","given":"Travis O."},{"family":"Bence","given":"James R."}],"issued":{"date-parts":[["2017",11]]}}}],"schema":"https://github.com/citation-style-language/schema/raw/master/csl-citation.json"} </w:instrText>
      </w:r>
      <w:r w:rsidR="00830AE5">
        <w:fldChar w:fldCharType="separate"/>
      </w:r>
      <w:r w:rsidR="00830AE5">
        <w:rPr>
          <w:noProof/>
        </w:rPr>
        <w:t>(Vincent et al. 2017)</w:t>
      </w:r>
      <w:r w:rsidR="00830AE5">
        <w:fldChar w:fldCharType="end"/>
      </w:r>
      <w:r w:rsidR="00A16A2E">
        <w:t xml:space="preserve">. </w:t>
      </w:r>
      <w:r w:rsidR="0025105C">
        <w:t>4</w:t>
      </w:r>
      <w:r w:rsidR="00A541ED">
        <w:t xml:space="preserve"> stocks/populations will be defined</w:t>
      </w:r>
      <w:r w:rsidR="0025105C">
        <w:t xml:space="preserve">, which also correspond to the 4 harvest regions, which are the BS, AI, WGOA, and EGOA. </w:t>
      </w:r>
      <w:r w:rsidR="00F86DB8">
        <w:t xml:space="preserve">Given that </w:t>
      </w:r>
      <w:r w:rsidR="00474D15">
        <w:t>individuals</w:t>
      </w:r>
      <w:r w:rsidR="00F86DB8">
        <w:t xml:space="preserve"> return to their natal </w:t>
      </w:r>
      <w:r w:rsidR="00474D15">
        <w:t>origin</w:t>
      </w:r>
      <w:r w:rsidR="00F86DB8">
        <w:t xml:space="preserve"> to spawn, </w:t>
      </w:r>
      <w:r w:rsidR="00474D15">
        <w:t>the population structure here represents a metapopulation, where density dependence is localized.</w:t>
      </w:r>
      <w:r w:rsidR="005156E4">
        <w:t xml:space="preserve"> </w:t>
      </w:r>
      <w:r w:rsidR="00606800">
        <w:t>In most spatial models,</w:t>
      </w:r>
      <w:r w:rsidR="005156E4">
        <w:t xml:space="preserve"> is generally ideal to have flexible movement parameterizations to minimize potential biases</w:t>
      </w:r>
      <w:r w:rsidR="00A20A03">
        <w:t xml:space="preserve">, which I will also follow here </w:t>
      </w:r>
      <w:r w:rsidR="00152B8C">
        <w:fldChar w:fldCharType="begin"/>
      </w:r>
      <w:r w:rsidR="00152B8C">
        <w:instrText xml:space="preserve"> ADDIN ZOTERO_ITEM CSL_CITATION {"citationID":"mBAKNfSm","properties":{"formattedCitation":"(Goethel et al. 2021; Bosley et al. 2022)","plainCitation":"(Goethel et al. 2021; Bosley et al. 2022)","noteIndex":0},"citationItems":[{"id":1089,"uris":["http://zotero.org/users/6698527/items/GIKYQU6W"],"itemData":{"id":1089,"type":"article-journal","abstract":"Understanding spatial population structure and biocomplexity is critical for determining a species’ resilience to environmental and anthropogenic perturbations. However, integrated population models (IPMs) used to develop management advice for harvested populations have been slow to incorporate spatial dynamics. Therefore, limited research has been devoted to understanding the reliability of movement parameter estimation in spatial population models, especially for spatially dynamic marine fish populations. We implemented a spatial simulation–estimation framework that emulated a generic marine fish metapopulation to explore the impact of ontogenetic movement and climate-induced distributional shifts between two populations. The robustness of spatially stratified IPMs was explored across a range of movement parametrizations, including ignoring connectivity or estimating movement with various levels of complexity. Ignoring connectivity was detrimental to accurate estimation of population-specific biomass, while implementing spatial IPMs with intermediate levels of complexity (e.g. estimating movement in two-year and two-age blocks) performed best when no a priori information about underlying movement was available. One-way distributional shifts mimicking climate-induced poleward migrations presented the greatest estimation difficulties, but the incorporation of auxiliary information on connectivity (e.g. tag-recapture data) reduced bias. The continued development of spatially stratified modelling approaches should allow harvested resources to be better utilized without increased risk. Additionally, expanded collection and incorporation of unique spatially explicit data will enhance the robustness of IPMs in the future.","container-title":"Fish and Fisheries","DOI":"10.1111/faf.12510","ISSN":"1467-2960, 1467-2979","issue":"1","journalAbbreviation":"Fish Fish","language":"en","page":"141-160","source":"DOI.org (Crossref)","title":"Where do you think you’re going? Accounting for ontogenetic and climate</w:instrText>
      </w:r>
      <w:r w:rsidR="00152B8C">
        <w:rPr>
          <w:rFonts w:ascii="Cambria Math" w:hAnsi="Cambria Math" w:cs="Cambria Math"/>
        </w:rPr>
        <w:instrText>‐</w:instrText>
      </w:r>
      <w:r w:rsidR="00152B8C">
        <w:instrText xml:space="preserve">induced movement in spatially stratified integrated population assessment models","title-short":"Where do you think you’re going?","volume":"22","author":[{"family":"Goethel","given":"Daniel R."},{"family":"Bosley","given":"Katelyn M."},{"family":"Langseth","given":"Brian J."},{"family":"Deroba","given":"Jonathan J."},{"family":"Berger","given":"Aaron M."},{"family":"Hanselman","given":"Dana H."},{"family":"Schueller","given":"Amy M."}],"issued":{"date-parts":[["2021",1]]}}},{"id":2230,"uris":["http://zotero.org/users/6698527/items/K7EWIXBX"],"itemData":{"id":2230,"type":"article-journal","abstract":"Spatially stratified integrated population models (IPMs) can account for fine-­scale demographic processes and support spatial management for complex, heterogeneous populations. Although spatial IPMs may provide a more realistic representation of true population dynamics, few studies have evaluated the consequences associated with incorrect assumptions regarding population structure and connectivity. We utilized a simulation-­estimation framework to explore how mismatches between the true population structure (i.e. uniform, single population with spatial heterogeneity or metapopulation) and various parametrizations of an IPM (i.e. panmictic, fleets-­as-­ areas or a spatially explicit, tag-­integrated model) impacted resultant fish population estimates. When population structure was incorrectly specified in the IPM, parameter estimates were generally unbiased at the system level, but were often biased for sub-­areas. Correctly specifying population structure in spatial IPMs led to strong performance, whereas incorrectly specified spatial IPMs performed adequately (and better than spatially aggregated counterparts). Allowing for flexible parametrization of movement rates (e.g. estimating age-­varying values) was more important than correctly identifying the population structure, and incorporation of tag-­recapture data helped movement estimation. Our results elucidate how incorrect population structure assumptions can influence the estimation of key parameters of spatial IPMs, while indicating that, even if incorrectly specified, spatial IPMs can adequately support spatial management decisions.","container-title":"Fish and Fisheries","DOI":"10.1111/faf.12616","ISSN":"1467-2960, 1467-2979","issue":"2","journalAbbreviation":"Fish and Fisheries","language":"en","page":"294-315","source":"DOI.org (Crossref)","title":"Finding the perfect mismatch: Evaluating misspecification of population structure within spatially explicit integrated population models","title-short":"Finding the perfect mismatch","volume":"23","author":[{"family":"Bosley","given":"Katelyn M."},{"family":"Schueller","given":"Amy M."},{"family":"Goethel","given":"Daniel R."},{"family":"Hanselman","given":"Dana H."},{"family":"Fenske","given":"Kari H."},{"family":"Berger","given":"Aaron M."},{"family":"Deroba","given":"Jonathan J."},{"family":"Langseth","given":"Brian J."}],"issued":{"date-parts":[["2022",3]]}}}],"schema":"https://github.com/citation-style-language/schema/raw/master/csl-citation.json"} </w:instrText>
      </w:r>
      <w:r w:rsidR="00152B8C">
        <w:fldChar w:fldCharType="separate"/>
      </w:r>
      <w:r w:rsidR="00152B8C">
        <w:rPr>
          <w:noProof/>
        </w:rPr>
        <w:t>(Goethel et al. 2021; Bosley et al. 2022)</w:t>
      </w:r>
      <w:r w:rsidR="00152B8C">
        <w:fldChar w:fldCharType="end"/>
      </w:r>
      <w:r w:rsidR="00152B8C">
        <w:t xml:space="preserve">. Thus, in an ideal scenario, we would </w:t>
      </w:r>
      <w:r w:rsidR="00FD19ED">
        <w:t>allow for the estimation of</w:t>
      </w:r>
      <w:r w:rsidR="00152B8C">
        <w:t xml:space="preserve"> stock, age, and time-specific movement </w:t>
      </w:r>
      <w:r w:rsidR="00080BEE">
        <w:t xml:space="preserve">parameters. </w:t>
      </w:r>
      <w:r w:rsidR="00A65453">
        <w:t>For a species like Pacific cod, it is likely that movement varies across ages and years</w:t>
      </w:r>
      <w:r w:rsidR="00801616">
        <w:t xml:space="preserve"> (annual)</w:t>
      </w:r>
      <w:r w:rsidR="00A65453">
        <w:t xml:space="preserve">, given their recent expansion into the Bering Sea, as well as the potential </w:t>
      </w:r>
      <w:r w:rsidR="00B80ACD">
        <w:t xml:space="preserve">for </w:t>
      </w:r>
      <w:r w:rsidR="00A65453">
        <w:t xml:space="preserve">ontogenetic movements </w:t>
      </w:r>
      <w:r w:rsidR="00620483">
        <w:fldChar w:fldCharType="begin"/>
      </w:r>
      <w:r w:rsidR="00620483">
        <w:instrText xml:space="preserve"> ADDIN ZOTERO_ITEM CSL_CITATION {"citationID":"K6v5Pckw","properties":{"formattedCitation":"(Laurel et al. 2009; Spies et al. 2020)","plainCitation":"(Laurel et al. 2009; Spies et al. 2020)","noteIndex":0},"citationItems":[{"id":22515,"uris":["http://zotero.org/users/6698527/items/FSMSCQB6"],"itemData":{"id":22515,"type":"article-journal","abstract":"Habitat use of age-0 and age-1 juvenile Paciﬁc cod (Gadus macrocephalus) was examined in coastal regions in Kodiak Alaska over daily, seasonal and annual scales. Catch data indicated highly variable recruitment to nursery areas, but a strong separation of distribution by depth among age groups. Age-0 cod were most abundant in the shallows (b3 m) whereas age-1 cod were typically found in depths (9.0–13.5 m). In comparison, age-1 saffron cod (Eleginus gracilis), another highly abundant gadid in the region, were found in shallower depths where age-0 cod often resided. Age-1 cod Paciﬁc cod made diel lateral movements, moving into shallow regions at night where they co-occurred with age-0 cod to a greater extent. Laboratory lightgradient experiments indicated that age-0 cod tolerated intense lighting (~ 20–80 µE m−2 s−1) typical of shallow water regions whereas larger age-1 Paciﬁc cod strongly avoid bright light given the choice. However, while diet data indicate age-1 cod of both species are moderately piscivorous (3% saffron cod; 16% Paciﬁc cod), we found no direct evidence of predation on smaller conspeciﬁc cod, possibly due to the low densities of age-0 cod in the year of the diet study. Together, these data suggest that coastal regions continue to serve a nursery function beyond the 1st year of development for juvenile Paciﬁc gadids, and that small-scale temporal and depth partitioning in these regions is a mechanism by which varying cod species and age classes co-occur.","container-title":"Journal of Experimental Marine Biology and Ecology","DOI":"10.1016/j.jembe.2009.06.010","ISSN":"00220981","issue":"1","journalAbbreviation":"Journal of Experimental Marine Biology and Ecology","language":"en","license":"https://www.elsevier.com/tdm/userlicense/1.0/","page":"28-35","source":"DOI.org (Crossref)","title":"Temporal and ontogenetic shifts in habitat use of juvenile Pacific cod (Gadus macrocephalus)","volume":"377","author":[{"family":"Laurel","given":"Benjamin J."},{"family":"Ryer","given":"Clifford H."},{"family":"Knoth","given":"Brian"},{"family":"Stoner","given":"Allan W."}],"issued":{"date-parts":[["2009",8]]}}},{"id":14462,"uris":["http://zotero.org/users/6698527/items/XHV7KC24"],"itemData":{"id":14462,"type":"article-journal","abstract":"Poleward species range shifts have been predicted to result from climate change, and many observations have confirmed such movement. Poleward shifts may represent a homogeneous shift in distribution, seasonal northward movement of specific populations, or colonization processes at the poleward edge of the distribution. The ecosystem of the Bering Sea has been changing along with the climate, moving from an arctic to a subarctic system. Several fish species have been observed farther north than previously reported and in increasing abundances. We examined one of these fish species, Pacific cod, in the northern Bering Sea (NBS) to assess whether they migrated from another stock in the eastern Bering Sea (EBS), Gulf of Alaska, or Aleutian Islands, or whether they represent a separate population. Genetic analyses using 3,599 single nucleotide polymorphism markers indicated that nonspawning cod collected in August 2017 in the NBS were similar to spawning stocks of cod in the EBS. This result suggests escalating northward movement of the large EBS stock during summer months. Whether the cod observed in the NBS migrate south during winter to spawn or remain in the NBS as a sink population is unknown.","container-title":"Evolutionary Applications","DOI":"10.1111/eva.12874","ISSN":"1752-4571, 1752-4571","issue":"2","journalAbbreviation":"Evolutionary Applications","language":"en","page":"362-375","source":"DOI.org (Crossref)","title":"Genetic evidence of a northward range expansion in the eastern Bering Sea stock of Pacific cod","volume":"13","author":[{"family":"Spies","given":"Ingrid"},{"family":"Gruenthal","given":"Kristen M."},{"family":"Drinan","given":"Daniel P."},{"family":"Hollowed","given":"Anne B."},{"family":"Stevenson","given":"Duane E."},{"family":"Tarpey","given":"Carolyn M."},{"family":"Hauser","given":"Lorenz"}],"issued":{"date-parts":[["2020",2]]}}}],"schema":"https://github.com/citation-style-language/schema/raw/master/csl-citation.json"} </w:instrText>
      </w:r>
      <w:r w:rsidR="00620483">
        <w:fldChar w:fldCharType="separate"/>
      </w:r>
      <w:r w:rsidR="00620483">
        <w:rPr>
          <w:noProof/>
        </w:rPr>
        <w:t>(Laurel et al. 2009; Spies et al. 2020)</w:t>
      </w:r>
      <w:r w:rsidR="00620483">
        <w:fldChar w:fldCharType="end"/>
      </w:r>
      <w:r w:rsidR="00620483">
        <w:t xml:space="preserve">. </w:t>
      </w:r>
      <w:r w:rsidR="00162897">
        <w:t xml:space="preserve">Furthermore, it is also generally well known that </w:t>
      </w:r>
      <w:r w:rsidR="006D7EBD">
        <w:t xml:space="preserve">spatial </w:t>
      </w:r>
      <w:r w:rsidR="005F4BE5">
        <w:t>heterogeneity</w:t>
      </w:r>
      <w:r w:rsidR="006D7EBD">
        <w:t xml:space="preserve"> can arise due to differences in fishing effort as well as </w:t>
      </w:r>
      <w:r w:rsidR="005F4BE5">
        <w:t xml:space="preserve">fishery selectivity patterns </w:t>
      </w:r>
      <w:r w:rsidR="00F425BE">
        <w:fldChar w:fldCharType="begin"/>
      </w:r>
      <w:r w:rsidR="00F425BE">
        <w:instrText xml:space="preserve"> ADDIN ZOTERO_ITEM CSL_CITATION {"citationID":"CmXatKGS","properties":{"formattedCitation":"(Cadrin 2020)","plainCitation":"(Cadrin 2020)","noteIndex":0},"citationItems":[{"id":14475,"uris":["http://zotero.org/users/6698527/items/FGBMJXKB"],"itemData":{"id":14475,"type":"article-journal","abstract":"In principle, the spatial extent of fishery stock assessment should reflect the biological population, and major fishing patterns or population heterogeneity within the area should be represented. However, these theoretical requirements are commonly dismissed in practice, often when there is compelling evidence that spatial scope and structure is mis-specified and without testing if the mis-specified model performs well for informing fishery management. Population dynamics theory, case studies in fishery management as well as simulation tests demonstrate that accurately accounting for spatial structure in stock assessments can improve model performance, and ignoring spatial structure can lead to misperceptions of stock status and failures in fisheries management. Therefore, the development of stock assessment applications should include an evaluation of the most appropriate spatial scope and structure. Some common challenges in defining and modeling spatial structure can be addressed by adopting general best practices, but each species and its fisheries are unique. Accordingly, determining the most appropriate spatial structure involves 1) an interdisciplinary synthesis of all available information to determine the most plausible paradigms of population structure and fishing patterns, 2) the development of spatial operating models that are conditioned on these paradigms, and 3) testing the performance of estimation models and management strategies that are based on the current spatial management unit as well as alternative spatial scopes and structures that reflect population structure and fishing patterns.","container-title":"Fisheries Research","DOI":"10.1016/j.fishres.2019.105397","ISSN":"01657836","journalAbbreviation":"Fisheries Research","language":"en","page":"105397","source":"DOI.org (Crossref)","title":"Defining spatial structure for fishery stock assessment","volume":"221","author":[{"family":"Cadrin","given":"Steven X."}],"issued":{"date-parts":[["2020",1]]}}}],"schema":"https://github.com/citation-style-language/schema/raw/master/csl-citation.json"} </w:instrText>
      </w:r>
      <w:r w:rsidR="00F425BE">
        <w:fldChar w:fldCharType="separate"/>
      </w:r>
      <w:r w:rsidR="00F425BE">
        <w:rPr>
          <w:noProof/>
        </w:rPr>
        <w:t>(Cadrin 2020)</w:t>
      </w:r>
      <w:r w:rsidR="00F425BE">
        <w:fldChar w:fldCharType="end"/>
      </w:r>
      <w:r w:rsidR="00F425BE">
        <w:t xml:space="preserve">. </w:t>
      </w:r>
      <w:r w:rsidR="005E2CB4">
        <w:t>As such,</w:t>
      </w:r>
      <w:r w:rsidR="002C5835">
        <w:t xml:space="preserve"> in an ideal world,</w:t>
      </w:r>
      <w:r w:rsidR="005E2CB4">
        <w:t xml:space="preserve"> this model will </w:t>
      </w:r>
      <w:r w:rsidR="00F37E57">
        <w:t xml:space="preserve">represent </w:t>
      </w:r>
      <w:r w:rsidR="00A70824">
        <w:t xml:space="preserve">gear </w:t>
      </w:r>
      <w:r w:rsidR="00A70824">
        <w:lastRenderedPageBreak/>
        <w:t>and area specific harvest patterns, where separate selectivity</w:t>
      </w:r>
      <w:r w:rsidR="009C6179">
        <w:t xml:space="preserve"> patterns</w:t>
      </w:r>
      <w:r w:rsidR="00A70824">
        <w:t xml:space="preserve"> and fishing mortality </w:t>
      </w:r>
      <w:r w:rsidR="00C465E0">
        <w:t>multipliers</w:t>
      </w:r>
      <w:r w:rsidR="00A70824">
        <w:t xml:space="preserve"> are estimated for each region</w:t>
      </w:r>
      <w:r w:rsidR="00176331">
        <w:t xml:space="preserve">. Given the metapopulation structure of this model, </w:t>
      </w:r>
      <w:r w:rsidR="00A77492">
        <w:t xml:space="preserve">vital rates will be estimated on a stock-specific basis. </w:t>
      </w:r>
    </w:p>
    <w:p w14:paraId="4A3A4C16" w14:textId="77777777" w:rsidR="003B2A91" w:rsidRDefault="003B2A91" w:rsidP="007F3866"/>
    <w:p w14:paraId="5E85E3C6" w14:textId="5FA46BDB" w:rsidR="00E746F2" w:rsidRDefault="00DF74BF" w:rsidP="00BD1835">
      <w:pPr>
        <w:ind w:firstLine="720"/>
      </w:pPr>
      <w:r>
        <w:t xml:space="preserve">For </w:t>
      </w:r>
      <w:r w:rsidR="0051258F">
        <w:t>information or analyses</w:t>
      </w:r>
      <w:r>
        <w:t xml:space="preserve"> that may help inform the appropriateness of this parameterization, </w:t>
      </w:r>
      <w:r w:rsidR="000E474D">
        <w:t xml:space="preserve">this would include </w:t>
      </w:r>
      <w:r w:rsidR="00D771E6">
        <w:t xml:space="preserve">any information that pertains to stock structure, spatial structure, and </w:t>
      </w:r>
      <w:r w:rsidR="00542BA6">
        <w:t>spatial boundaries. In particular, information such as genetic and natural markers</w:t>
      </w:r>
      <w:r w:rsidR="006B2D86">
        <w:t xml:space="preserve"> (</w:t>
      </w:r>
      <w:r w:rsidR="004A2976">
        <w:t>e.g., parasites, otoliths</w:t>
      </w:r>
      <w:r w:rsidR="006B2D86">
        <w:t>)</w:t>
      </w:r>
      <w:r w:rsidR="00542BA6">
        <w:t xml:space="preserve">, </w:t>
      </w:r>
      <w:r w:rsidR="005E4D67">
        <w:t>larval IBM studies coupled with oceanographic drivers</w:t>
      </w:r>
      <w:r w:rsidR="00DD4393">
        <w:t xml:space="preserve"> and</w:t>
      </w:r>
      <w:r w:rsidR="0088435A">
        <w:t xml:space="preserve"> </w:t>
      </w:r>
      <w:r w:rsidR="0088435A">
        <w:rPr>
          <w:i/>
          <w:iCs/>
        </w:rPr>
        <w:t>a priori</w:t>
      </w:r>
      <w:r w:rsidR="0088435A">
        <w:t xml:space="preserve"> knowledge of oceanographic features</w:t>
      </w:r>
      <w:r w:rsidR="00437F99">
        <w:t>, tagging and movement data</w:t>
      </w:r>
      <w:r w:rsidR="00854DB2">
        <w:t xml:space="preserve">, </w:t>
      </w:r>
      <w:r w:rsidR="00562B44">
        <w:t>and evaluation of fishery characteristics</w:t>
      </w:r>
      <w:r w:rsidR="00602C1B">
        <w:t xml:space="preserve"> (size and age-structure, and differences in abundance trends</w:t>
      </w:r>
      <w:r w:rsidR="00C54739">
        <w:t xml:space="preserve">) </w:t>
      </w:r>
      <w:r w:rsidR="00847D52">
        <w:t>can</w:t>
      </w:r>
      <w:r w:rsidR="00C54739">
        <w:t xml:space="preserve"> all be utilized to understand whether the </w:t>
      </w:r>
      <w:r w:rsidR="009B5FCE">
        <w:t xml:space="preserve">proposed parameterization is appropriate. </w:t>
      </w:r>
      <w:r w:rsidR="008F235C">
        <w:t xml:space="preserve">The use of genetic and natural markers, larval IBM studies, and knowledge of </w:t>
      </w:r>
      <w:r w:rsidR="005C05D1">
        <w:t>oceanographic</w:t>
      </w:r>
      <w:r w:rsidR="008F235C">
        <w:t xml:space="preserve"> features can </w:t>
      </w:r>
      <w:r w:rsidR="005C05D1">
        <w:t xml:space="preserve">all help understand whether the underlying stock structure, spatial structure, and stock boundaries are adequately defined. </w:t>
      </w:r>
      <w:r w:rsidR="00603D6C">
        <w:t>Additionally, this</w:t>
      </w:r>
      <w:r w:rsidR="00EB69DE">
        <w:t xml:space="preserve"> can be coupled with analyzing fishery or survey data (e.g., age composition or abundance indices) </w:t>
      </w:r>
      <w:r w:rsidR="00603D6C">
        <w:t>utilizing multivariate regression tress t</w:t>
      </w:r>
      <w:r w:rsidR="00361AD0">
        <w:t xml:space="preserve">o provide a further </w:t>
      </w:r>
      <w:r w:rsidR="00544682">
        <w:t>understand</w:t>
      </w:r>
      <w:r w:rsidR="00361AD0">
        <w:t xml:space="preserve"> </w:t>
      </w:r>
      <w:r w:rsidR="00313C22">
        <w:t xml:space="preserve">the appropriateness of spatial and gear </w:t>
      </w:r>
      <w:r w:rsidR="00361AD0">
        <w:t xml:space="preserve">delineations </w:t>
      </w:r>
      <w:r w:rsidR="00544682">
        <w:fldChar w:fldCharType="begin"/>
      </w:r>
      <w:r w:rsidR="00544682">
        <w:instrText xml:space="preserve"> ADDIN ZOTERO_ITEM CSL_CITATION {"citationID":"vRcD1cBS","properties":{"formattedCitation":"(Lennert-Cody et al. 2010, 2013)","plainCitation":"(Lennert-Cody et al. 2010, 2013)","noteIndex":0},"citationItems":[{"id":9219,"uris":["http://zotero.org/users/6698527/items/BYHLHXQE"],"itemData":{"id":9219,"type":"article-journal","abstract":"Understanding the spatial–temporal distributions of ﬁsh populations is important for their assessment and management. Given the complex structure often present in ﬁsheries length–frequency samples, there is a need for ﬂexible statistical techniques to explore patterns with these types of data. We present a multivariate regression tree method for binned frequencies that uses the Kullback–Leibler divergence to measure node heterogeneity. To illustrate this approach, we apply the method to length–frequency data for yellowﬁn tuna caught in the purse-seine ﬁshery of the eastern Paciﬁc Ocean.","container-title":"Fisheries Research","DOI":"10.1016/j.fishres.2009.11.014","ISSN":"01657836","issue":"3","journalAbbreviation":"Fisheries Research","language":"en","page":"323-326","source":"DOI.org (Crossref)","title":"Exploratory analysis of spatial–temporal patterns in length–frequency data: An example of distributional regression trees","title-short":"Exploratory analysis of spatial–temporal patterns in length–frequency data","volume":"102","author":[{"family":"Lennert-Cody","given":"Cleridy E."},{"family":"Minami","given":"Mihoko"},{"family":"Tomlinson","given":"Patrick K."},{"family":"Maunder","given":"Mark N."}],"issued":{"date-parts":[["2010",3]]}}},{"id":9220,"uris":["http://zotero.org/users/6698527/items/275M33IE"],"itemData":{"id":9220,"type":"article-journal","container-title":"Fisheries Research","DOI":"10.1016/j.fishres.2012.10.001","ISSN":"01657836","journalAbbreviation":"Fisheries Research","language":"en","page":"85-92","source":"DOI.org (Crossref)","title":"Defining population spatial units: Simultaneous analysis of frequency distributions and time series","title-short":"Defining population spatial units","volume":"139","author":[{"family":"Lennert-Cody","given":"Cleridy E."},{"family":"Maunder","given":"Mark N."},{"family":"Aires-da-Silva","given":"Alexandre"},{"family":"Minami","given":"Mihoko"}],"issued":{"date-parts":[["2013",3]]}}}],"schema":"https://github.com/citation-style-language/schema/raw/master/csl-citation.json"} </w:instrText>
      </w:r>
      <w:r w:rsidR="00544682">
        <w:fldChar w:fldCharType="separate"/>
      </w:r>
      <w:r w:rsidR="00544682">
        <w:rPr>
          <w:noProof/>
        </w:rPr>
        <w:t>(Lennert-Cody et al. 2010, 2013)</w:t>
      </w:r>
      <w:r w:rsidR="00544682">
        <w:fldChar w:fldCharType="end"/>
      </w:r>
      <w:r w:rsidR="00BE10CA">
        <w:t xml:space="preserve">. </w:t>
      </w:r>
      <w:r w:rsidR="00E03B1D">
        <w:t xml:space="preserve">Analysis of </w:t>
      </w:r>
      <w:r w:rsidR="005C05D1">
        <w:t xml:space="preserve">movement and tagging data </w:t>
      </w:r>
      <w:r w:rsidR="0035449D">
        <w:t>outside of the stock assessment</w:t>
      </w:r>
      <w:r w:rsidR="00EF6040">
        <w:t xml:space="preserve"> can similarly inform the </w:t>
      </w:r>
      <w:r w:rsidR="004D28A5">
        <w:t>appropriateness</w:t>
      </w:r>
      <w:r w:rsidR="00EF6040">
        <w:t xml:space="preserve"> of the proposed population </w:t>
      </w:r>
      <w:r w:rsidR="00D23343">
        <w:t>structure but</w:t>
      </w:r>
      <w:r w:rsidR="00EF6040">
        <w:t xml:space="preserve"> can also help </w:t>
      </w:r>
      <w:r w:rsidR="004D28A5">
        <w:t>inform the degree of flexibility that may be required for parameterizing movement</w:t>
      </w:r>
      <w:r w:rsidR="00D23343">
        <w:t xml:space="preserve"> dynamics</w:t>
      </w:r>
      <w:r w:rsidR="003328D5">
        <w:t xml:space="preserve"> (e.g., if movements are consistent across time). </w:t>
      </w:r>
    </w:p>
    <w:p w14:paraId="491F1DAF" w14:textId="77777777" w:rsidR="00742763" w:rsidRDefault="00742763" w:rsidP="00BD1835">
      <w:pPr>
        <w:ind w:firstLine="720"/>
      </w:pPr>
    </w:p>
    <w:p w14:paraId="4A72FA9E" w14:textId="2E5A5FE8" w:rsidR="00742763" w:rsidRDefault="00742763" w:rsidP="00BD1835">
      <w:pPr>
        <w:ind w:firstLine="720"/>
      </w:pPr>
      <w:r>
        <w:t xml:space="preserve">Several types of data are needed to inform such a complex model. Notably, to adequately estimate natal homing and stock-specific dynamics, stock-composition data for ages and tagged </w:t>
      </w:r>
      <w:r w:rsidR="001D297F">
        <w:t>individuals</w:t>
      </w:r>
      <w:r>
        <w:t xml:space="preserve"> are required</w:t>
      </w:r>
      <w:r w:rsidR="003A5978">
        <w:t xml:space="preserve"> (annual)</w:t>
      </w:r>
      <w:r>
        <w:t xml:space="preserve">. </w:t>
      </w:r>
      <w:r w:rsidR="001D297F">
        <w:t xml:space="preserve">Thus, some form of genetic information is required in this model. Similar to many integrated assessment frameworks, catch data, </w:t>
      </w:r>
      <w:r w:rsidR="00200239">
        <w:t>age-composition data</w:t>
      </w:r>
      <w:r w:rsidR="00190EAB">
        <w:t xml:space="preserve"> (</w:t>
      </w:r>
      <w:r w:rsidR="00190EAB">
        <w:t>gear, year, and region</w:t>
      </w:r>
      <w:r w:rsidR="00190EAB">
        <w:t xml:space="preserve"> specific)</w:t>
      </w:r>
      <w:r w:rsidR="00200239">
        <w:t xml:space="preserve">, </w:t>
      </w:r>
      <w:r w:rsidR="003901C5">
        <w:t xml:space="preserve">and </w:t>
      </w:r>
      <w:r w:rsidR="00F45AAF">
        <w:t xml:space="preserve">survey </w:t>
      </w:r>
      <w:r w:rsidR="003901C5">
        <w:t>abundance indices are required for this model.</w:t>
      </w:r>
      <w:r w:rsidR="007C21D9">
        <w:t xml:space="preserve"> </w:t>
      </w:r>
      <w:r w:rsidR="00D83B9C">
        <w:t xml:space="preserve">Furthermore, growth data (length, age, weight) should also be </w:t>
      </w:r>
      <w:r w:rsidR="00BF505F">
        <w:t>available</w:t>
      </w:r>
      <w:r w:rsidR="00D83B9C">
        <w:t xml:space="preserve"> for all regions </w:t>
      </w:r>
      <w:r w:rsidR="00BF505F">
        <w:t xml:space="preserve">and stocks in this model formulation. </w:t>
      </w:r>
      <w:r w:rsidR="00C15AD5">
        <w:t xml:space="preserve">In a perfect world, it would also be ideal to integrate </w:t>
      </w:r>
      <w:r w:rsidR="000C777E">
        <w:t xml:space="preserve">abundance </w:t>
      </w:r>
      <w:r w:rsidR="00DB0B67">
        <w:t>estimates</w:t>
      </w:r>
      <w:r w:rsidR="00AF0A32">
        <w:t xml:space="preserve"> from genetic </w:t>
      </w:r>
      <w:r w:rsidR="00DB0B67">
        <w:t>tagging studies</w:t>
      </w:r>
      <w:r w:rsidR="00B31685">
        <w:t xml:space="preserve">, which could help inform a variety of processes (mortality, abundance, stock origin), while </w:t>
      </w:r>
      <w:r w:rsidR="00923A40">
        <w:t xml:space="preserve">circumventing the need to estimate nuisance parameters that are commonly necessary for utilizing convention tag data (tag mortality, shedding, mixing) </w:t>
      </w:r>
      <w:r w:rsidR="002E7044">
        <w:fldChar w:fldCharType="begin"/>
      </w:r>
      <w:r w:rsidR="002E7044">
        <w:instrText xml:space="preserve"> ADDIN ZOTERO_ITEM CSL_CITATION {"citationID":"aQ0f53gF","properties":{"formattedCitation":"(Bravington et al. 2016; Trenkel et al. 2022)","plainCitation":"(Bravington et al. 2016; Trenkel et al. 2022)","noteIndex":0},"citationItems":[{"id":6241,"uris":["http://zotero.org/users/6698527/items/BGNE2PQJ"],"itemData":{"id":6241,"type":"article-journal","abstract":"Mark-recapture (MR) methods are commonly used to study wildlife populations. Taking advantage of modern genetics one can generalize from “recapture of self” to “recapture of closely-related kin”. Abundance and other demographic parameters of adults can then be estimated using, if necessary, only samples from dead animals (live-release is optional). This greatly widens the scope of MR, e.g. to commercial ﬁsheries where largescale tagging is impractical, and enhances the power of conventional MR studies where live release and tissue sampling is possible. We give explicit formulae for kinship (i.e., recapture) probabilities in general and speciﬁc cases. These yield a pseudo-likelihood based on pairwise comparisons of individuals in the samples. It is shown that the pseudo-likelihood approximates the full likelihood under sparse sampling of large populations. Experimental design is addressed via the principle of maximizing the Fisher information for parameters of interest. Finally, we discuss challenges related to kinship determination from genetic data, focusing on current limitations and future possibilities.","container-title":"Statistical Science","DOI":"10.1214/16-STS552","ISSN":"0883-4237","issue":"2","journalAbbreviation":"Statist. Sci.","language":"en","source":"DOI.org (Crossref)","title":"Close-Kin Mark-Recapture","URL":"https://projecteuclid.org/journals/statistical-science/volume-31/issue-2/Close-Kin-Mark-Recapture/10.1214/16-STS552.full","volume":"31","author":[{"family":"Bravington","given":"Mark V."},{"family":"Skaug","given":"Hans J."},{"family":"Anderson","given":"Eric C."}],"accessed":{"date-parts":[["2022",9,20]]},"issued":{"date-parts":[["2016",5,1]]}}},{"id":10656,"uris":["http://zotero.org/users/6698527/items/S9TQUYUU"],"itemData":{"id":10656,"type":"article-journal","abstract":"We present practical lessons learned from applying the recent close-kin mark–recapture (CKMR) abundance estimation method to thornback ray (Raja clavata). For CKMR, related individuals are identified from their genotypes and their number and pattern is used for abundance estimation. We genotyped over 7000 individuals collected in the Bay of Biscay using Single Nucleotide Polymorphism (SNP) markers finding 99 parent–offspring pairs. The estimated number of adult thornback rays in the central Bay of Biscay was around 135000 (CV 0.19) in 2013. In total, four lessons were drawn: (i) CKMR helps identifying metapopulation structure, which if ignored might affect abundance estimates and/or time trends. There was strong evidence for two distinct local populations of thornback ray with no demographic connectivity. (ii) Demographic sample composition can affect precision and needs to include a range of birth years, which turned out to be difficult for thornback ray. (iii) Reasonable age information for potential offspring is essential. (iv) The sex of potential parents is needed and might be identified from sex-related SNPs. Reliable abundance estimation by CKMR appears feasible for a wide range of species provided that: sampling adequately covers potential local population structure, has appropriate demographic composition, and the age of potential offspring is reasonably well-known.","container-title":"ICES Journal of Marine Science","DOI":"10.1093/icesjms/fsac002","ISSN":"1054-3139, 1095-9289","issue":"2","language":"en","page":"413-422","source":"DOI.org (Crossref)","title":"Close-kin mark–recapture abundance estimation: practical insights and lessons learned","title-short":"Close-kin mark–recapture abundance estimation","volume":"79","author":[{"family":"Trenkel","given":"Verena M"},{"family":"Charrier","given":"Grégory"},{"family":"Lorance","given":"Pascal"},{"family":"Bravington","given":"Mark V"}],"editor":[{"family":"Hauser","given":"Lorenz"}],"issued":{"date-parts":[["2022",3,10]]}}}],"schema":"https://github.com/citation-style-language/schema/raw/master/csl-citation.json"} </w:instrText>
      </w:r>
      <w:r w:rsidR="002E7044">
        <w:fldChar w:fldCharType="separate"/>
      </w:r>
      <w:r w:rsidR="002E7044">
        <w:rPr>
          <w:noProof/>
        </w:rPr>
        <w:t>(Bravington et al. 2016; Trenkel et al. 2022)</w:t>
      </w:r>
      <w:r w:rsidR="002E7044">
        <w:fldChar w:fldCharType="end"/>
      </w:r>
      <w:r w:rsidR="002E7044">
        <w:t>.</w:t>
      </w:r>
    </w:p>
    <w:p w14:paraId="624C2603" w14:textId="77777777" w:rsidR="009046BF" w:rsidRDefault="009046BF" w:rsidP="00BD1835">
      <w:pPr>
        <w:ind w:firstLine="720"/>
      </w:pPr>
    </w:p>
    <w:p w14:paraId="2ABFD021" w14:textId="3F121750" w:rsidR="009046BF" w:rsidRDefault="009046BF" w:rsidP="00421711">
      <w:pPr>
        <w:ind w:firstLine="720"/>
      </w:pPr>
      <w:r>
        <w:t xml:space="preserve">However, </w:t>
      </w:r>
      <w:r w:rsidR="000971F5">
        <w:t>the described framework above requires an abundance of data,</w:t>
      </w:r>
      <w:r w:rsidR="00BF1247">
        <w:t xml:space="preserve"> and may suffer from issues related to model overparameterization. Thus, several simplifying assumptions may need to be made. For example, instead of specifying gear and area specific parameters to descri</w:t>
      </w:r>
      <w:r w:rsidR="004557CA">
        <w:t xml:space="preserve">be selectivity patterns, it may be necessary to constrain estimation procedures by sharing selectivity parameters across areas. </w:t>
      </w:r>
      <w:r w:rsidR="00F90A67">
        <w:t>Alternatively, another</w:t>
      </w:r>
      <w:r w:rsidR="00C63036">
        <w:t xml:space="preserve"> constraint that could be imposed could </w:t>
      </w:r>
      <w:r w:rsidR="00687AB1">
        <w:t xml:space="preserve">include </w:t>
      </w:r>
      <w:r w:rsidR="003E2E5E">
        <w:t xml:space="preserve">aggregating gear-specific information within an </w:t>
      </w:r>
      <w:proofErr w:type="gramStart"/>
      <w:r w:rsidR="003E2E5E">
        <w:t>area, but</w:t>
      </w:r>
      <w:proofErr w:type="gramEnd"/>
      <w:r w:rsidR="003E2E5E">
        <w:t xml:space="preserve"> estimating area-specific selectivity </w:t>
      </w:r>
      <w:r w:rsidR="006903F8">
        <w:t>parameters</w:t>
      </w:r>
      <w:r w:rsidR="003E2E5E">
        <w:t xml:space="preserve">. </w:t>
      </w:r>
      <w:r w:rsidR="00345590">
        <w:t xml:space="preserve">With respect to movement parameterizations, </w:t>
      </w:r>
      <w:r w:rsidR="00E745B7">
        <w:t>constrain</w:t>
      </w:r>
      <w:r w:rsidR="00B650D4">
        <w:t>t</w:t>
      </w:r>
      <w:r w:rsidR="00E745B7">
        <w:t xml:space="preserve">s could be placed by allowing age and year parameters to vary </w:t>
      </w:r>
      <w:r w:rsidR="004426D7">
        <w:t xml:space="preserve">as </w:t>
      </w:r>
      <w:r w:rsidR="00831C83">
        <w:t>discrete</w:t>
      </w:r>
      <w:r w:rsidR="00B650D4">
        <w:t xml:space="preserve"> time-blocks, </w:t>
      </w:r>
      <w:r w:rsidR="00831C83">
        <w:t xml:space="preserve">utilizing state-space implementations to </w:t>
      </w:r>
      <w:r w:rsidR="00831C83">
        <w:lastRenderedPageBreak/>
        <w:t xml:space="preserve">reduce the number of effective parameters estimated, or imposing a functional form for age-specific </w:t>
      </w:r>
      <w:r w:rsidR="00DA6A24">
        <w:t>movement estimates (or a gravity model)</w:t>
      </w:r>
      <w:r w:rsidR="0056539D">
        <w:t>.</w:t>
      </w:r>
      <w:r w:rsidR="00F07BC7">
        <w:t xml:space="preserve"> </w:t>
      </w:r>
      <w:r w:rsidR="00283653">
        <w:t xml:space="preserve">Movement </w:t>
      </w:r>
      <w:r w:rsidR="00772CA2">
        <w:t>parameters</w:t>
      </w:r>
      <w:r w:rsidR="00283653">
        <w:t xml:space="preserve"> </w:t>
      </w:r>
      <w:r w:rsidR="00470417">
        <w:t xml:space="preserve">could also be </w:t>
      </w:r>
      <w:r w:rsidR="008F7B98">
        <w:t xml:space="preserve">estimated external to an assessment model </w:t>
      </w:r>
      <w:r w:rsidR="0036082C">
        <w:t xml:space="preserve">and be utilized as fixed inputs or priors </w:t>
      </w:r>
      <w:r w:rsidR="00421711">
        <w:t>to further constrain estimation if necessary</w:t>
      </w:r>
      <w:r w:rsidR="0036082C">
        <w:t xml:space="preserve">. </w:t>
      </w:r>
      <w:r w:rsidR="00F07BC7">
        <w:t>Furthermore, if tag data are not available, movement parameters can still be estimated, although</w:t>
      </w:r>
      <w:r w:rsidR="006062E7">
        <w:t xml:space="preserve"> these estimates</w:t>
      </w:r>
      <w:r w:rsidR="00F07BC7">
        <w:t xml:space="preserve"> can be highly confounded with recruitment estimates</w:t>
      </w:r>
      <w:r w:rsidR="00D96E29">
        <w:t xml:space="preserve"> </w:t>
      </w:r>
      <w:r w:rsidR="00843847">
        <w:fldChar w:fldCharType="begin"/>
      </w:r>
      <w:r w:rsidR="00843847">
        <w:instrText xml:space="preserve"> ADDIN ZOTERO_ITEM CSL_CITATION {"citationID":"je8yONLq","properties":{"formattedCitation":"(Hulson et al. 2013; Bosley et al. 2022)","plainCitation":"(Hulson et al. 2013; Bosley et al. 2022)","noteIndex":0},"citationItems":[{"id":2582,"uris":["http://zotero.org/users/6698527/items/77LI6RKM"],"itemData":{"id":2582,"type":"article-journal","abstract":"Climate change may affect the spatial distribution of ﬁsh populations in ways that would affect the accuracy of spatially aggregated age-structured assessment models. To evaluate such scenarios, spatially aggregated models were compared with spatially explicit models using simulations. These scenarios were based on hypothetical climate-driven distribution shifts and reductions in mean recruitment of walleye pollock (Gadus chalcogrammus) in the eastern Bering Sea. Results indicate that biomass estimates were reasonably accurate for both types of estimation models and precision improved with the inclusion of tagging data. Bias in some aggregated model scenarios could be attributed to unaccounted-for process errors in annual ﬁshing mortality rates and was reduced when estimating effective sample size or time-varying selectivity. Spatially explicit models that allow estimation of variability in movement and ontogenetic parameters (speciﬁed as a random walk process) were shown to be feasible, whereas models that misspeciﬁed ontogenetic movement and climate change effects resulted in biased biomass and movement parameter estimates. These results illustrate that more complex models may characterize processes better but may be less robust for management advice.","container-title":"Canadian Journal of Fisheries and Aquatic Sciences","DOI":"10.1139/cjfas-2013-0020","ISSN":"0706-652X, 1205-7533","issue":"9","journalAbbreviation":"Can. J. Fish. Aquat. Sci.","language":"en","page":"1402-1416","source":"DOI.org (Crossref)","title":"Spatial modeling of Bering Sea walleye pollock with integrated age-structured assessment models in a changing environment","volume":"70","author":[{"family":"Hulson","given":"Peter-John F."},{"family":"Quinn","given":"Terrance J."},{"family":"Hanselman","given":"Dana H."},{"family":"Ianelli","given":"James N."}],"editor":[{"family":"Rose","given":"Kenneth"}],"issued":{"date-parts":[["2013",9]]}}},{"id":2230,"uris":["http://zotero.org/users/6698527/items/K7EWIXBX"],"itemData":{"id":2230,"type":"article-journal","abstract":"Spatially stratified integrated population models (IPMs) can account for fine-­scale demographic processes and support spatial management for complex, heterogeneous populations. Although spatial IPMs may provide a more realistic representation of true population dynamics, few studies have evaluated the consequences associated with incorrect assumptions regarding population structure and connectivity. We utilized a simulation-­estimation framework to explore how mismatches between the true population structure (i.e. uniform, single population with spatial heterogeneity or metapopulation) and various parametrizations of an IPM (i.e. panmictic, fleets-­as-­ areas or a spatially explicit, tag-­integrated model) impacted resultant fish population estimates. When population structure was incorrectly specified in the IPM, parameter estimates were generally unbiased at the system level, but were often biased for sub-­areas. Correctly specifying population structure in spatial IPMs led to strong performance, whereas incorrectly specified spatial IPMs performed adequately (and better than spatially aggregated counterparts). Allowing for flexible parametrization of movement rates (e.g. estimating age-­varying values) was more important than correctly identifying the population structure, and incorporation of tag-­recapture data helped movement estimation. Our results elucidate how incorrect population structure assumptions can influence the estimation of key parameters of spatial IPMs, while indicating that, even if incorrectly specified, spatial IPMs can adequately support spatial management decisions.","container-title":"Fish and Fisheries","DOI":"10.1111/faf.12616","ISSN":"1467-2960, 1467-2979","issue":"2","journalAbbreviation":"Fish and Fisheries","language":"en","page":"294-315","source":"DOI.org (Crossref)","title":"Finding the perfect mismatch: Evaluating misspecification of population structure within spatially explicit integrated population models","title-short":"Finding the perfect mismatch","volume":"23","author":[{"family":"Bosley","given":"Katelyn M."},{"family":"Schueller","given":"Amy M."},{"family":"Goethel","given":"Daniel R."},{"family":"Hanselman","given":"Dana H."},{"family":"Fenske","given":"Kari H."},{"family":"Berger","given":"Aaron M."},{"family":"Deroba","given":"Jonathan J."},{"family":"Langseth","given":"Brian J."}],"issued":{"date-parts":[["2022",3]]}}}],"schema":"https://github.com/citation-style-language/schema/raw/master/csl-citation.json"} </w:instrText>
      </w:r>
      <w:r w:rsidR="00843847">
        <w:fldChar w:fldCharType="separate"/>
      </w:r>
      <w:r w:rsidR="00843847">
        <w:rPr>
          <w:noProof/>
        </w:rPr>
        <w:t>(Hulson et al. 2013; Bosley et al. 2022)</w:t>
      </w:r>
      <w:r w:rsidR="00843847">
        <w:fldChar w:fldCharType="end"/>
      </w:r>
      <w:r w:rsidR="00843847">
        <w:t xml:space="preserve">. </w:t>
      </w:r>
      <w:r w:rsidR="0056539D">
        <w:t xml:space="preserve"> </w:t>
      </w:r>
      <w:r w:rsidR="00B14FCE">
        <w:t xml:space="preserve">Additionally, if data are not collected on the </w:t>
      </w:r>
      <w:r w:rsidR="003B5C6D">
        <w:t>appropriate</w:t>
      </w:r>
      <w:r w:rsidR="00B14FCE">
        <w:t xml:space="preserve"> scales, it may be </w:t>
      </w:r>
      <w:r w:rsidR="003B5C6D">
        <w:t xml:space="preserve">necessary to allow for flexible likelihood functions that are able to fit to </w:t>
      </w:r>
      <w:r w:rsidR="00456867">
        <w:t xml:space="preserve">both </w:t>
      </w:r>
      <w:r w:rsidR="00817123">
        <w:t xml:space="preserve">spatially aggregated and spatially explicit data. </w:t>
      </w:r>
      <w:r w:rsidR="00A96EE2">
        <w:t xml:space="preserve">The burden on estimating tag </w:t>
      </w:r>
      <w:r w:rsidR="00AE7FD9">
        <w:t>parameters</w:t>
      </w:r>
      <w:r w:rsidR="00A96EE2">
        <w:t xml:space="preserve"> (e.g., tag shedding</w:t>
      </w:r>
      <w:r w:rsidR="00AE7FD9">
        <w:t xml:space="preserve">, </w:t>
      </w:r>
      <w:r w:rsidR="00A96EE2">
        <w:t>mortality)</w:t>
      </w:r>
      <w:r w:rsidR="00471318">
        <w:t xml:space="preserve"> could </w:t>
      </w:r>
      <w:r w:rsidR="00D74816">
        <w:t>also be</w:t>
      </w:r>
      <w:r w:rsidR="00471318">
        <w:t xml:space="preserve"> circumvented by </w:t>
      </w:r>
      <w:r w:rsidR="000B7D02">
        <w:t xml:space="preserve">conducting double-tag studies when tagging operations are </w:t>
      </w:r>
      <w:r w:rsidR="009A286F">
        <w:t>underway and</w:t>
      </w:r>
      <w:r w:rsidR="000B7D02">
        <w:t xml:space="preserve"> utilizing these external estimates to reduce estimation complexity. </w:t>
      </w:r>
      <w:r w:rsidR="00B170D3">
        <w:t xml:space="preserve">It </w:t>
      </w:r>
      <w:r w:rsidR="009A286F">
        <w:t xml:space="preserve">may be necessary to fix certain demographic parameters, particularly for those that might not exhibit </w:t>
      </w:r>
      <w:r w:rsidR="00B46B12">
        <w:t>strong</w:t>
      </w:r>
      <w:r w:rsidR="009A286F">
        <w:t xml:space="preserve"> spatial </w:t>
      </w:r>
      <w:r w:rsidR="00B46B12">
        <w:t xml:space="preserve">or stock-specific </w:t>
      </w:r>
      <w:r w:rsidR="00E841BA">
        <w:t>variation</w:t>
      </w:r>
      <w:r w:rsidR="00DD2E52">
        <w:t xml:space="preserve"> (also may just need to make a simplifying assumption for parameters like natural mortality).</w:t>
      </w:r>
    </w:p>
    <w:p w14:paraId="2B2CDA38" w14:textId="77777777" w:rsidR="00AE7FD9" w:rsidRDefault="00AE7FD9" w:rsidP="00BD1835">
      <w:pPr>
        <w:ind w:firstLine="720"/>
      </w:pPr>
    </w:p>
    <w:p w14:paraId="7F5E0467" w14:textId="608600BB" w:rsidR="00210150" w:rsidRDefault="00390438" w:rsidP="004D2C54">
      <w:r>
        <w:tab/>
      </w:r>
      <w:r w:rsidR="00F60203">
        <w:t>A key</w:t>
      </w:r>
      <w:r w:rsidR="00B044BA">
        <w:t xml:space="preserve"> benefit of a </w:t>
      </w:r>
      <w:r w:rsidR="009219D1">
        <w:t>spatially explicit</w:t>
      </w:r>
      <w:r w:rsidR="00B044BA">
        <w:t xml:space="preserve"> model is that it </w:t>
      </w:r>
      <w:r w:rsidR="0001429D">
        <w:t>estimates</w:t>
      </w:r>
      <w:r w:rsidR="00F17E27">
        <w:t xml:space="preserve"> </w:t>
      </w:r>
      <w:r w:rsidR="00B044BA">
        <w:t>population/area-speci</w:t>
      </w:r>
      <w:r w:rsidR="00F52FBA">
        <w:t xml:space="preserve">fic trajectories, which </w:t>
      </w:r>
      <w:r w:rsidR="00833CC5">
        <w:t xml:space="preserve">can allow the explicit monitoring and </w:t>
      </w:r>
      <w:r w:rsidR="00853441">
        <w:t xml:space="preserve">management of </w:t>
      </w:r>
      <w:r w:rsidR="00D87E92">
        <w:t xml:space="preserve">specific stocks/areas. </w:t>
      </w:r>
      <w:r w:rsidR="0046418F">
        <w:t xml:space="preserve">As such, </w:t>
      </w:r>
      <w:r w:rsidR="005C29E3">
        <w:t xml:space="preserve">stock status should be reflected on the meta-population level, where </w:t>
      </w:r>
      <w:r w:rsidR="00092351">
        <w:t xml:space="preserve">population </w:t>
      </w:r>
      <w:r w:rsidR="005B5BD6">
        <w:t xml:space="preserve">spawning biomass relative to </w:t>
      </w:r>
      <w:r w:rsidR="00C64B78">
        <w:t>a population</w:t>
      </w:r>
      <w:r w:rsidR="009014FD">
        <w:t xml:space="preserve"> specific </w:t>
      </w:r>
      <w:r w:rsidR="005B5BD6">
        <w:t xml:space="preserve">reference point </w:t>
      </w:r>
      <w:r w:rsidR="00842F07">
        <w:t xml:space="preserve">are derived. </w:t>
      </w:r>
      <w:r w:rsidR="005B5BD6">
        <w:t xml:space="preserve"> </w:t>
      </w:r>
      <w:r w:rsidR="00D03BE3">
        <w:t>If</w:t>
      </w:r>
      <w:r w:rsidR="009219D1">
        <w:t xml:space="preserve"> </w:t>
      </w:r>
      <w:r w:rsidR="00B92808">
        <w:t xml:space="preserve">explicit stock-recruitment functions (i.e., those with depensation and/or compensation) are estimated, </w:t>
      </w:r>
      <w:r w:rsidR="00FB096E">
        <w:t xml:space="preserve">reference points related to </w:t>
      </w:r>
      <w:proofErr w:type="spellStart"/>
      <w:r w:rsidR="00FB096E">
        <w:t>Fmsy</w:t>
      </w:r>
      <w:proofErr w:type="spellEnd"/>
      <w:r w:rsidR="00FB096E">
        <w:t xml:space="preserve"> can be derived</w:t>
      </w:r>
      <w:r w:rsidR="00421C93">
        <w:t xml:space="preserve"> </w:t>
      </w:r>
      <w:r w:rsidR="00081859">
        <w:fldChar w:fldCharType="begin"/>
      </w:r>
      <w:r w:rsidR="00081859">
        <w:instrText xml:space="preserve"> ADDIN ZOTERO_ITEM CSL_CITATION {"citationID":"oIDzPH9s","properties":{"formattedCitation":"(Sissenwine and Shepherd 1987)","plainCitation":"(Sissenwine and Shepherd 1987)","noteIndex":0},"citationItems":[{"id":721,"uris":["http://zotero.org/users/6698527/items/Y7C8D5K6"],"itemData":{"id":721,"type":"article-journal","abstract":"Biological reference points are used to guide fisheries management decisions. The reference points most often used are expressed in terms of fishing mortality rate (F). F\n              msy\n              relates to the maximization of sustainable yield. In principle, it is a most useful reference point, but in practice it is difficult to estimate. F\n              max\n              and F\n              0.1\n              relate to certain levels of yield per recruit and are easily estimated, but they ignore conservation of the resource. Recruitment overfishing has usually been understood to occur when a population has been fished down to a point where recruitment is substantially reduced or fails. It has not been used as a basis for a biological reference point because the definition is vague and cannot be readily related to fishing mortality. Levels of spawning biomass below which recruitment seems to be reduced have been used, but their determination from available data is usually difficult and controversial. We propose an alternative definition of recruitment overfishing in terms of the level of fishing pressure that reduces the spawning biomass of a year class over its lifetime below the spawning biomass of its parents on average. Conventional models and types of data can be used to determine this level of F, denoted as F\n              rep\n              , which clearly relates to the replacement of spawning biomass and thus to sustainability of a population and yield in the long term.","container-title":"Canadian Journal of Fisheries and Aquatic Sciences","DOI":"10.1139/f87-110","ISSN":"0706-652X, 1205-7533","issue":"4","journalAbbreviation":"Can. J. Fish. Aquat. Sci.","language":"en","page":"913-918","source":"DOI.org (Crossref)","title":"An Alternative Perspective on Recruitment Overfishing and Biological Reference Points","volume":"44","author":[{"family":"Sissenwine","given":"M. P."},{"family":"Shepherd","given":"J. G."}],"issued":{"date-parts":[["1987",4,1]]}}}],"schema":"https://github.com/citation-style-language/schema/raw/master/csl-citation.json"} </w:instrText>
      </w:r>
      <w:r w:rsidR="00081859">
        <w:fldChar w:fldCharType="separate"/>
      </w:r>
      <w:r w:rsidR="00081859">
        <w:rPr>
          <w:noProof/>
        </w:rPr>
        <w:t xml:space="preserve">(using </w:t>
      </w:r>
      <w:r w:rsidR="004D2C54">
        <w:rPr>
          <w:noProof/>
        </w:rPr>
        <w:t>the approach of</w:t>
      </w:r>
      <w:r w:rsidR="00081859">
        <w:rPr>
          <w:noProof/>
        </w:rPr>
        <w:t xml:space="preserve"> Sissenwine and Shepherd 1987)</w:t>
      </w:r>
      <w:r w:rsidR="00081859">
        <w:fldChar w:fldCharType="end"/>
      </w:r>
      <w:r w:rsidR="00FB096E">
        <w:t xml:space="preserve">. However, if the </w:t>
      </w:r>
      <w:r w:rsidR="000A66B0">
        <w:t>estimation</w:t>
      </w:r>
      <w:r w:rsidR="00FB096E">
        <w:t xml:space="preserve"> of such </w:t>
      </w:r>
      <w:r w:rsidR="000A66B0">
        <w:t>functions</w:t>
      </w:r>
      <w:r w:rsidR="00FB096E">
        <w:t xml:space="preserve"> </w:t>
      </w:r>
      <w:r w:rsidR="007C1148">
        <w:t>is</w:t>
      </w:r>
      <w:r w:rsidR="000A66B0">
        <w:t xml:space="preserve"> not feasible (i.e., no production function here)</w:t>
      </w:r>
      <w:r w:rsidR="005B04D7">
        <w:t xml:space="preserve"> then spawning potential ratio </w:t>
      </w:r>
      <w:r w:rsidR="00210150">
        <w:t xml:space="preserve">(SPR) </w:t>
      </w:r>
      <w:r w:rsidR="005B04D7">
        <w:t>proxies should be utilized instead</w:t>
      </w:r>
      <w:r w:rsidR="0092000E">
        <w:t xml:space="preserve">, where the </w:t>
      </w:r>
      <w:r w:rsidR="00AF7776">
        <w:t>level of SPR likely depend on the resiliency of the stock</w:t>
      </w:r>
      <w:r w:rsidR="00C86990">
        <w:t xml:space="preserve">. The most appropriate level of the SPR proxy should be evaluated using management strategy evaluations. </w:t>
      </w:r>
      <w:r w:rsidR="005E1A8E">
        <w:t xml:space="preserve">Irrespective of whether </w:t>
      </w:r>
      <w:proofErr w:type="spellStart"/>
      <w:r w:rsidR="005E1A8E">
        <w:t>Fmsy</w:t>
      </w:r>
      <w:proofErr w:type="spellEnd"/>
      <w:r w:rsidR="005E1A8E">
        <w:t xml:space="preserve"> or </w:t>
      </w:r>
      <w:r w:rsidR="00EE7251">
        <w:t xml:space="preserve">SPR proxies are utilized, </w:t>
      </w:r>
      <w:r w:rsidR="00B34651">
        <w:t>estimated</w:t>
      </w:r>
      <w:r w:rsidR="00121A2F">
        <w:t xml:space="preserve"> quantities </w:t>
      </w:r>
      <w:r w:rsidR="00B34651">
        <w:t xml:space="preserve">from the spatial framework can be utilized </w:t>
      </w:r>
      <w:r w:rsidR="00A870B0">
        <w:t xml:space="preserve">to simulate population dynamics forward, until the population reaches some equilibria. </w:t>
      </w:r>
      <w:r w:rsidR="007415D2">
        <w:t>Concomitantly</w:t>
      </w:r>
      <w:r w:rsidR="00A870B0">
        <w:t xml:space="preserve">, </w:t>
      </w:r>
      <w:r w:rsidR="00FC5C51">
        <w:t xml:space="preserve">combinations of </w:t>
      </w:r>
      <w:r w:rsidR="007415D2">
        <w:t>stock/region and gear specific values of fishing mortality</w:t>
      </w:r>
      <w:r w:rsidR="00B128D0">
        <w:t xml:space="preserve"> </w:t>
      </w:r>
      <w:r w:rsidR="00AA72B4">
        <w:t xml:space="preserve">can be utilized to </w:t>
      </w:r>
      <w:r w:rsidR="003277F9">
        <w:t xml:space="preserve">the ideal combination that either maximizes system wide yield (i.e., </w:t>
      </w:r>
      <w:proofErr w:type="spellStart"/>
      <w:r w:rsidR="003277F9">
        <w:t>Fmsy</w:t>
      </w:r>
      <w:proofErr w:type="spellEnd"/>
      <w:r w:rsidR="003277F9">
        <w:t xml:space="preserve">) or </w:t>
      </w:r>
      <w:r w:rsidR="008A43E2">
        <w:t xml:space="preserve">achieves some </w:t>
      </w:r>
      <w:r w:rsidR="006D6A5A">
        <w:t>desired level of SPR</w:t>
      </w:r>
      <w:r w:rsidR="008A43E2">
        <w:t xml:space="preserve"> (e.g., F40%)</w:t>
      </w:r>
      <w:r w:rsidR="00D90F83">
        <w:t xml:space="preserve"> </w:t>
      </w:r>
      <w:r w:rsidR="00D01559">
        <w:fldChar w:fldCharType="begin"/>
      </w:r>
      <w:r w:rsidR="00D01559">
        <w:instrText xml:space="preserve"> ADDIN ZOTERO_ITEM CSL_CITATION {"citationID":"sYfyxfto","properties":{"formattedCitation":"(Goethel and Berger 2017)","plainCitation":"(Goethel and Berger 2017)","noteIndex":0},"citationItems":[{"id":2694,"uris":["http://zotero.org/users/6698527/items/GCW6YQNS"],"itemData":{"id":2694,"type":"article-journal","abstract":"Misidentifying spatial population structure may result in harvest levels that are unable to achieve management goals. We developed a spatially explicit simulation model to determine how biological reference points differ among common population structures and to investigate the performance of management quantities that were calculated assuming incorrect spatial population dynamics. Simulated reference points were compared across a range of population structures and connectivity scenarios demonstrating the inﬂuence of spatial assumptions on management benchmarks. Simulations also illustrated that applying a harvest level based on misdiagnosed spatial structure leads to biased stock status indicators, overharvesting, or foregone yield. Across the scenarios examined, incorrectly specifying the connectivity dynamics (particularly misdiagnosing source–sink dynamics) was often more detrimental than ignoring spatial structure altogether. However, when the true dynamics exhibited spatial structure, incorrectly assuming panmictic structure resulted in severe depletion if harvesting concentrated on more productive population units (instead of being homogeneously distributed). Incorporating spatially generalized operating models, such as the one developed here, into management strategy evaluations will help develop management procedures that are more robust to spatial complexities.","container-title":"Canadian Journal of Fisheries and Aquatic Sciences","DOI":"10.1139/cjfas-2016-0290","ISSN":"0706-652X, 1205-7533","issue":"11","journalAbbreviation":"Can. J. Fish. Aquat. Sci.","language":"en","page":"1878-1894","source":"DOI.org (Crossref)","title":"Accounting for spatial complexities in the calculation of biological reference points: effects of misdiagnosing population structure for stock status indicators","title-short":"Accounting for spatial complexities in the calculation of biological reference points","volume":"74","author":[{"family":"Goethel","given":"Daniel R."},{"family":"Berger","given":"Aaron M."}],"issued":{"date-parts":[["2017",11]]}}}],"schema":"https://github.com/citation-style-language/schema/raw/master/csl-citation.json"} </w:instrText>
      </w:r>
      <w:r w:rsidR="00D01559">
        <w:fldChar w:fldCharType="separate"/>
      </w:r>
      <w:r w:rsidR="00D01559">
        <w:rPr>
          <w:noProof/>
        </w:rPr>
        <w:t>(as in Goethel and Berger 2017)</w:t>
      </w:r>
      <w:r w:rsidR="00D01559">
        <w:fldChar w:fldCharType="end"/>
      </w:r>
      <w:r w:rsidR="00337FC0">
        <w:t xml:space="preserve">, although note that some recent approaches do not require running the population to equilibrium to define </w:t>
      </w:r>
      <w:r w:rsidR="00656123">
        <w:t>reference points</w:t>
      </w:r>
      <w:r w:rsidR="00AE2FAA">
        <w:t xml:space="preserve"> (employs an iterative </w:t>
      </w:r>
      <w:r w:rsidR="00D91E96">
        <w:t>search</w:t>
      </w:r>
      <w:r w:rsidR="00AE2FAA">
        <w:t xml:space="preserve"> </w:t>
      </w:r>
      <w:r w:rsidR="00D91E96">
        <w:t>algorithm</w:t>
      </w:r>
      <w:r w:rsidR="00AE2FAA">
        <w:t xml:space="preserve"> </w:t>
      </w:r>
      <w:r w:rsidR="00D91E96">
        <w:t>coupled with</w:t>
      </w:r>
      <w:r w:rsidR="00AE2FAA">
        <w:t xml:space="preserve"> deterministic equations)</w:t>
      </w:r>
      <w:r w:rsidR="00656123">
        <w:t xml:space="preserve"> </w:t>
      </w:r>
      <w:r w:rsidR="00404EEF">
        <w:t>and yield</w:t>
      </w:r>
      <w:r w:rsidR="003564A6">
        <w:t>s</w:t>
      </w:r>
      <w:r w:rsidR="00404EEF">
        <w:t xml:space="preserve"> similar results </w:t>
      </w:r>
      <w:r w:rsidR="00404EEF">
        <w:fldChar w:fldCharType="begin"/>
      </w:r>
      <w:r w:rsidR="00404EEF">
        <w:instrText xml:space="preserve"> ADDIN ZOTERO_ITEM CSL_CITATION {"citationID":"ZMt8qkvp","properties":{"formattedCitation":"(Kapur et al. 2021)","plainCitation":"(Kapur et al. 2021)","noteIndex":0},"citationItems":[{"id":577,"uris":["http://zotero.org/users/6698527/items/GL46EYSI"],"itemData":{"id":577,"type":"article-journal","abstract":"Fish populations with spatial structure inherently violate the assumption of a single well-mixed stock, necessi­ tating the use of spatially-structured population dynamics models. Accounting for spatial structure accurately and easily is a major goal for the next generation of stock assessment software development. Reference points (e. g., limit or target harvest rates and their associated biomass) are inherent to stock assessments and are often calculated under equilibrium conditions. However, the calculation process can be challenging for spatiallystructured population dynamics models. We outline how to calculate equilibrium quantities within spatiallystructured models where density-dependence in recruitment is local. We compare those values to equivalent situations when density-dependence in recruitment is global, thereby extending the set of population dynamics models on which spatially-structured stock assessments could be based. Results suggest that our method for calculating reference points under the assumption of local density-dependence can be performed using a straightforward optimization routine, and provide clearer understanding of the effects of fishing on a spatiallystructured population. Finally, we address areas of research and development needed to integrate spatiallystructured population dynamics models within existing management systems.","container-title":"Fisheries Research","DOI":"10.1016/j.fishres.2021.106132","ISSN":"01657836","journalAbbreviation":"Fisheries Research","language":"en","page":"106132","source":"DOI.org (Crossref)","title":"Equilibrium reference point calculations for the next generation of spatial assessments","volume":"244","author":[{"family":"Kapur","given":"M.S."},{"family":"Siple","given":"M.C."},{"family":"Olmos","given":"M."},{"family":"Privitera-Johnson","given":"K.M."},{"family":"Adams","given":"G."},{"family":"Best","given":"J."},{"family":"Castillo-Jordán","given":"C."},{"family":"Cronin-Fine","given":"L."},{"family":"Havron","given":"A.M."},{"family":"Lee","given":"Q."},{"family":"Methot","given":"R.D."},{"family":"Punt","given":"André E."}],"issued":{"date-parts":[["2021",12]]}}}],"schema":"https://github.com/citation-style-language/schema/raw/master/csl-citation.json"} </w:instrText>
      </w:r>
      <w:r w:rsidR="00404EEF">
        <w:fldChar w:fldCharType="separate"/>
      </w:r>
      <w:r w:rsidR="00404EEF">
        <w:rPr>
          <w:noProof/>
        </w:rPr>
        <w:t>(Kapur et al. 2021)</w:t>
      </w:r>
      <w:r w:rsidR="00404EEF">
        <w:fldChar w:fldCharType="end"/>
      </w:r>
      <w:r w:rsidR="00467FBF">
        <w:t xml:space="preserve">. </w:t>
      </w:r>
    </w:p>
    <w:p w14:paraId="03BF9E4F" w14:textId="77777777" w:rsidR="008C3B7B" w:rsidRDefault="001E1C4D" w:rsidP="001D06F3">
      <w:pPr>
        <w:pStyle w:val="Heading1"/>
      </w:pPr>
      <w:r>
        <w:t>Question 5</w:t>
      </w:r>
    </w:p>
    <w:p w14:paraId="5B052D7C" w14:textId="3F6D0FC8" w:rsidR="00D51F80" w:rsidRPr="006C26BA" w:rsidRDefault="00B6745F" w:rsidP="00B6745F">
      <w:pPr>
        <w:rPr>
          <w:rFonts w:cs="Times New Roman"/>
        </w:rPr>
      </w:pPr>
      <w:r w:rsidRPr="00DB3149">
        <w:tab/>
        <w:t xml:space="preserve">Considering my current research, with </w:t>
      </w:r>
      <w:r w:rsidR="00081017" w:rsidRPr="00DB3149">
        <w:t>a</w:t>
      </w:r>
      <w:r w:rsidRPr="00DB3149">
        <w:t xml:space="preserve"> focus on fleets, gears, and selectivity, I do not necessarily believe it is imperative to </w:t>
      </w:r>
      <w:r w:rsidR="004A03FA" w:rsidRPr="00DB3149">
        <w:t xml:space="preserve">utilize a fully </w:t>
      </w:r>
      <w:r w:rsidR="00D51F80" w:rsidRPr="00DB3149">
        <w:t>spatially explicit</w:t>
      </w:r>
      <w:r w:rsidR="004A03FA" w:rsidRPr="00DB3149">
        <w:t xml:space="preserve"> assessment model</w:t>
      </w:r>
      <w:r w:rsidR="00081017" w:rsidRPr="00DB3149">
        <w:t xml:space="preserve"> to adequately </w:t>
      </w:r>
      <w:r w:rsidR="00D51F80" w:rsidRPr="00DB3149">
        <w:t>estimate</w:t>
      </w:r>
      <w:r w:rsidR="00081017" w:rsidRPr="00DB3149">
        <w:t xml:space="preserve"> population/system-wide biomass</w:t>
      </w:r>
      <w:r w:rsidR="00D51F80" w:rsidRPr="00DB3149">
        <w:t xml:space="preserve"> or provide robust </w:t>
      </w:r>
      <w:r w:rsidR="00BD1485" w:rsidRPr="00DB3149">
        <w:t>management</w:t>
      </w:r>
      <w:r w:rsidR="00D51F80" w:rsidRPr="00DB3149">
        <w:t xml:space="preserve"> advice. </w:t>
      </w:r>
      <w:r w:rsidR="00BD1485" w:rsidRPr="00DB3149">
        <w:t xml:space="preserve">Studies have shown that single-area approaches </w:t>
      </w:r>
      <w:r w:rsidR="004740F9" w:rsidRPr="00DB3149">
        <w:t xml:space="preserve">and </w:t>
      </w:r>
      <w:r w:rsidR="006F4755" w:rsidRPr="00DB3149">
        <w:t>spatially implicit</w:t>
      </w:r>
      <w:r w:rsidR="0025452A" w:rsidRPr="00DB3149">
        <w:t xml:space="preserve"> approaches (</w:t>
      </w:r>
      <w:r w:rsidR="00BD057A" w:rsidRPr="00DB3149">
        <w:t>i.e.,</w:t>
      </w:r>
      <w:r w:rsidR="0025452A" w:rsidRPr="00DB3149">
        <w:t xml:space="preserve"> fleets-as-areas) </w:t>
      </w:r>
      <w:r w:rsidR="00BD1485" w:rsidRPr="00DB3149">
        <w:t xml:space="preserve">can adequately approximate system-wide level biomass </w:t>
      </w:r>
      <w:r w:rsidR="006F4755" w:rsidRPr="00DB3149">
        <w:t xml:space="preserve">and can still result in robust management advice even when spatial heterogeneity exists </w:t>
      </w:r>
      <w:r w:rsidR="00967C0D" w:rsidRPr="00DB3149">
        <w:fldChar w:fldCharType="begin"/>
      </w:r>
      <w:r w:rsidR="00967C0D" w:rsidRPr="00DB3149">
        <w:instrText xml:space="preserve"> ADDIN ZOTERO_ITEM CSL_CITATION {"citationID":"xq1frS6V","properties":{"formattedCitation":"(Punt et al. 2017)","plainCitation":"(Punt et al. 2017)","noteIndex":0},"citationItems":[{"id":15103,"uris":["http://zotero.org/users/6698527/items/9YC4IZF6"],"itemData":{"id":15103,"type":"article-journal","abstract":"Simulation is used to explore the effect of spatial heterogeneity and spatial closures on the ability of feedback-control management strategies to achieve goals relating to conservation and utilization of ﬁshery resources. The operating model underlying the projections is based on pink ling, Genypterus blacodes, off southern Australia and assumes that animals are sedentary following settlement. The management strategies are able to move the resource towards the target level in the absence of spatial closures even though assessment results are biased. The probability of reducing the stock below its limit reference point is higher when growth rates vary spatially, but the effect is small. The probability of the stock being above its target reference point is lower when one of the smaller spatial areas is closed. However, performance is markedly different when a larger fraction of the total area is closed, with stock size being substantially larger than the target at the end of the projection period.","container-title":"Canadian Journal of Fisheries and Aquatic Sciences","DOI":"10.1139/cjfas-2016-0017","ISSN":"0706-652X, 1205-7533","issue":"11","journalAbbreviation":"Can. J. Fish. Aquat. Sci.","language":"en","page":"1960-1973","source":"DOI.org (Crossref)","title":"The effect of marine closures on a feedback control management strategy used in a spatially aggregated stock assessment: a case study based on pink ling in Australia","title-short":"The effect of marine closures on a feedback control management strategy used in a spatially aggregated stock assessment","volume":"74","author":[{"family":"Punt","given":"André E."},{"family":"Haddon","given":"Malcolm"},{"family":"Little","given":"L. Richard"},{"family":"Tuck","given":"Geoffrey N."}],"issued":{"date-parts":[["2017",11]]}}}],"schema":"https://github.com/citation-style-language/schema/raw/master/csl-citation.json"} </w:instrText>
      </w:r>
      <w:r w:rsidR="00967C0D" w:rsidRPr="00DB3149">
        <w:fldChar w:fldCharType="separate"/>
      </w:r>
      <w:r w:rsidR="00967C0D" w:rsidRPr="00DB3149">
        <w:rPr>
          <w:noProof/>
        </w:rPr>
        <w:t>(Punt et al. 2017)</w:t>
      </w:r>
      <w:r w:rsidR="00967C0D" w:rsidRPr="00DB3149">
        <w:fldChar w:fldCharType="end"/>
      </w:r>
      <w:r w:rsidR="00967C0D" w:rsidRPr="00DB3149">
        <w:t xml:space="preserve">. </w:t>
      </w:r>
      <w:r w:rsidR="009C73CA" w:rsidRPr="00DB3149">
        <w:t xml:space="preserve">Single-area or spatially-implicit approaches can perform robustly even in the </w:t>
      </w:r>
      <w:r w:rsidR="009C73CA" w:rsidRPr="00DB3149">
        <w:lastRenderedPageBreak/>
        <w:t xml:space="preserve">presence of </w:t>
      </w:r>
      <w:r w:rsidR="00556197" w:rsidRPr="00DB3149">
        <w:t>substantial</w:t>
      </w:r>
      <w:r w:rsidR="009C73CA" w:rsidRPr="00DB3149">
        <w:t xml:space="preserve"> </w:t>
      </w:r>
      <w:r w:rsidR="00556197" w:rsidRPr="00DB3149">
        <w:t>spatial</w:t>
      </w:r>
      <w:r w:rsidR="009C73CA" w:rsidRPr="00DB3149">
        <w:t xml:space="preserve"> dynamics if sample sizes (i.e., overdispersion) particularly </w:t>
      </w:r>
      <w:r w:rsidR="007E20CE" w:rsidRPr="00DB3149">
        <w:t>compositional</w:t>
      </w:r>
      <w:r w:rsidR="009C73CA" w:rsidRPr="00DB3149">
        <w:t xml:space="preserve"> data are re-weighted </w:t>
      </w:r>
      <w:r w:rsidR="00BC2ADF" w:rsidRPr="00DB3149">
        <w:t>(</w:t>
      </w:r>
      <w:r w:rsidR="00BC2ADF" w:rsidRPr="00DB3149">
        <w:rPr>
          <w:rFonts w:cs="Times New Roman"/>
        </w:rPr>
        <w:t>deals with unmodelled processes and reduces the influence of fitting composition data to other data sources such as abundance indices</w:t>
      </w:r>
      <w:r w:rsidR="00BC2ADF" w:rsidRPr="00DB3149">
        <w:rPr>
          <w:rFonts w:cs="Times New Roman"/>
        </w:rPr>
        <w:t xml:space="preserve">) </w:t>
      </w:r>
      <w:r w:rsidR="00673F33" w:rsidRPr="00DB3149">
        <w:rPr>
          <w:rFonts w:cs="Times New Roman"/>
        </w:rPr>
        <w:t xml:space="preserve">or if </w:t>
      </w:r>
      <w:r w:rsidR="00DB2F49" w:rsidRPr="00DB3149">
        <w:rPr>
          <w:rFonts w:cs="Times New Roman"/>
        </w:rPr>
        <w:t xml:space="preserve">flexible time-varying selectivity approaches are utilized </w:t>
      </w:r>
      <w:r w:rsidR="006E1B35" w:rsidRPr="00DB3149">
        <w:rPr>
          <w:rFonts w:cs="Times New Roman"/>
        </w:rPr>
        <w:t xml:space="preserve">(because of changes in </w:t>
      </w:r>
      <w:r w:rsidR="00556197" w:rsidRPr="00DB3149">
        <w:rPr>
          <w:rFonts w:cs="Times New Roman"/>
        </w:rPr>
        <w:t>availability</w:t>
      </w:r>
      <w:r w:rsidR="006E1B35" w:rsidRPr="00DB3149">
        <w:rPr>
          <w:rFonts w:cs="Times New Roman"/>
        </w:rPr>
        <w:t xml:space="preserve"> as well as the potential for dome-shaped dynamics</w:t>
      </w:r>
      <w:r w:rsidR="0054191D" w:rsidRPr="00DB3149">
        <w:rPr>
          <w:rFonts w:cs="Times New Roman"/>
        </w:rPr>
        <w:t xml:space="preserve"> under conditions of spatially-varying fishing </w:t>
      </w:r>
      <w:r w:rsidR="00556197" w:rsidRPr="00DB3149">
        <w:rPr>
          <w:rFonts w:cs="Times New Roman"/>
        </w:rPr>
        <w:t>mortality</w:t>
      </w:r>
      <w:r w:rsidR="006E1B35" w:rsidRPr="00DB3149">
        <w:rPr>
          <w:rFonts w:cs="Times New Roman"/>
        </w:rPr>
        <w:t>)</w:t>
      </w:r>
      <w:r w:rsidR="007D671B">
        <w:rPr>
          <w:rFonts w:cs="Times New Roman"/>
        </w:rPr>
        <w:t xml:space="preserve"> </w:t>
      </w:r>
      <w:r w:rsidR="00346C30">
        <w:rPr>
          <w:rFonts w:cs="Times New Roman"/>
        </w:rPr>
        <w:fldChar w:fldCharType="begin"/>
      </w:r>
      <w:r w:rsidR="00346C30">
        <w:rPr>
          <w:rFonts w:cs="Times New Roman"/>
        </w:rPr>
        <w:instrText xml:space="preserve"> ADDIN ZOTERO_ITEM CSL_CITATION {"citationID":"u0tz1VIW","properties":{"formattedCitation":"(Hulson et al. 2013; Lee et al. 2017)","plainCitation":"(Hulson et al. 2013; Lee et al. 2017)","noteIndex":0},"citationItems":[{"id":2582,"uris":["http://zotero.org/users/6698527/items/77LI6RKM"],"itemData":{"id":2582,"type":"article-journal","abstract":"Climate change may affect the spatial distribution of ﬁsh populations in ways that would affect the accuracy of spatially aggregated age-structured assessment models. To evaluate such scenarios, spatially aggregated models were compared with spatially explicit models using simulations. These scenarios were based on hypothetical climate-driven distribution shifts and reductions in mean recruitment of walleye pollock (Gadus chalcogrammus) in the eastern Bering Sea. Results indicate that biomass estimates were reasonably accurate for both types of estimation models and precision improved with the inclusion of tagging data. Bias in some aggregated model scenarios could be attributed to unaccounted-for process errors in annual ﬁshing mortality rates and was reduced when estimating effective sample size or time-varying selectivity. Spatially explicit models that allow estimation of variability in movement and ontogenetic parameters (speciﬁed as a random walk process) were shown to be feasible, whereas models that misspeciﬁed ontogenetic movement and climate change effects resulted in biased biomass and movement parameter estimates. These results illustrate that more complex models may characterize processes better but may be less robust for management advice.","container-title":"Canadian Journal of Fisheries and Aquatic Sciences","DOI":"10.1139/cjfas-2013-0020","ISSN":"0706-652X, 1205-7533","issue":"9","journalAbbreviation":"Can. J. Fish. Aquat. Sci.","language":"en","page":"1402-1416","source":"DOI.org (Crossref)","title":"Spatial modeling of Bering Sea walleye pollock with integrated age-structured assessment models in a changing environment","volume":"70","author":[{"family":"Hulson","given":"Peter-John F."},{"family":"Quinn","given":"Terrance J."},{"family":"Hanselman","given":"Dana H."},{"family":"Ianelli","given":"James N."}],"editor":[{"family":"Rose","given":"Kenneth"}],"issued":{"date-parts":[["2013",9]]}}},{"id":13357,"uris":["http://zotero.org/users/6698527/items/KDIMCVZJ"],"itemData":{"id":13357,"type":"article-journal","abstract":"Spatial patterns due to age-speciﬁc movement have been a source of unmodelled process error. Modeling movement in spatially explicit stock assessments is feasible, but hampered by a paucity of data from appropriate tagging studies. This study uses simulation analyses to evaluate alternative model structures that either explicitly or implicitly account for the process of time-varying age-based movement in a population dynamics model. We simulated synthetic populations using a two-area stochastic population dynamics operating model. Simulated data were ﬁt in seven different estimation models. Only the model that includes the correct spatial dynamic results in unbiased and precise estimates of derived and management quantities. In a single-area assessment model, using the ﬂeets-as-area (FAA) approach may be the second best option to estimate both lengthbased and time-varying age-based selectivity to implicitly account for the contact selectivity and annual availability. An FAA approach adds additional observation error performed nearly as well. Future research could evaluate which stock assessment method is robust to uncertainty in movement and is more appropriate for achieving intended management objectives.","container-title":"Canadian Journal of Fisheries and Aquatic Sciences","DOI":"10.1139/cjfas-2016-0294","ISSN":"0706-652X, 1205-7533","issue":"11","journalAbbreviation":"Can. J. Fish. Aquat. Sci.","language":"en","page":"1832-1844","source":"DOI.org (Crossref)","title":"Evaluation of alternative modelling approaches to account for spatial effects due to age-based movement","volume":"74","author":[{"family":"Lee","given":"Hui-Hua"},{"family":"Piner","given":"Kevin R."},{"family":"Maunder","given":"Mark N."},{"family":"Taylor","given":"Ian G."},{"family":"Methot","given":"Richard D."}],"issued":{"date-parts":[["2017",11]]}}}],"schema":"https://github.com/citation-style-language/schema/raw/master/csl-citation.json"} </w:instrText>
      </w:r>
      <w:r w:rsidR="00346C30">
        <w:rPr>
          <w:rFonts w:cs="Times New Roman"/>
        </w:rPr>
        <w:fldChar w:fldCharType="separate"/>
      </w:r>
      <w:r w:rsidR="00346C30">
        <w:rPr>
          <w:rFonts w:cs="Times New Roman"/>
          <w:noProof/>
        </w:rPr>
        <w:t>(Hulson et al. 2013; Lee et al. 2017)</w:t>
      </w:r>
      <w:r w:rsidR="00346C30">
        <w:rPr>
          <w:rFonts w:cs="Times New Roman"/>
        </w:rPr>
        <w:fldChar w:fldCharType="end"/>
      </w:r>
      <w:r w:rsidR="0017330C">
        <w:rPr>
          <w:rFonts w:cs="Times New Roman"/>
        </w:rPr>
        <w:t xml:space="preserve">. </w:t>
      </w:r>
      <w:r w:rsidR="00120368">
        <w:rPr>
          <w:rFonts w:cs="Times New Roman"/>
        </w:rPr>
        <w:t xml:space="preserve">Some newer approaches that could potentially be of utility in the context of accounting for spatial and movement dynamics </w:t>
      </w:r>
      <w:r w:rsidR="006C26BA">
        <w:rPr>
          <w:rFonts w:cs="Times New Roman"/>
        </w:rPr>
        <w:t xml:space="preserve">under a single-area assessment framework </w:t>
      </w:r>
      <w:r w:rsidR="00120368">
        <w:rPr>
          <w:rFonts w:cs="Times New Roman"/>
        </w:rPr>
        <w:t>include</w:t>
      </w:r>
      <w:r w:rsidR="008C2E64">
        <w:rPr>
          <w:rFonts w:cs="Times New Roman"/>
        </w:rPr>
        <w:t>s</w:t>
      </w:r>
      <w:r w:rsidR="00120368">
        <w:rPr>
          <w:rFonts w:cs="Times New Roman"/>
        </w:rPr>
        <w:t xml:space="preserve"> the estimation of process variance for the exponential mortality model, although </w:t>
      </w:r>
      <w:r w:rsidR="00F27302">
        <w:rPr>
          <w:rFonts w:cs="Times New Roman"/>
        </w:rPr>
        <w:t>the robustness of this</w:t>
      </w:r>
      <w:r w:rsidR="00120368">
        <w:rPr>
          <w:rFonts w:cs="Times New Roman"/>
        </w:rPr>
        <w:t xml:space="preserve"> approach remains untested. </w:t>
      </w:r>
      <w:r w:rsidR="0017330C">
        <w:rPr>
          <w:rFonts w:cs="Times New Roman"/>
        </w:rPr>
        <w:t xml:space="preserve">However, these approaches are unable to detect the presence of localized depletion, which may render them </w:t>
      </w:r>
      <w:r w:rsidR="00241630">
        <w:rPr>
          <w:rFonts w:cs="Times New Roman"/>
        </w:rPr>
        <w:t>inadequate</w:t>
      </w:r>
      <w:r w:rsidR="0017330C">
        <w:rPr>
          <w:rFonts w:cs="Times New Roman"/>
        </w:rPr>
        <w:t xml:space="preserve"> if localized depletion is of great concern</w:t>
      </w:r>
      <w:r w:rsidR="00241630">
        <w:rPr>
          <w:rFonts w:cs="Times New Roman"/>
        </w:rPr>
        <w:t xml:space="preserve"> (it does not appear to be in Pacific cod)</w:t>
      </w:r>
      <w:r w:rsidR="0017330C">
        <w:rPr>
          <w:rFonts w:cs="Times New Roman"/>
        </w:rPr>
        <w:t xml:space="preserve">. </w:t>
      </w:r>
      <w:r w:rsidR="00B05424">
        <w:rPr>
          <w:rFonts w:cs="Times New Roman"/>
        </w:rPr>
        <w:t xml:space="preserve">To understand whether </w:t>
      </w:r>
      <w:r w:rsidR="0000358F">
        <w:rPr>
          <w:rFonts w:cs="Times New Roman"/>
        </w:rPr>
        <w:t xml:space="preserve">the current assessment and management structure is adequate for Pacific cod, </w:t>
      </w:r>
      <w:r w:rsidR="00B94B16">
        <w:rPr>
          <w:rFonts w:cs="Times New Roman"/>
        </w:rPr>
        <w:t xml:space="preserve">an analyst could conduct </w:t>
      </w:r>
      <w:r w:rsidR="00660FD7">
        <w:rPr>
          <w:rFonts w:cs="Times New Roman"/>
        </w:rPr>
        <w:t xml:space="preserve">a spatially explicit </w:t>
      </w:r>
      <w:r w:rsidR="0055384E">
        <w:rPr>
          <w:rFonts w:cs="Times New Roman"/>
        </w:rPr>
        <w:t>management strategy evaluation. Here, the operating mode</w:t>
      </w:r>
      <w:r w:rsidR="00153E3E">
        <w:rPr>
          <w:rFonts w:cs="Times New Roman"/>
        </w:rPr>
        <w:t xml:space="preserve">l </w:t>
      </w:r>
      <w:r w:rsidR="0055384E">
        <w:rPr>
          <w:rFonts w:cs="Times New Roman"/>
        </w:rPr>
        <w:t>would</w:t>
      </w:r>
      <w:r w:rsidR="002F78AC">
        <w:rPr>
          <w:rFonts w:cs="Times New Roman"/>
        </w:rPr>
        <w:t xml:space="preserve"> attempt to</w:t>
      </w:r>
      <w:r w:rsidR="0055384E">
        <w:rPr>
          <w:rFonts w:cs="Times New Roman"/>
        </w:rPr>
        <w:t xml:space="preserve"> incorporate all of the existing hypotheses and complexities </w:t>
      </w:r>
      <w:r w:rsidR="005B0C6C">
        <w:rPr>
          <w:rFonts w:cs="Times New Roman"/>
        </w:rPr>
        <w:t>involving population structure and movement dynamics</w:t>
      </w:r>
      <w:r w:rsidR="0077771E">
        <w:rPr>
          <w:rFonts w:cs="Times New Roman"/>
        </w:rPr>
        <w:t>, as well as fishery dynamics (which I have described in previous responses)</w:t>
      </w:r>
      <w:r w:rsidR="001A42B7">
        <w:rPr>
          <w:rFonts w:cs="Times New Roman"/>
        </w:rPr>
        <w:t xml:space="preserve">. </w:t>
      </w:r>
      <w:r w:rsidR="000548A4">
        <w:rPr>
          <w:rFonts w:cs="Times New Roman"/>
        </w:rPr>
        <w:t xml:space="preserve">Data would then be generated from the operating model, which can be aggregated up to match the current </w:t>
      </w:r>
      <w:r w:rsidR="00E12740">
        <w:rPr>
          <w:rFonts w:cs="Times New Roman"/>
        </w:rPr>
        <w:t xml:space="preserve">management </w:t>
      </w:r>
      <w:r w:rsidR="00823939">
        <w:rPr>
          <w:rFonts w:cs="Times New Roman"/>
        </w:rPr>
        <w:t>structure</w:t>
      </w:r>
      <w:r w:rsidR="00B314D9">
        <w:rPr>
          <w:rFonts w:cs="Times New Roman"/>
        </w:rPr>
        <w:t>, where biomass and management advice are estimated for each year</w:t>
      </w:r>
      <w:r w:rsidR="009B1409">
        <w:rPr>
          <w:rFonts w:cs="Times New Roman"/>
        </w:rPr>
        <w:t xml:space="preserve"> (or using some biomass index and applying some white noise; </w:t>
      </w:r>
      <w:r w:rsidR="004330E0">
        <w:rPr>
          <w:rFonts w:cs="Times New Roman"/>
        </w:rPr>
        <w:fldChar w:fldCharType="begin"/>
      </w:r>
      <w:r w:rsidR="004330E0">
        <w:rPr>
          <w:rFonts w:cs="Times New Roman"/>
        </w:rPr>
        <w:instrText xml:space="preserve"> ADDIN ZOTERO_ITEM CSL_CITATION {"citationID":"ul6wP1OQ","properties":{"formattedCitation":"(Punt et al. 2008; Spies et al. 2015)","plainCitation":"(Punt et al. 2008; Spies et al. 2015)","noteIndex":0},"citationItems":[{"id":14468,"uris":["http://zotero.org/users/6698527/items/8KWGNRJQ"],"itemData":{"id":14468,"type":"article-journal","abstract":"Monte Carlo simulations and equilibrium analyses are used to explore the behavior of threshold management strategies. The analyses explore the medium- to long-term implications of uncertainty about the steepness of the stock–recruitment relationship, variation as well as possible temporal autocorrelation in recruitment, and estimation and implementation uncertainty. The results highlight the trade-offs among various management strategies, in particular the trade-offs between average catch, inter-annual variation in catch, and the risk of dropping below the Paciﬁc Fishery Management Council (PFMC) overﬁshed threshold of 25% of the average unﬁshed spawning biomass. Uncertainty regarding steepness is the major source of variation in the ﬁnal size of the resource and whether it is below the overﬁshed threshold, although the extent of recruitment variability also impacts these quantities. The extent of inter-annual variation in catches is determined primarily by the amount of implementation error. Although the values for the various performance measures depend on all of the factors examined to some extent, the impact of interactions among these factors is generally small.","container-title":"Fisheries Research","DOI":"10.1016/j.fishres.2007.12.008","ISSN":"01657836","issue":"3","journalAbbreviation":"Fisheries Research","language":"en","page":"251-266","source":"DOI.org (Crossref)","title":"Evaluation of threshold management strategies for groundfish off the U.S. West Coast","volume":"94","author":[{"family":"Punt","given":"André E."},{"family":"Dorn","given":"Martin W."},{"family":"Haltuch","given":"Melissa A."}],"issued":{"date-parts":[["2008",12]]}}},{"id":14461,"uris":["http://zotero.org/users/6698527/items/5DHVDZ56"],"itemData":{"id":14461,"type":"article-journal","abstract":"There is no established management protocol for stocks subject to isolation-by-distance (IBD) stock structure. This study examines several management strategies for two marine ﬁsh species subject to IBD using simulation: Paciﬁc cod (Gadus macrocephalus) in the Aleutian Islands (AI) and northern rockﬁsh (Sebastes polyspinis) in the Eastern Bering Sea (EBS) and AI. A one-dimensional stepping stone model was used to model IBD and was intended to mimic regions where marine species are exploited along a continental shelf. The performance of spatial assessment and management methods depended on how the range was split. Splitting anywhere within the managed area led to fewer demes falling below target and threshold biomass levels and higher yield than managing the entire area as a single unit. Equilibrium yield was maximized when each deme was assessed and managed separately and under catch cascading, in which harvest quotas within a management unit are spatially allocated based upon the distribution of survey biomass. The longer-lived rockﬁsh declined more slowly than Paciﬁc cod and experienced greater depletion in biomass under disproportionate ﬁshing effort because of lower productivity. Overall, splitting a management area of the size simulated in the model improved performance measures, and the optimal management strategy grouped management units by demes with similar relative ﬁshing effort.","container-title":"Canadian Journal of Fisheries and Aquatic Sciences","DOI":"10.1139/cjfas-2014-0366","ISSN":"0706-652X, 1205-7533","issue":"7","journalAbbreviation":"Can. J. Fish. Aquat. Sci.","language":"en","page":"968-982","source":"DOI.org (Crossref)","title":"Where do we draw the line? A simulation approach for evaluating management of marine fish stocks with isolation-by-distance stock structure","title-short":"Where do we draw the line?","volume":"72","author":[{"family":"Spies","given":"Ingrid"},{"family":"Spencer","given":"Paul D."},{"family":"Punt","given":"André E."}],"editor":[{"family":"Krkošek","given":"Martin"}],"issued":{"date-parts":[["2015",7]]}}}],"schema":"https://github.com/citation-style-language/schema/raw/master/csl-citation.json"} </w:instrText>
      </w:r>
      <w:r w:rsidR="004330E0">
        <w:rPr>
          <w:rFonts w:cs="Times New Roman"/>
        </w:rPr>
        <w:fldChar w:fldCharType="separate"/>
      </w:r>
      <w:r w:rsidR="00E7115B">
        <w:rPr>
          <w:rFonts w:cs="Times New Roman"/>
          <w:noProof/>
        </w:rPr>
        <w:t xml:space="preserve">e.g., </w:t>
      </w:r>
      <w:r w:rsidR="004330E0">
        <w:rPr>
          <w:rFonts w:cs="Times New Roman"/>
          <w:noProof/>
        </w:rPr>
        <w:t>Punt et al. 2008; Spies et al. 2015)</w:t>
      </w:r>
      <w:r w:rsidR="004330E0">
        <w:rPr>
          <w:rFonts w:cs="Times New Roman"/>
        </w:rPr>
        <w:fldChar w:fldCharType="end"/>
      </w:r>
      <w:r w:rsidR="009B1409">
        <w:rPr>
          <w:rFonts w:cs="Times New Roman"/>
        </w:rPr>
        <w:t>)</w:t>
      </w:r>
      <w:r w:rsidR="00B314D9">
        <w:rPr>
          <w:rFonts w:cs="Times New Roman"/>
        </w:rPr>
        <w:t xml:space="preserve">, and </w:t>
      </w:r>
      <w:r w:rsidR="00E7115B">
        <w:rPr>
          <w:rFonts w:cs="Times New Roman"/>
        </w:rPr>
        <w:t xml:space="preserve">recommended catch levels are reapplied back to the operating model. </w:t>
      </w:r>
      <w:r w:rsidR="00EA0AF9">
        <w:rPr>
          <w:rFonts w:cs="Times New Roman"/>
        </w:rPr>
        <w:t xml:space="preserve">Performance of the current management structure could then be evaluated by understanding </w:t>
      </w:r>
      <w:r w:rsidR="00E17572">
        <w:rPr>
          <w:rFonts w:cs="Times New Roman"/>
        </w:rPr>
        <w:t>metrics such as the</w:t>
      </w:r>
      <w:r w:rsidR="00EA0AF9">
        <w:rPr>
          <w:rFonts w:cs="Times New Roman"/>
        </w:rPr>
        <w:t xml:space="preserve"> probability of localized depletion</w:t>
      </w:r>
      <w:r w:rsidR="00720A75">
        <w:rPr>
          <w:rFonts w:cs="Times New Roman"/>
        </w:rPr>
        <w:t xml:space="preserve">. </w:t>
      </w:r>
      <w:r w:rsidR="00323A39">
        <w:rPr>
          <w:rFonts w:cs="Times New Roman"/>
        </w:rPr>
        <w:t xml:space="preserve">Alternative harvest strategies could also be </w:t>
      </w:r>
      <w:r w:rsidR="00CE59CB">
        <w:rPr>
          <w:rFonts w:cs="Times New Roman"/>
        </w:rPr>
        <w:t>simultaneously</w:t>
      </w:r>
      <w:r w:rsidR="00323A39">
        <w:rPr>
          <w:rFonts w:cs="Times New Roman"/>
        </w:rPr>
        <w:t xml:space="preserve"> evaluated in the context of a single-area </w:t>
      </w:r>
      <w:proofErr w:type="gramStart"/>
      <w:r w:rsidR="00323A39">
        <w:rPr>
          <w:rFonts w:cs="Times New Roman"/>
        </w:rPr>
        <w:t xml:space="preserve">model, </w:t>
      </w:r>
      <w:r w:rsidR="00CE59CB">
        <w:rPr>
          <w:rFonts w:cs="Times New Roman"/>
        </w:rPr>
        <w:t>if</w:t>
      </w:r>
      <w:proofErr w:type="gramEnd"/>
      <w:r w:rsidR="00CE59CB">
        <w:rPr>
          <w:rFonts w:cs="Times New Roman"/>
        </w:rPr>
        <w:t xml:space="preserve"> </w:t>
      </w:r>
      <w:r w:rsidR="00841AED">
        <w:rPr>
          <w:rFonts w:cs="Times New Roman"/>
        </w:rPr>
        <w:t xml:space="preserve">the current management strategy is found to be undesirable. </w:t>
      </w:r>
      <w:r w:rsidR="00323A39">
        <w:rPr>
          <w:rFonts w:cs="Times New Roman"/>
        </w:rPr>
        <w:t xml:space="preserve"> </w:t>
      </w:r>
    </w:p>
    <w:p w14:paraId="2846B26D" w14:textId="5E9B37FC" w:rsidR="001E1C4D" w:rsidRDefault="001E1C4D" w:rsidP="001D06F3">
      <w:pPr>
        <w:pStyle w:val="Heading1"/>
      </w:pPr>
      <w:r>
        <w:t>Question 6</w:t>
      </w:r>
    </w:p>
    <w:p w14:paraId="3883D877" w14:textId="2C1E42F5" w:rsidR="009A5345" w:rsidRDefault="009A5345" w:rsidP="009A5345">
      <w:r>
        <w:tab/>
      </w:r>
      <w:r w:rsidR="000E610C">
        <w:t>Pacific cod are highly sensitive to their prevailing environment</w:t>
      </w:r>
      <w:r w:rsidR="0014552A">
        <w:t xml:space="preserve">, which has resulted in various changes in their population dynamics. Within the context of spatial dynamics, </w:t>
      </w:r>
      <w:r w:rsidR="00CC3B53">
        <w:t xml:space="preserve">Pacific cod are likely to colonize and expand into higher latitude habitats under scenarios of climate change </w:t>
      </w:r>
      <w:r w:rsidR="00F836AB">
        <w:fldChar w:fldCharType="begin"/>
      </w:r>
      <w:r w:rsidR="00F836AB">
        <w:instrText xml:space="preserve"> ADDIN ZOTERO_ITEM CSL_CITATION {"citationID":"6qVlxGPq","properties":{"formattedCitation":"(Spies et al. 2020; Thorson et al. 2021)","plainCitation":"(Spies et al. 2020; Thorson et al. 2021)","noteIndex":0},"citationItems":[{"id":14462,"uris":["http://zotero.org/users/6698527/items/XHV7KC24"],"itemData":{"id":14462,"type":"article-journal","abstract":"Poleward species range shifts have been predicted to result from climate change, and many observations have confirmed such movement. Poleward shifts may represent a homogeneous shift in distribution, seasonal northward movement of specific populations, or colonization processes at the poleward edge of the distribution. The ecosystem of the Bering Sea has been changing along with the climate, moving from an arctic to a subarctic system. Several fish species have been observed farther north than previously reported and in increasing abundances. We examined one of these fish species, Pacific cod, in the northern Bering Sea (NBS) to assess whether they migrated from another stock in the eastern Bering Sea (EBS), Gulf of Alaska, or Aleutian Islands, or whether they represent a separate population. Genetic analyses using 3,599 single nucleotide polymorphism markers indicated that nonspawning cod collected in August 2017 in the NBS were similar to spawning stocks of cod in the EBS. This result suggests escalating northward movement of the large EBS stock during summer months. Whether the cod observed in the NBS migrate south during winter to spawn or remain in the NBS as a sink population is unknown.","container-title":"Evolutionary Applications","DOI":"10.1111/eva.12874","ISSN":"1752-4571, 1752-4571","issue":"2","journalAbbreviation":"Evolutionary Applications","language":"en","page":"362-375","source":"DOI.org (Crossref)","title":"Genetic evidence of a northward range expansion in the eastern Bering Sea stock of Pacific cod","volume":"13","author":[{"family":"Spies","given":"Ingrid"},{"family":"Gruenthal","given":"Kristen M."},{"family":"Drinan","given":"Daniel P."},{"family":"Hollowed","given":"Anne B."},{"family":"Stevenson","given":"Duane E."},{"family":"Tarpey","given":"Carolyn M."},{"family":"Hauser","given":"Lorenz"}],"issued":{"date-parts":[["2020",2]]}}},{"id":15104,"uris":["http://zotero.org/users/6698527/items/C5X4YPI9"],"itemData":{"id":15104,"type":"article-journal","abstract":"Fisheries scientists and managers must track rapid shifts in fish spatial distribution to mitigate stakeholder conflict and optimize survey designs, and these spatial shifts result in part from animal movement. Information regarding animal movement can be obtained from selection experiments, tagging studies, flux through movement gates (e.g. acoustic arrays), fishery catch-­per-­unit effort (CPUE), resource surveys and genetic/chemical markers. However, there are few accessible approaches to combine these data types while accounting for spatially correlated residual patterns. We therefore discuss a movement model involving diffusion (random movement), taxis (movement towards preferred habitat) and advection (passive drift following ocean currents). We specifically outline how these movement processes can be fitted to data while discretizing space and time and estimating non-l­inear habitat preferences using environmental layers as well as spatial process errors. Finally, we introduce an R package, ATM, by fitting the model to bottom trawl survey, longline fishery and tagging data for Pacific cod (Gadus macrocephalus, Gadidae) in the Bering Sea during winter/summer seasons from 1982 to 2019. Combining data types predicts an increasing proportion of cod residing in the northern Bering Sea from 2013 to 2019, and estimates are informative in a recent stock assessment model. We fit sensitivity analyses by dropping tag, survey or fishery data, and this analysis shows that tagging data are necessary to identify diffusion rates, while survey data are informative about movement among biogeographic strata. This “hybrid” species distribution model can help explain poleward movement, project distributions under future climate conditions and evaluate alternative tag-­deployment scenarios to optimize tagging designs.","container-title":"Fish and Fisheries","DOI":"10.1111/faf.12592","ISSN":"1467-2960, 1467-2979","issue":"6","journalAbbreviation":"Fish and Fisheries","language":"en","page":"1359-1376","source":"DOI.org (Crossref)","title":"Estimating fine</w:instrText>
      </w:r>
      <w:r w:rsidR="00F836AB">
        <w:rPr>
          <w:rFonts w:ascii="Cambria Math" w:hAnsi="Cambria Math" w:cs="Cambria Math"/>
        </w:rPr>
        <w:instrText>‐</w:instrText>
      </w:r>
      <w:r w:rsidR="00F836AB">
        <w:instrText xml:space="preserve">scale movement rates and habitat preferences using multiple data sources","volume":"22","author":[{"family":"Thorson","given":"James T."},{"family":"Barbeaux","given":"Steven J."},{"family":"Goethel","given":"Daniel R."},{"family":"Kearney","given":"Kelly A."},{"family":"Laman","given":"Edward A."},{"family":"Nielsen","given":"Julie K."},{"family":"Siskey","given":"Matthew R."},{"family":"Siwicke","given":"Kevin"},{"family":"Thompson","given":"Grant G."}],"issued":{"date-parts":[["2021",11]]}}}],"schema":"https://github.com/citation-style-language/schema/raw/master/csl-citation.json"} </w:instrText>
      </w:r>
      <w:r w:rsidR="00F836AB">
        <w:fldChar w:fldCharType="separate"/>
      </w:r>
      <w:r w:rsidR="00F836AB">
        <w:rPr>
          <w:noProof/>
        </w:rPr>
        <w:t>(Spies et al. 2020; Thorson et al. 2021)</w:t>
      </w:r>
      <w:r w:rsidR="00F836AB">
        <w:fldChar w:fldCharType="end"/>
      </w:r>
      <w:r w:rsidR="00F836AB">
        <w:t xml:space="preserve">, likely in search of thermal refugia, but also </w:t>
      </w:r>
      <w:r w:rsidR="00AB4BB2">
        <w:t xml:space="preserve">in response to changing distributions of prey species. </w:t>
      </w:r>
      <w:r w:rsidR="001F4105">
        <w:t xml:space="preserve">These changes in movement dynamics are likely to have important implications for </w:t>
      </w:r>
      <w:r w:rsidR="00301225">
        <w:t>traditional</w:t>
      </w:r>
      <w:r w:rsidR="00A753B2">
        <w:t xml:space="preserve"> surveys that occur in the EBS and NBS. In particular, if individuals</w:t>
      </w:r>
      <w:r w:rsidR="006A6BDB">
        <w:t xml:space="preserve"> </w:t>
      </w:r>
      <w:r w:rsidR="000A3EB7">
        <w:t>exhibit</w:t>
      </w:r>
      <w:r w:rsidR="006A6BDB">
        <w:t xml:space="preserve"> cross-boundary movement into </w:t>
      </w:r>
      <w:r w:rsidR="00680F3E">
        <w:t xml:space="preserve">other regions, </w:t>
      </w:r>
      <w:r w:rsidR="008D5FC7">
        <w:t>it is likely that single-area assessments for Pacific cod</w:t>
      </w:r>
      <w:r w:rsidR="00F86EB9">
        <w:t>,</w:t>
      </w:r>
      <w:r w:rsidR="004725D3">
        <w:t xml:space="preserve"> </w:t>
      </w:r>
      <w:r w:rsidR="00631A33">
        <w:t xml:space="preserve">will </w:t>
      </w:r>
      <w:r w:rsidR="00CA4A83">
        <w:t>either</w:t>
      </w:r>
      <w:r w:rsidR="009C37DC">
        <w:t xml:space="preserve"> be</w:t>
      </w:r>
      <w:r w:rsidR="00631A33">
        <w:t xml:space="preserve"> severely misfit to abundance </w:t>
      </w:r>
      <w:r w:rsidR="004725D3">
        <w:t>indices</w:t>
      </w:r>
      <w:r w:rsidR="0011682B">
        <w:t xml:space="preserve">, </w:t>
      </w:r>
      <w:r w:rsidR="00631A33">
        <w:t xml:space="preserve">predict </w:t>
      </w:r>
      <w:r w:rsidR="008842B9">
        <w:t>large incoming recruitment events</w:t>
      </w:r>
      <w:r w:rsidR="00541588">
        <w:t>, or predict a large mortality event (</w:t>
      </w:r>
      <w:r w:rsidR="008F1C2C">
        <w:t>which is not uncommon for a species like Pacific cod</w:t>
      </w:r>
      <w:r w:rsidR="00541588">
        <w:t xml:space="preserve">). </w:t>
      </w:r>
      <w:r w:rsidR="00A16210">
        <w:t xml:space="preserve">These changes and erosion in population structure will </w:t>
      </w:r>
      <w:r w:rsidR="00AB3E90">
        <w:t>ultimately</w:t>
      </w:r>
      <w:r w:rsidR="00A16210">
        <w:t xml:space="preserve"> lead to a misperception</w:t>
      </w:r>
      <w:r w:rsidR="00B67221">
        <w:t xml:space="preserve">, which could </w:t>
      </w:r>
      <w:r w:rsidR="00AB3E90">
        <w:t xml:space="preserve">result in over-utilization in the region where incoming recruitment events are predicted to be </w:t>
      </w:r>
      <w:r w:rsidR="008D6F95">
        <w:t>large or</w:t>
      </w:r>
      <w:r w:rsidR="00AB3E90">
        <w:t xml:space="preserve"> result in under-utilization in the region where directional </w:t>
      </w:r>
      <w:r w:rsidR="008D6F95">
        <w:t>movement</w:t>
      </w:r>
      <w:r w:rsidR="00AB3E90">
        <w:t xml:space="preserve"> </w:t>
      </w:r>
      <w:r w:rsidR="0054159C">
        <w:t>into the receiving area occurred</w:t>
      </w:r>
      <w:r w:rsidR="00777633">
        <w:t xml:space="preserve"> </w:t>
      </w:r>
      <w:r w:rsidR="00347282">
        <w:t xml:space="preserve">(similar to the </w:t>
      </w:r>
      <w:r w:rsidR="00C5189A">
        <w:t>case study</w:t>
      </w:r>
      <w:r w:rsidR="00347282">
        <w:t xml:space="preserve"> of </w:t>
      </w:r>
      <w:r w:rsidR="004112CB">
        <w:t>Georges</w:t>
      </w:r>
      <w:r w:rsidR="00B35502">
        <w:t xml:space="preserve"> Bank </w:t>
      </w:r>
      <w:r w:rsidR="00347282">
        <w:t xml:space="preserve">winter </w:t>
      </w:r>
      <w:r w:rsidR="00B35502">
        <w:t>skate</w:t>
      </w:r>
      <w:r w:rsidR="00347282">
        <w:t xml:space="preserve">; </w:t>
      </w:r>
      <w:r w:rsidR="00B35502">
        <w:fldChar w:fldCharType="begin"/>
      </w:r>
      <w:r w:rsidR="00B35502">
        <w:instrText xml:space="preserve"> ADDIN ZOTERO_ITEM CSL_CITATION {"citationID":"A0lCDOGi","properties":{"formattedCitation":"(Frisk et al. 2010)","plainCitation":"(Frisk et al. 2010)","noteIndex":0},"citationItems":[{"id":22518,"uris":["http://zotero.org/users/6698527/items/R3J9NHIC"],"itemData":{"id":22518,"type":"article-journal","abstract":"Winter skate (Leucoraja ocellata) of all length classes increased dramatically in abundance on Georges Bank in the 1980s following the decline of many groundfish species. We present a full population model of winter skate to better understand the population dynamics of the species and elucidate the mechanisms underlying their increase in abundance in the 1980s. Specifically, we developed four statistical catch-at-age models incorporating length-frequency data with the following model structures: (i) observation error only (base model R1); (ii) observation and recruitment process errors (model R2); (iii) adult migration modeled as a random walk in adult mortality (model R3); and (iv) observation and recruitment process errors and adult migration (model R4). Akaike’s information criterion values indicated that models R3 and R4, which both included adult migration, were the most parsimonious models. This finding strongly suggests that the winter skate population increase on Georges Bank in the 1980s was not solely a result of increases in recruitment but likely involved adult migration (i.e., it is an open population). Finally, recent predicted fishing mortalities exceeded FMSY for all models.","container-title":"Canadian Journal of Fisheries and Aquatic Sciences","DOI":"10.1139/F10-008","ISSN":"0706-652X, 1205-7533","issue":"5","journalAbbreviation":"Can. J. Fish. Aquat. Sci.","language":"en","license":"http://www.nrcresearchpress.com/page/about/CorporateTextAndDataMining","page":"774-792","source":"DOI.org (Crossref)","title":"Exploring the population dynamics of winter skate (Leucoraja ocellata) in the Georges Bank region using a statistical catch-at-age model incorporating length, migration, and recruitment process errors","volume":"67","editor":[{"family":"Campana","given":"Steven"}],"author":[{"family":"Frisk","given":"M. G."},{"family":"Martell","given":"S. J.D."},{"family":"Miller","given":"T. J."},{"family":"Sosebee","given":"K."}],"issued":{"date-parts":[["2010",5]]}}}],"schema":"https://github.com/citation-style-language/schema/raw/master/csl-citation.json"} </w:instrText>
      </w:r>
      <w:r w:rsidR="00B35502">
        <w:fldChar w:fldCharType="separate"/>
      </w:r>
      <w:r w:rsidR="00B35502">
        <w:rPr>
          <w:noProof/>
        </w:rPr>
        <w:t>Frisk et al. 2010)</w:t>
      </w:r>
      <w:r w:rsidR="00B35502">
        <w:fldChar w:fldCharType="end"/>
      </w:r>
      <w:r w:rsidR="0054159C">
        <w:t xml:space="preserve">. </w:t>
      </w:r>
      <w:r w:rsidR="000277AB">
        <w:t xml:space="preserve">Obviously, an approach to </w:t>
      </w:r>
      <w:r w:rsidR="00981AA4">
        <w:t xml:space="preserve">account for </w:t>
      </w:r>
      <w:r w:rsidR="00C852F9">
        <w:t>such changes in distribution under a single-area assessment framework</w:t>
      </w:r>
      <w:r w:rsidR="00AE2CC7">
        <w:t xml:space="preserve"> </w:t>
      </w:r>
      <w:r w:rsidR="0053421F">
        <w:t>would be to allowing for time-</w:t>
      </w:r>
      <w:r w:rsidR="0053421F">
        <w:lastRenderedPageBreak/>
        <w:t xml:space="preserve">varying catchability processes </w:t>
      </w:r>
      <w:r w:rsidR="006A08C4">
        <w:fldChar w:fldCharType="begin"/>
      </w:r>
      <w:r w:rsidR="006A08C4">
        <w:instrText xml:space="preserve"> ADDIN ZOTERO_ITEM CSL_CITATION {"citationID":"9zMkXDCh","properties":{"formattedCitation":"(Hulson 2023; Rogers et al. 2024)","plainCitation":"(Hulson 2023; Rogers et al. 2024)","noteIndex":0},"citationItems":[{"id":22365,"uris":["http://zotero.org/users/6698527/items/8BILEF5S"],"itemData":{"id":22365,"type":"article-journal","language":"en","source":"Zotero","title":"2: Assessment of the Pacific cod stock in the Gulf of Alaska","author":[{"family":"Hulson","given":"Pete"}],"issued":{"date-parts":[["2023"]]}}},{"id":14629,"uris":["http://zotero.org/users/6698527/items/36XSX4CY"],"itemData":{"id":14629,"type":"article-journal","abstract":"Climate-driven changes in the timing of spawning or migration can affect the availability of fish to surveys designed to monitor their abundance, complicating efforts to assess stock status and sustainably manage fisheries. From 2017 to 2019, trends in biomass estimates from four surveys used to monitor Gulf of Alaska pollock diverged. These conflicting trends increased uncertainty in the stock assessment and occurred during a time of rapid environmental change. We hypothesized that changes in spawn timing affected availability of pollock to a winter survey that targets pre-spawning aggregations. To test this, we reconstructed relative spawn timing using two independent data sources: spring larval surveys and observations of spawning state in mature female pollock. We found that changes in spawn timing relative to survey timing explained a significant portion of recent and historical discrepancies between survey and model estimates of biomass. We then incorporated measures of spawn timing/survey timing mismatch as catchability covariates in an enhanced state-space stock assessment model. Including spawn timing-based catchability covariates significantly improved the model fit to survey data and provided a mechanistic explanation for recent survey discrepancies.","container-title":"ICES Journal of Marine Science","DOI":"10.1093/icesjms/fsae005","ISSN":"1054-3139, 1095-9289","language":"en","page":"fsae005","source":"DOI.org (Crossref)","title":"Climate-driven changes in the timing of spawning and the availability of walleye pollock ( &lt;i&gt;Gadus chalcogrammus&lt;/i&gt; ) to assessment surveys in the Gulf of Alaska","author":[{"family":"Rogers","given":"Lauren A"},{"family":"Monnahan","given":"Cole C"},{"family":"Williams","given":"Kresimir"},{"family":"Jones","given":"Darin T"},{"family":"Dorn","given":"Martin W"}],"editor":[{"family":"Roa-Ureta","given":"Ruben"}],"issued":{"date-parts":[["2024",1,30]]}}}],"schema":"https://github.com/citation-style-language/schema/raw/master/csl-citation.json"} </w:instrText>
      </w:r>
      <w:r w:rsidR="006A08C4">
        <w:fldChar w:fldCharType="separate"/>
      </w:r>
      <w:r w:rsidR="006A08C4">
        <w:rPr>
          <w:noProof/>
        </w:rPr>
        <w:t>(Hulson 2023; Rogers et al. 2024)</w:t>
      </w:r>
      <w:r w:rsidR="006A08C4">
        <w:fldChar w:fldCharType="end"/>
      </w:r>
      <w:r w:rsidR="006A08C4">
        <w:t>, although it would be prudent to understand th</w:t>
      </w:r>
      <w:r w:rsidR="004A2F18">
        <w:t>e mechanisms driving a reduction in catchability to avoid spurious explanations by the model (</w:t>
      </w:r>
      <w:r w:rsidR="003D7C90">
        <w:t>e.g.,</w:t>
      </w:r>
      <w:r w:rsidR="004A2F18">
        <w:t xml:space="preserve"> </w:t>
      </w:r>
      <w:r w:rsidR="00E02D57">
        <w:t>ensuring that changes in abundance are due to changes in distribution and not mortality</w:t>
      </w:r>
      <w:r w:rsidR="004A2F18">
        <w:t xml:space="preserve">). </w:t>
      </w:r>
    </w:p>
    <w:p w14:paraId="705520F4" w14:textId="77777777" w:rsidR="00395586" w:rsidRDefault="00395586" w:rsidP="009A5345"/>
    <w:p w14:paraId="43637BDF" w14:textId="19462F04" w:rsidR="00395586" w:rsidRDefault="00395586" w:rsidP="009A5345">
      <w:r>
        <w:tab/>
        <w:t xml:space="preserve">The collection of </w:t>
      </w:r>
      <w:r w:rsidR="003B4A3A">
        <w:t xml:space="preserve">several new novel </w:t>
      </w:r>
      <w:r w:rsidR="00BE0CCA">
        <w:t>emerging</w:t>
      </w:r>
      <w:r w:rsidR="003B4A3A">
        <w:t xml:space="preserve"> data types could </w:t>
      </w:r>
      <w:r w:rsidR="008F04AA">
        <w:t>potentially</w:t>
      </w:r>
      <w:r w:rsidR="003B4A3A">
        <w:t xml:space="preserve"> </w:t>
      </w:r>
      <w:r w:rsidR="0001313B">
        <w:t>help</w:t>
      </w:r>
      <w:r w:rsidR="003B4A3A">
        <w:t xml:space="preserve"> better understand such </w:t>
      </w:r>
      <w:r w:rsidR="00BE0CCA">
        <w:t>dynamics</w:t>
      </w:r>
      <w:r w:rsidR="003B4A3A">
        <w:t xml:space="preserve"> under climate change. </w:t>
      </w:r>
      <w:r w:rsidR="00FB74FC">
        <w:t xml:space="preserve">Specifically, the use of </w:t>
      </w:r>
      <w:r w:rsidR="00D73A9A">
        <w:t xml:space="preserve">pop-up </w:t>
      </w:r>
      <w:r w:rsidR="00FB74FC">
        <w:t>satellite electronic</w:t>
      </w:r>
      <w:r w:rsidR="00F2020B">
        <w:t xml:space="preserve"> tags</w:t>
      </w:r>
      <w:r w:rsidR="00F31E24">
        <w:t xml:space="preserve">, which provides fine-scale movement data, </w:t>
      </w:r>
      <w:r w:rsidR="00F2020B">
        <w:t xml:space="preserve">could help </w:t>
      </w:r>
      <w:r w:rsidR="003F2AF3">
        <w:t xml:space="preserve">understand whether Pacific cod released from specific spawning populations are moving </w:t>
      </w:r>
      <w:r w:rsidR="009F56C8">
        <w:t xml:space="preserve">outside of the management domain </w:t>
      </w:r>
      <w:r w:rsidR="00467537">
        <w:t xml:space="preserve">during specific periods of the year, and hence, outside of the traditional survey domain. </w:t>
      </w:r>
      <w:r w:rsidR="009742CC">
        <w:t>Coupled with electronic tag information, the collection of depth</w:t>
      </w:r>
      <w:r w:rsidR="008864F6">
        <w:t xml:space="preserve">, temperature, and other </w:t>
      </w:r>
      <w:r w:rsidR="00374C33">
        <w:t>auxiliary</w:t>
      </w:r>
      <w:r w:rsidR="008864F6">
        <w:t xml:space="preserve"> environmental variables could help better understand how Pacific cod movement dynamics respond to changes in environment, which can be </w:t>
      </w:r>
      <w:r w:rsidR="0083341D">
        <w:t>utilized</w:t>
      </w:r>
      <w:r w:rsidR="008864F6">
        <w:t xml:space="preserve"> to </w:t>
      </w:r>
      <w:r w:rsidR="0083341D">
        <w:t>parameterize preference functions for movement</w:t>
      </w:r>
      <w:r w:rsidR="009765F6">
        <w:t xml:space="preserve"> in the context of a spatial model. However, beyond the context of a spatial model, </w:t>
      </w:r>
      <w:r w:rsidR="00374C33">
        <w:t xml:space="preserve">fine-scale temperature and movement data could help analysts understand whether </w:t>
      </w:r>
      <w:r w:rsidR="0091447A">
        <w:t xml:space="preserve">such as relationship exists, which can be linked to catchability parameters within a </w:t>
      </w:r>
      <w:r w:rsidR="008F22A4">
        <w:t>traditi</w:t>
      </w:r>
      <w:r w:rsidR="00DC5A08">
        <w:t>onal</w:t>
      </w:r>
      <w:r w:rsidR="0091447A">
        <w:t xml:space="preserve"> single-area assessment. </w:t>
      </w:r>
      <w:r w:rsidR="00B034A7">
        <w:t>The use of autonomous sampling could also be of potential value in developing abundance indices for Pacific cod (i.e., acoustic surveys)</w:t>
      </w:r>
      <w:r w:rsidR="00AD1EDE">
        <w:t xml:space="preserve">, particularly if </w:t>
      </w:r>
      <w:r w:rsidR="00ED0A78">
        <w:t>individuals</w:t>
      </w:r>
      <w:r w:rsidR="00AD1EDE">
        <w:t xml:space="preserve"> move into model domains that are not easily accessible by traditional surveys. </w:t>
      </w:r>
      <w:r w:rsidR="00ED0A78">
        <w:t xml:space="preserve">In the context of political boundaries, if individuals were to move outside of Alaska during specific periods of the year, the deployment of passive </w:t>
      </w:r>
      <w:r w:rsidR="009408E9">
        <w:t xml:space="preserve">high-resolution </w:t>
      </w:r>
      <w:r w:rsidR="00ED0A78">
        <w:t xml:space="preserve">echosounders could potentially be of value in understanding the degree of movement outside of the </w:t>
      </w:r>
      <w:r w:rsidR="00697B20">
        <w:t>political</w:t>
      </w:r>
      <w:r w:rsidR="00ED0A78">
        <w:t xml:space="preserve"> domain (e.g., into Russi</w:t>
      </w:r>
      <w:r w:rsidR="00244054">
        <w:t>a</w:t>
      </w:r>
      <w:r w:rsidR="00ED0A78">
        <w:t xml:space="preserve">). </w:t>
      </w:r>
      <w:r w:rsidR="00BD5AA1">
        <w:t xml:space="preserve">Ultimately, </w:t>
      </w:r>
      <w:r w:rsidR="00E76B54">
        <w:t>the</w:t>
      </w:r>
      <w:r w:rsidR="00BD5AA1">
        <w:t xml:space="preserve"> continued collection of high resolution tag information and understanding of </w:t>
      </w:r>
      <w:r w:rsidR="00B30B37">
        <w:t xml:space="preserve">distribution shifts in response to climate will allow the feasible implementation of </w:t>
      </w:r>
      <w:proofErr w:type="spellStart"/>
      <w:r w:rsidR="00B30B37">
        <w:t>spatio</w:t>
      </w:r>
      <w:proofErr w:type="spellEnd"/>
      <w:r w:rsidR="00B30B37">
        <w:t xml:space="preserve">-temporal models that </w:t>
      </w:r>
      <w:r w:rsidR="007B7839">
        <w:t>account for more fine-scale spatial dynamics</w:t>
      </w:r>
      <w:r w:rsidR="006C0830">
        <w:t xml:space="preserve"> </w:t>
      </w:r>
      <w:r w:rsidR="00B73ED1">
        <w:fldChar w:fldCharType="begin"/>
      </w:r>
      <w:r w:rsidR="00B73ED1">
        <w:instrText xml:space="preserve"> ADDIN ZOTERO_ITEM CSL_CITATION {"citationID":"3xS73zwx","properties":{"formattedCitation":"(Cao et al. 2020; Thorson et al. 2021)","plainCitation":"(Cao et al. 2020; Thorson et al. 2021)","noteIndex":0},"citationItems":[{"id":3468,"uris":["http://zotero.org/users/6698527/items/RQV2F9FQ"],"itemData":{"id":3468,"type":"article-journal","abstract":"Characterizing population distribution and abundance over space and time is central to population ecology and conservation of natural populations. However, species distribution models and population dynamic models have rarely been integrated into a single modelling framework. Consequently, fine-scale spatial heterogeneity is often ignored in resource assessments. We develop and test a novel spatiotemporal assessment framework to better address fine-scale spatial heterogeneities based on theories of fish population dynamic and spatiotemporal statistics. The spatiotemporal model links species distribution and population dynamic models within a single statistical framework that is flexible enough to permit inference for each state variable through space and time. We illustrate the model with a simulation–estimation experiment tailored to two exploited marine species: snow crab (Chionoecetes opilio, Oregoniidae) in the Eastern Bering Sea and northern shrimp (Pandalus borealis, Pandalidae) in the Gulf of Maine. These two species have different types of life history. We compare the spatiotemporal model with a spatially aggregated model and systematically evaluate the spatiotemporal model based on simulation experiments. We show that the spatiotemporal model can recover spatial patterns in population and exploitation pressure as well as provide unbiased estimates of spatially aggregated population quantities. The spatiotemporal model also implicitly accounts for individual movement rates and can outperform spatially aggregated models by accounting for time-and-size varying selectivity caused by spatial heterogeneity. We conclude that spatiotemporal modelling framework is a feasible and promising approach to address the spatial structure of natural resource populations, which is a major challenge in understanding population dynamics and conducting resource assessments and management.","container-title":"Fish and Fisheries","DOI":"10.1111/faf.12433","ISSN":"1467-2960, 1467-2979","issue":"2","journalAbbreviation":"Fish Fish","language":"en","page":"350-367","source":"DOI.org (Crossref)","title":"A novel spatiotemporal stock assessment framework to better address fine</w:instrText>
      </w:r>
      <w:r w:rsidR="00B73ED1">
        <w:rPr>
          <w:rFonts w:ascii="Cambria Math" w:hAnsi="Cambria Math" w:cs="Cambria Math"/>
        </w:rPr>
        <w:instrText>‐</w:instrText>
      </w:r>
      <w:r w:rsidR="00B73ED1">
        <w:instrText>scale species distributions: Development and simulation testing","title-short":"A novel spatiotemporal stock assessment framework to better address fine</w:instrText>
      </w:r>
      <w:r w:rsidR="00B73ED1">
        <w:rPr>
          <w:rFonts w:ascii="Cambria Math" w:hAnsi="Cambria Math" w:cs="Cambria Math"/>
        </w:rPr>
        <w:instrText>‐</w:instrText>
      </w:r>
      <w:r w:rsidR="00B73ED1">
        <w:instrText>scale species distributions","volume":"21","author":[{"family":"Cao","given":"Jie"},{"family":"Thorson","given":"James T."},{"family":"Punt","given":"André E."},{"family":"Szuwalski","given":"Cody"}],"issued":{"date-parts":[["2020",3]]}}},{"id":15104,"uris":["http://zotero.org/users/6698527/items/C5X4YPI9"],"itemData":{"id":15104,"type":"article-journal","abstract":"Fisheries scientists and managers must track rapid shifts in fish spatial distribution to mitigate stakeholder conflict and optimize survey designs, and these spatial shifts result in part from animal movement. Information regarding animal movement can be obtained from selection experiments, tagging studies, flux through movement gates (e.g. acoustic arrays), fishery catch-­per-­unit effort (CPUE), resource surveys and genetic/chemical markers. However, there are few accessible approaches to combine these data types while accounting for spatially correlated residual patterns. We therefore discuss a movement model involving diffusion (random movement), taxis (movement towards preferred habitat) and advection (passive drift following ocean currents). We specifically outline how these movement processes can be fitted to data while discretizing space and time and estimating non-l­inear habitat preferences using environmental layers as well as spatial process errors. Finally, we introduce an R package, ATM, by fitting the model to bottom trawl survey, longline fishery and tagging data for Pacific cod (Gadus macrocephalus, Gadidae) in the Bering Sea during winter/summer seasons from 1982 to 2019. Combining data types predicts an increasing proportion of cod residing in the northern Bering Sea from 2013 to 2019, and estimates are informative in a recent stock assessment model. We fit sensitivity analyses by dropping tag, survey or fishery data, and this analysis shows that tagging data are necessary to identify diffusion rates, while survey data are informative about movement among biogeographic strata. This “hybrid” species distribution model can help explain poleward movement, project distributions under future climate conditions and evaluate alternative tag-­deployment scenarios to optimize tagging designs.","container-title":"Fish and Fisheries","DOI":"10.1111/faf.12592","ISSN":"1467-2960, 1467-2979","issue":"6","journalAbbreviation":"Fish and Fisheries","language":"en","page":"1359-1376","source":"DOI.org (Crossref)","title":"Estimating fine</w:instrText>
      </w:r>
      <w:r w:rsidR="00B73ED1">
        <w:rPr>
          <w:rFonts w:ascii="Cambria Math" w:hAnsi="Cambria Math" w:cs="Cambria Math"/>
        </w:rPr>
        <w:instrText>‐</w:instrText>
      </w:r>
      <w:r w:rsidR="00B73ED1">
        <w:instrText xml:space="preserve">scale movement rates and habitat preferences using multiple data sources","volume":"22","author":[{"family":"Thorson","given":"James T."},{"family":"Barbeaux","given":"Steven J."},{"family":"Goethel","given":"Daniel R."},{"family":"Kearney","given":"Kelly A."},{"family":"Laman","given":"Edward A."},{"family":"Nielsen","given":"Julie K."},{"family":"Siskey","given":"Matthew R."},{"family":"Siwicke","given":"Kevin"},{"family":"Thompson","given":"Grant G."}],"issued":{"date-parts":[["2021",11]]}}}],"schema":"https://github.com/citation-style-language/schema/raw/master/csl-citation.json"} </w:instrText>
      </w:r>
      <w:r w:rsidR="00B73ED1">
        <w:fldChar w:fldCharType="separate"/>
      </w:r>
      <w:r w:rsidR="00B73ED1">
        <w:rPr>
          <w:noProof/>
        </w:rPr>
        <w:t>(Cao et al. 2020; Thorson et al. 2021)</w:t>
      </w:r>
      <w:r w:rsidR="00B73ED1">
        <w:fldChar w:fldCharType="end"/>
      </w:r>
      <w:r w:rsidR="001A3D46">
        <w:t xml:space="preserve">, which could supplement or complement traditional assessment and </w:t>
      </w:r>
      <w:r w:rsidR="006C0830">
        <w:t>management</w:t>
      </w:r>
      <w:r w:rsidR="001A3D46">
        <w:t xml:space="preserve"> tools that are currently utilized. </w:t>
      </w:r>
    </w:p>
    <w:p w14:paraId="5D297D61" w14:textId="77777777" w:rsidR="009A5345" w:rsidRDefault="009A5345" w:rsidP="009A5345"/>
    <w:p w14:paraId="374FE116" w14:textId="000D8A54" w:rsidR="009E1FF1" w:rsidRDefault="00B73ED1" w:rsidP="0083164A">
      <w:r>
        <w:tab/>
        <w:t xml:space="preserve">Under climate change </w:t>
      </w:r>
      <w:r w:rsidR="000E3A55">
        <w:t>scenarios</w:t>
      </w:r>
      <w:r>
        <w:t xml:space="preserve">, there is potential for high uncertainty in model-based </w:t>
      </w:r>
      <w:r w:rsidR="000E3A55">
        <w:t>estimates</w:t>
      </w:r>
      <w:r>
        <w:t xml:space="preserve"> from stock assessments. </w:t>
      </w:r>
      <w:r w:rsidR="000E3A55">
        <w:t xml:space="preserve">Furthermore, it is not always feasible to </w:t>
      </w:r>
      <w:r w:rsidR="00443DF7">
        <w:t>explicitly</w:t>
      </w:r>
      <w:r w:rsidR="000E3A55">
        <w:t xml:space="preserve"> model </w:t>
      </w:r>
      <w:r w:rsidR="00443DF7">
        <w:t xml:space="preserve">complex </w:t>
      </w:r>
      <w:r w:rsidR="000E3A55">
        <w:t>spatial dynamics</w:t>
      </w:r>
      <w:r w:rsidR="0002618B">
        <w:t xml:space="preserve"> </w:t>
      </w:r>
      <w:r w:rsidR="000C7B1C">
        <w:t>and/or climate impacts</w:t>
      </w:r>
      <w:r w:rsidR="00DD23E8">
        <w:t>. T</w:t>
      </w:r>
      <w:r w:rsidR="003728F6">
        <w:t xml:space="preserve">hus, robust approaches that adequately account for such uncertainties are necessary for the robust management of </w:t>
      </w:r>
      <w:r w:rsidR="00355A79">
        <w:t xml:space="preserve">Pacific cod. Currently, all three stocks are managed utilizing Tier 3 methods, where the harvest control rule </w:t>
      </w:r>
      <w:r w:rsidR="00531895">
        <w:t>following</w:t>
      </w:r>
      <w:r w:rsidR="00355A79">
        <w:t xml:space="preserve"> a sloping threshold pattern</w:t>
      </w:r>
      <w:r w:rsidR="00531895">
        <w:t xml:space="preserve">, where limit </w:t>
      </w:r>
      <w:r w:rsidR="00B474BA">
        <w:t>biological</w:t>
      </w:r>
      <w:r w:rsidR="00531895">
        <w:t xml:space="preserve"> reference points are based upon B20%</w:t>
      </w:r>
      <w:r w:rsidR="005868E2">
        <w:t xml:space="preserve"> and F20%</w:t>
      </w:r>
      <w:r w:rsidR="00531895">
        <w:t xml:space="preserve"> and </w:t>
      </w:r>
      <w:r w:rsidR="00B474BA">
        <w:t xml:space="preserve">target reference </w:t>
      </w:r>
      <w:r w:rsidR="004A5ED0">
        <w:t xml:space="preserve">points </w:t>
      </w:r>
      <w:r w:rsidR="005A0118">
        <w:t xml:space="preserve">are based on B40% and F40%. However, it is has been demonstrated that these limit and target reference points might not necessarily </w:t>
      </w:r>
      <w:r w:rsidR="005E2DBA">
        <w:t xml:space="preserve">be suitable for all species </w:t>
      </w:r>
      <w:r w:rsidR="002B0E96">
        <w:fldChar w:fldCharType="begin"/>
      </w:r>
      <w:r w:rsidR="00476681">
        <w:instrText xml:space="preserve"> ADDIN ZOTERO_ITEM CSL_CITATION {"citationID":"p2otNBKl","properties":{"formattedCitation":"(Clark 2002; Punt et al. 2008)","plainCitation":"(Clark 2002; Punt et al. 2008)","noteIndex":0},"citationItems":[{"id":3877,"uris":["http://zotero.org/users/6698527/items/Z8HUQXFL"],"itemData":{"id":3877,"type":"article-journal","abstract":"This paper reviews the original derivation of the F35% (later F40%) harvest strategy, which consists of ﬁshing at a rate that reduces spawning biomass per recruit to 35% (or 40%) of the unﬁshed value, and investigates its applicability to long-lived stocks with low resiliency, such as some of the Paciﬁc Coast rockﬁshes Sebastes spp. The life history parameters are unimportant (at least in deterministic calculations), but the possibility of extremely low levels of resiliency—well below the bounds of the original analysis—does render the strategy unworkable in the sense that there is no harvest rate that will obtain a large fraction of the maximum sustainable yield (MSY) across the entire range of possibilities. At low but still workable levels of resiliency, the F40% strategy results in undesirably low levels of biomass and recruitment by present-day standards. That can be cured by adopting a higher target for spawning biomass per recruit, though at some cost in yield. A purely biomass-based strategy and a modiﬁed FMSY strategy are discussed as alternatives for cases where adequate historical data are available.","container-title":"North American Journal of Fisheries Management","DOI":"10.1577/1548-8675(2002)022&lt;0251:FRTYL&gt;2.0.CO;2","ISSN":"0275-5947, 1548-8675","issue":"1","journalAbbreviation":"North American Journal of Fisheries Management","language":"en","page":"251-257","source":"DOI.org (Crossref)","title":"&lt;i&gt;F&lt;/i&gt; &lt;sub&gt;35%&lt;/sub&gt; Revisited Ten Years Later","volume":"22","author":[{"family":"Clark","given":"William G."}],"issued":{"date-parts":[["2002",2]]}}},{"id":14468,"uris":["http://zotero.org/users/6698527/items/8KWGNRJQ"],"itemData":{"id":14468,"type":"article-journal","abstract":"Monte Carlo simulations and equilibrium analyses are used to explore the behavior of threshold management strategies. The analyses explore the medium- to long-term implications of uncertainty about the steepness of the stock–recruitment relationship, variation as well as possible temporal autocorrelation in recruitment, and estimation and implementation uncertainty. The results highlight the trade-offs among various management strategies, in particular the trade-offs between average catch, inter-annual variation in catch, and the risk of dropping below the Paciﬁc Fishery Management Council (PFMC) overﬁshed threshold of 25% of the average unﬁshed spawning biomass. Uncertainty regarding steepness is the major source of variation in the ﬁnal size of the resource and whether it is below the overﬁshed threshold, although the extent of recruitment variability also impacts these quantities. The extent of inter-annual variation in catches is determined primarily by the amount of implementation error. Although the values for the various performance measures depend on all of the factors examined to some extent, the impact of interactions among these factors is generally small.","container-title":"Fisheries Research","DOI":"10.1016/j.fishres.2007.12.008","ISSN":"01657836","issue":"3","journalAbbreviation":"Fisheries Research","language":"en","page":"251-266","source":"DOI.org (Crossref)","title":"Evaluation of threshold management strategies for groundfish off the U.S. West Coast","volume":"94","author":[{"family":"Punt","given":"André E."},{"family":"Dorn","given":"Martin W."},{"family":"Haltuch","given":"Melissa A."}],"issued":{"date-parts":[["2008",12]]}}}],"schema":"https://github.com/citation-style-language/schema/raw/master/csl-citation.json"} </w:instrText>
      </w:r>
      <w:r w:rsidR="002B0E96">
        <w:fldChar w:fldCharType="separate"/>
      </w:r>
      <w:r w:rsidR="00476681">
        <w:rPr>
          <w:noProof/>
        </w:rPr>
        <w:t>(Clark 2002; Punt et al. 2008)</w:t>
      </w:r>
      <w:r w:rsidR="002B0E96">
        <w:fldChar w:fldCharType="end"/>
      </w:r>
      <w:r w:rsidR="002B0E96">
        <w:t xml:space="preserve">. As such, one approach to </w:t>
      </w:r>
      <w:r w:rsidR="00E834FA">
        <w:t xml:space="preserve">confronting uncertain dynamics and </w:t>
      </w:r>
      <w:r w:rsidR="00B150E1">
        <w:t>climate impacts could involve better optimization (</w:t>
      </w:r>
      <w:r w:rsidR="002D5B46">
        <w:t xml:space="preserve">e.g., increased uncertainty buffers, reduced fishing mortality, increased </w:t>
      </w:r>
      <w:r w:rsidR="002860DE">
        <w:t xml:space="preserve">levels for </w:t>
      </w:r>
      <w:r w:rsidR="002D5B46">
        <w:t>reference point</w:t>
      </w:r>
      <w:r w:rsidR="00AF3011">
        <w:t>s</w:t>
      </w:r>
      <w:r w:rsidR="00B150E1">
        <w:t xml:space="preserve">) of target and limit reference points within the sloping harvest control rule </w:t>
      </w:r>
      <w:r w:rsidR="00E17DA5">
        <w:t>through</w:t>
      </w:r>
      <w:r w:rsidR="00B150E1">
        <w:t xml:space="preserve"> </w:t>
      </w:r>
      <w:r w:rsidR="00E17DA5">
        <w:t xml:space="preserve">simulation testing via management strategy evaluations </w:t>
      </w:r>
      <w:r w:rsidR="002D5B46">
        <w:fldChar w:fldCharType="begin"/>
      </w:r>
      <w:r w:rsidR="002D5B46">
        <w:instrText xml:space="preserve"> ADDIN ZOTERO_ITEM CSL_CITATION {"citationID":"T1gdhdcY","properties":{"formattedCitation":"(Free et al. 2022)","plainCitation":"(Free et al. 2022)","noteIndex":0},"citationItems":[{"id":9839,"uris":["http://zotero.org/users/6698527/items/LKXLFRKZ"],"itemData":{"id":9839,"type":"article-journal","abstract":"Climate change is altering the productivity of marine fisheries and challenging the effectiveness of historical fisheries management. Harvest control rules, which describe the process for determining catch limits in fisheries, represent one pathway for promoting climate resilience. In the USA, flexibility in how regional management councils specify harvest control rules has spawned diverse approaches for reducing catch limits to precautionarily buffer against scientific and management uncertainty, some of which may be more or less resilient to climate change. Here, we synthesize the control rules used to manage all 507</w:instrText>
      </w:r>
      <w:r w:rsidR="002D5B46">
        <w:rPr>
          <w:rFonts w:ascii="Arial" w:hAnsi="Arial" w:cs="Arial"/>
        </w:rPr>
        <w:instrText> </w:instrText>
      </w:r>
      <w:r w:rsidR="002D5B46">
        <w:instrText xml:space="preserve">US federally managed fish stocks and stock complexes. We classified these rules into seven typologies: (1) catch-b­ ased; (2) constant catch; (3) constant escapement; (4) constant F; (5) stepped F; (6) ramped F and (7) both stepped and ramped F. We also recorded whether the control rules included a biomass limit (‘cut-­off’) value or were environmentally linked as well as the type and size of the buffers used to protect against scientific and/or management uncertainty. Finally, we review the advantages and disadvantages of each typology for managing fisheries under climate change and provide seven recommendations for updating harvest control rules to improve the resilience of US federally managed fisheries to climate change.","container-title":"Fish and Fisheries","DOI":"10.1111/faf.12724","ISSN":"1467-2960, 1467-2979","journalAbbreviation":"Fish and Fisheries","language":"en","page":"faf.12724","source":"DOI.org (Crossref)","title":"Harvest control rules used in US federal fisheries management and implications for climate resilience","author":[{"family":"Free","given":"Christopher M."},{"family":"Mangin","given":"Tracey"},{"family":"Wiedenmann","given":"John"},{"family":"Smith","given":"Conner"},{"family":"McVeigh","given":"Halley"},{"family":"Gaines","given":"Steven D."}],"issued":{"date-parts":[["2022",12,16]]}}}],"schema":"https://github.com/citation-style-language/schema/raw/master/csl-citation.json"} </w:instrText>
      </w:r>
      <w:r w:rsidR="002D5B46">
        <w:fldChar w:fldCharType="separate"/>
      </w:r>
      <w:r w:rsidR="002D5B46">
        <w:rPr>
          <w:noProof/>
        </w:rPr>
        <w:t>(Free et al. 2022)</w:t>
      </w:r>
      <w:r w:rsidR="002D5B46">
        <w:fldChar w:fldCharType="end"/>
      </w:r>
      <w:r w:rsidR="002D5B46">
        <w:t xml:space="preserve">. </w:t>
      </w:r>
      <w:r w:rsidR="00C20B08">
        <w:t xml:space="preserve">Additionally, recent studies have shown that despite </w:t>
      </w:r>
      <w:r w:rsidR="00CE193F">
        <w:t xml:space="preserve">certain species have an abundance of data, they can potentially be </w:t>
      </w:r>
      <w:r w:rsidR="000E347C">
        <w:t>resistant to</w:t>
      </w:r>
      <w:r w:rsidR="001F4E10">
        <w:t xml:space="preserve"> the use of</w:t>
      </w:r>
      <w:r w:rsidR="000E347C">
        <w:t xml:space="preserve"> </w:t>
      </w:r>
      <w:r w:rsidR="00DE1339">
        <w:t xml:space="preserve">complex </w:t>
      </w:r>
      <w:r w:rsidR="00DE1339">
        <w:lastRenderedPageBreak/>
        <w:t xml:space="preserve">age-structured models </w:t>
      </w:r>
      <w:r w:rsidR="00CE193F">
        <w:fldChar w:fldCharType="begin"/>
      </w:r>
      <w:r w:rsidR="00CE193F">
        <w:instrText xml:space="preserve"> ADDIN ZOTERO_ITEM CSL_CITATION {"citationID":"OzyKrom1","properties":{"formattedCitation":"(Legault et al. 2022)","plainCitation":"(Legault et al. 2022)","noteIndex":0},"citationItems":[{"id":8906,"uris":["http://zotero.org/users/6698527/items/X8EH7AQS"],"itemData":{"id":8906,"type":"article-journal","abstract":"Age-based stock assessments are sometimes rejected by review panels due to large retrospective patterns. When this occurs, data-limited approaches are often used to set catch advice, under the assumption that these simpler methods will not be impacted by the problems causing retrospective patterns in the age-based assessment. This assumption has never been formally evaluated. Closed-loop simulations were conducted where a known source of error caused a retrospective pattern in an agebased assessment. Twelve data-limited methods, an ensemble of a subset of these methods, and a statistical catch-at-age model with retrospective adjustment were all evaluated to examine their ability to prevent overﬁshing and rebuild overﬁshed stocks. Overall, none of the methods evaluated performed best across the scenarios. A number of methods performed consistently poorly, resulting in frequent and intense overﬁshing and low stock sizes. The retrospective adjusted statistical catch-at-age assessment performed better than a number of the alternatives explored. Thus, using a data-limited approach to set catch advice will not necessarily result in better performance than relying on the age-based assessment with a retrospective adjustment.","container-title":"Canadian Journal of Fisheries and Aquatic Sciences","DOI":"10.1139/cjfas-2022-0045","ISSN":"0706-652X, 1205-7533","journalAbbreviation":"Can. J. Fish. Aquat. Sci.","language":"en","page":"cjfas-2022-0045","source":"DOI.org (Crossref)","title":"Data-rich but model-resistant: an evaluation of data-limited methods to manage fisheries with failed age-based stock assessments","title-short":"Data-rich but model-resistant","author":[{"family":"Legault","given":"Christopher M."},{"family":"Wiedenmann","given":"John"},{"family":"Deroba","given":"Jonathan J."},{"family":"Fay","given":"Gavin"},{"family":"Miller","given":"Timothy J."},{"family":"Brooks","given":"Elizabeth N."},{"family":"Bell","given":"Richard J."},{"family":"Langan","given":"Joseph A."},{"family":"Cournane","given":"Jamie M."},{"family":"Jones","given":"Andrew W."},{"family":"Muffley","given":"Brandon"}],"issued":{"date-parts":[["2022",9,12]]}}}],"schema":"https://github.com/citation-style-language/schema/raw/master/csl-citation.json"} </w:instrText>
      </w:r>
      <w:r w:rsidR="00CE193F">
        <w:fldChar w:fldCharType="separate"/>
      </w:r>
      <w:r w:rsidR="00CE193F">
        <w:rPr>
          <w:noProof/>
        </w:rPr>
        <w:t>(Legault et al. 2022)</w:t>
      </w:r>
      <w:r w:rsidR="00CE193F">
        <w:fldChar w:fldCharType="end"/>
      </w:r>
      <w:r w:rsidR="005B592C">
        <w:t xml:space="preserve">. This phenomenon could potentially </w:t>
      </w:r>
      <w:r w:rsidR="004B5B88">
        <w:t xml:space="preserve">increase in frequency </w:t>
      </w:r>
      <w:r w:rsidR="000857C6">
        <w:t xml:space="preserve">if climate impacts conflict with model assumptions (e.g., closed population, but emigration occurs due to distribution shifts) </w:t>
      </w:r>
      <w:r w:rsidR="000E347C">
        <w:t xml:space="preserve">and there may not be adequate time for further explorations of </w:t>
      </w:r>
      <w:r w:rsidR="00792838">
        <w:t>model structure. Thus, in line with recommendations with Free et al, 2022, empirical rules</w:t>
      </w:r>
      <w:r w:rsidR="00C26814">
        <w:t xml:space="preserve"> (e.g., survey indices, </w:t>
      </w:r>
      <w:r w:rsidR="00DE26FA">
        <w:t>H</w:t>
      </w:r>
      <w:r w:rsidR="00F056F3">
        <w:t>DA</w:t>
      </w:r>
      <w:r w:rsidR="00DE26FA">
        <w:t xml:space="preserve"> index)</w:t>
      </w:r>
      <w:r w:rsidR="00792838">
        <w:t xml:space="preserve"> could be </w:t>
      </w:r>
      <w:r w:rsidR="008D732F">
        <w:t>developed</w:t>
      </w:r>
      <w:r w:rsidR="00792838">
        <w:t xml:space="preserve"> to support the traditional </w:t>
      </w:r>
      <w:r w:rsidR="0057572B">
        <w:t xml:space="preserve">sloping </w:t>
      </w:r>
      <w:r w:rsidR="00792838">
        <w:t>threshold control rule</w:t>
      </w:r>
      <w:r w:rsidR="005F1F6D">
        <w:t xml:space="preserve">, which could potentially be </w:t>
      </w:r>
      <w:r w:rsidR="00574FAD">
        <w:t xml:space="preserve">reliable, in the case that </w:t>
      </w:r>
      <w:r w:rsidR="00362BA2">
        <w:t xml:space="preserve">age-structured stock assessments fail to pass the review process </w:t>
      </w:r>
      <w:r w:rsidR="0047603E">
        <w:t xml:space="preserve">and model-based data-rich rules </w:t>
      </w:r>
      <w:r w:rsidR="00EF446A">
        <w:t xml:space="preserve">are deemed </w:t>
      </w:r>
      <w:r w:rsidR="00A00D73">
        <w:t xml:space="preserve">unreliable. </w:t>
      </w:r>
      <w:r w:rsidR="0047603E">
        <w:t xml:space="preserve"> </w:t>
      </w:r>
      <w:r w:rsidR="009713F5">
        <w:t xml:space="preserve">In a similar vein, investment in the collection of novel data sources (i.e., close-kin mark recapture studies) </w:t>
      </w:r>
      <w:r w:rsidR="00BF51D6">
        <w:t>could</w:t>
      </w:r>
      <w:r w:rsidR="00CC0414">
        <w:t xml:space="preserve"> also serve as a robust index for developing empirical</w:t>
      </w:r>
      <w:r w:rsidR="00AC6E85">
        <w:t>/hybrid</w:t>
      </w:r>
      <w:r w:rsidR="00CC0414">
        <w:t xml:space="preserve"> harvest control rules</w:t>
      </w:r>
      <w:r w:rsidR="00711BAB">
        <w:t xml:space="preserve"> </w:t>
      </w:r>
      <w:r w:rsidR="00862863">
        <w:fldChar w:fldCharType="begin"/>
      </w:r>
      <w:r w:rsidR="00862863">
        <w:instrText xml:space="preserve"> ADDIN ZOTERO_ITEM CSL_CITATION {"citationID":"27koLM0s","properties":{"formattedCitation":"(Trenkel et al. 2022)","plainCitation":"(Trenkel et al. 2022)","noteIndex":0},"citationItems":[{"id":10656,"uris":["http://zotero.org/users/6698527/items/S9TQUYUU"],"itemData":{"id":10656,"type":"article-journal","abstract":"We present practical lessons learned from applying the recent close-kin mark–recapture (CKMR) abundance estimation method to thornback ray (Raja clavata). For CKMR, related individuals are identified from their genotypes and their number and pattern is used for abundance estimation. We genotyped over 7000 individuals collected in the Bay of Biscay using Single Nucleotide Polymorphism (SNP) markers finding 99 parent–offspring pairs. The estimated number of adult thornback rays in the central Bay of Biscay was around 135000 (CV 0.19) in 2013. In total, four lessons were drawn: (i) CKMR helps identifying metapopulation structure, which if ignored might affect abundance estimates and/or time trends. There was strong evidence for two distinct local populations of thornback ray with no demographic connectivity. (ii) Demographic sample composition can affect precision and needs to include a range of birth years, which turned out to be difficult for thornback ray. (iii) Reasonable age information for potential offspring is essential. (iv) The sex of potential parents is needed and might be identified from sex-related SNPs. Reliable abundance estimation by CKMR appears feasible for a wide range of species provided that: sampling adequately covers potential local population structure, has appropriate demographic composition, and the age of potential offspring is reasonably well-known.","container-title":"ICES Journal of Marine Science","DOI":"10.1093/icesjms/fsac002","ISSN":"1054-3139, 1095-9289","issue":"2","language":"en","page":"413-422","source":"DOI.org (Crossref)","title":"Close-kin mark–recapture abundance estimation: practical insights and lessons learned","title-short":"Close-kin mark–recapture abundance estimation","volume":"79","author":[{"family":"Trenkel","given":"Verena M"},{"family":"Charrier","given":"Grégory"},{"family":"Lorance","given":"Pascal"},{"family":"Bravington","given":"Mark V"}],"editor":[{"family":"Hauser","given":"Lorenz"}],"issued":{"date-parts":[["2022",3,10]]}}}],"schema":"https://github.com/citation-style-language/schema/raw/master/csl-citation.json"} </w:instrText>
      </w:r>
      <w:r w:rsidR="00862863">
        <w:fldChar w:fldCharType="separate"/>
      </w:r>
      <w:r w:rsidR="00862863">
        <w:rPr>
          <w:noProof/>
        </w:rPr>
        <w:t>(Trenkel et al. 2022)</w:t>
      </w:r>
      <w:r w:rsidR="00862863">
        <w:fldChar w:fldCharType="end"/>
      </w:r>
      <w:r w:rsidR="004E053C">
        <w:t>, in situations where complex models fail to pass review</w:t>
      </w:r>
      <w:r w:rsidR="008B3DFA">
        <w:t xml:space="preserve">. </w:t>
      </w:r>
      <w:r w:rsidR="006750A1">
        <w:t xml:space="preserve">Furthermore, </w:t>
      </w:r>
      <w:r w:rsidR="000C422C">
        <w:t xml:space="preserve">the continued investment and collection for ecosystem information will allow us to better </w:t>
      </w:r>
      <w:r w:rsidR="007F13DA">
        <w:t xml:space="preserve">understand </w:t>
      </w:r>
      <w:r w:rsidR="00CD5656">
        <w:t xml:space="preserve">the various </w:t>
      </w:r>
      <w:r w:rsidR="00BA6333">
        <w:t xml:space="preserve">environmental </w:t>
      </w:r>
      <w:r w:rsidR="003C2FD9">
        <w:t>mechanisms</w:t>
      </w:r>
      <w:r w:rsidR="00CD5656">
        <w:t xml:space="preserve"> that </w:t>
      </w:r>
      <w:r w:rsidR="003C2FD9">
        <w:t>impact Pacific cod in the Northeast Pacific</w:t>
      </w:r>
      <w:r w:rsidR="00361846">
        <w:t xml:space="preserve">, which may facilitate more proactive, rather than reactive management procedures </w:t>
      </w:r>
      <w:r w:rsidR="00BA6333">
        <w:fldChar w:fldCharType="begin"/>
      </w:r>
      <w:r w:rsidR="00BA6333">
        <w:instrText xml:space="preserve"> ADDIN ZOTERO_ITEM CSL_CITATION {"citationID":"RkM3lBP8","properties":{"formattedCitation":"(Barbeaux et al. 2020)","plainCitation":"(Barbeaux et al. 2020)","noteIndex":0},"citationItems":[{"id":1223,"uris":["http://zotero.org/users/6698527/items/JYPNTFIB"],"itemData":{"id":1223,"type":"article-journal","abstract":"In 2014–2016 an unprecedented warming event in the North Paciﬁc Ocean triggered changes in ecosystem of the Gulf of Alaska (GOA) impacting ﬁsheries management. The marine heatwave was noteworthy in its geographical extent, depth range, and persistence, with evidence of shifts in species distribution and reduced productivity. In 2017 a groundﬁsh survey indicated that GOA Paciﬁc cod (Gadus macrocephalus) had experienced a 71% decline in abundance from the previous 2015 survey. The GOA Paciﬁc cod ﬁshery supports a $103 million ﬁshery which is 29% of the groundﬁsh harvest value in the GOA. In this paper, we demonstrate that an increase in metabolic demand during this extended marine heatwave as well as a reduced prey supply can explain the decline in GOA Paciﬁc cod biomass. Although increased mortality likely led to the decline in the Paciﬁc cod population, historically low recruitment concurrent with the heatwave portends a slow recovery for the stock and gives a preview of impacts facing this region due to climate change. We evaluate the intersection of climate change with ecosystem-based ﬁsheries management in the context of GOA Paciﬁc cod with a description of the sensitivities of the ecosystem, how the changes in the ecosystem affected the Paciﬁc cod stock, and a description of how the management system in the North Paciﬁc handled this shock. We also provide suggestions on how ﬁsheries management systems could be improved to better contend with the impacts of climate change such as the effects of heatwaves like that experienced in 2014–2016.","container-title":"Frontiers in Marine Science","DOI":"10.3389/fmars.2020.00703","ISSN":"2296-7745","journalAbbreviation":"Front. Mar. Sci.","language":"en","page":"703","source":"DOI.org (Crossref)","title":"Marine Heatwave Stress Test of Ecosystem-Based Fisheries Management in the Gulf of Alaska Pacific Cod Fishery","volume":"7","author":[{"family":"Barbeaux","given":"Steven J."},{"family":"Holsman","given":"Kirstin"},{"family":"Zador","given":"Stephani"}],"issued":{"date-parts":[["2020",8,20]]}}}],"schema":"https://github.com/citation-style-language/schema/raw/master/csl-citation.json"} </w:instrText>
      </w:r>
      <w:r w:rsidR="00BA6333">
        <w:fldChar w:fldCharType="separate"/>
      </w:r>
      <w:r w:rsidR="00BA6333">
        <w:rPr>
          <w:noProof/>
        </w:rPr>
        <w:t>(Barbeaux et al. 2020)</w:t>
      </w:r>
      <w:r w:rsidR="00BA6333">
        <w:fldChar w:fldCharType="end"/>
      </w:r>
      <w:r w:rsidR="001D07A6">
        <w:t xml:space="preserve">. </w:t>
      </w:r>
      <w:r w:rsidR="000A52BC">
        <w:t xml:space="preserve">As a final suggestion, </w:t>
      </w:r>
      <w:r w:rsidR="00476681">
        <w:t xml:space="preserve">the current management plan for Pacific cod should include: 1) provisions to ensure that stock structure </w:t>
      </w:r>
      <w:r w:rsidR="007877F7">
        <w:t>and boundaries</w:t>
      </w:r>
      <w:r w:rsidR="001962E8">
        <w:t xml:space="preserve"> are</w:t>
      </w:r>
      <w:r w:rsidR="00476681">
        <w:t xml:space="preserve"> re-evaluated on a regular basis </w:t>
      </w:r>
      <w:r w:rsidR="007877F7">
        <w:fldChar w:fldCharType="begin"/>
      </w:r>
      <w:r w:rsidR="007877F7">
        <w:instrText xml:space="preserve"> ADDIN ZOTERO_ITEM CSL_CITATION {"citationID":"hYeTVVCp","properties":{"formattedCitation":"(Cadrin et al. 2023)","plainCitation":"(Cadrin et al. 2023)","noteIndex":0},"citationItems":[{"id":9976,"uris":["http://zotero.org/users/6698527/items/S5U7BATY"],"itemData":{"id":9976,"type":"article-journal","abstract":"The ‘stock concept’ in fisheries science conforms to theoretical assumptions of stock assessment models, including negligible movement across stock boundaries, relatively homogeneous vital rates, and extensive mixing within stock areas. Best practices for representing population structure in stock assessment involve 1) interdisciplinary stock identification to delineate spatially discrete populations or more complex population structure; 2) stock boundaries that are aligned with the most plausible population structure; 3) spatially-explicit sampling, fleet structure or spatial structure in assessment models to account for heterogeneity, fishing patterns, and movement within stock areas; 4) routine stock composition sampling and analysis for spatially overlapping populations; and 5) simulation testing the performance of assessments with mis-specified or uncertain population structure. Practical assessment units that do not accurately represent population structure may not provide sufficient information to achieve fishery management objectives, so practical constraints should be addressed through iterative advances in routine stock identification, delineation of stocks to meet unit-stock assumptions, and stock assessment modeling.","container-title":"Fisheries Research","DOI":"10.1016/j.fishres.2023.106650","ISSN":"01657836","journalAbbreviation":"Fisheries Research","language":"en","page":"106650","source":"DOI.org (Crossref)","title":"Best practices for defining spatial boundaries and spatial structure in stock assessment","volume":"262","author":[{"family":"Cadrin","given":"Steven X."},{"family":"Goethel","given":"Daniel R."},{"family":"Berger","given":"Aaron"},{"family":"Jardim","given":"Ernesto"}],"issued":{"date-parts":[["2023",6]]}}}],"schema":"https://github.com/citation-style-language/schema/raw/master/csl-citation.json"} </w:instrText>
      </w:r>
      <w:r w:rsidR="007877F7">
        <w:fldChar w:fldCharType="separate"/>
      </w:r>
      <w:r w:rsidR="007877F7">
        <w:rPr>
          <w:noProof/>
        </w:rPr>
        <w:t>(Cadrin et al. 2023)</w:t>
      </w:r>
      <w:r w:rsidR="007877F7">
        <w:fldChar w:fldCharType="end"/>
      </w:r>
      <w:r w:rsidR="00566A26">
        <w:t xml:space="preserve">, 2) </w:t>
      </w:r>
      <w:r w:rsidR="004076B0">
        <w:t xml:space="preserve">include </w:t>
      </w:r>
      <w:r w:rsidR="00215944">
        <w:t xml:space="preserve">conditions </w:t>
      </w:r>
      <w:r w:rsidR="00FA3E04">
        <w:t xml:space="preserve">and regular re-revaluations of the current harvest control rule, </w:t>
      </w:r>
      <w:r w:rsidR="002136C9">
        <w:t xml:space="preserve">and 3) include </w:t>
      </w:r>
      <w:r w:rsidR="005739B7">
        <w:t>specifications</w:t>
      </w:r>
      <w:r w:rsidR="002136C9">
        <w:t xml:space="preserve"> and rules that </w:t>
      </w:r>
      <w:r w:rsidR="00B8602C">
        <w:t xml:space="preserve">account for exceptional circumstances (e.g., high mortality events). </w:t>
      </w:r>
      <w:r w:rsidR="005739B7">
        <w:t xml:space="preserve"> </w:t>
      </w:r>
      <w:r w:rsidR="009E1FF1">
        <w:t xml:space="preserve">Ultimately, the development of adaptive </w:t>
      </w:r>
      <w:r w:rsidR="005A4F38">
        <w:t xml:space="preserve">assessment and management </w:t>
      </w:r>
      <w:r w:rsidR="00B7624A">
        <w:t>procedures</w:t>
      </w:r>
      <w:r w:rsidR="005A4F38">
        <w:t xml:space="preserve"> will need to be thoroughly tested via simulations </w:t>
      </w:r>
      <w:r w:rsidR="00336C9E">
        <w:t>utilizing a variety of scenarios to ensure that conservation</w:t>
      </w:r>
      <w:r w:rsidR="00BD4590">
        <w:t xml:space="preserve">, </w:t>
      </w:r>
      <w:r w:rsidR="00D21386">
        <w:t>management</w:t>
      </w:r>
      <w:r w:rsidR="00BD4590">
        <w:t xml:space="preserve">, </w:t>
      </w:r>
      <w:r w:rsidR="00336C9E">
        <w:t xml:space="preserve">and harvest objectives are met. </w:t>
      </w:r>
    </w:p>
    <w:p w14:paraId="2E801D91" w14:textId="77777777" w:rsidR="0083164A" w:rsidRPr="0083164A" w:rsidRDefault="0083164A" w:rsidP="0083164A"/>
    <w:p w14:paraId="1F92435A" w14:textId="2D0E8F94" w:rsidR="00D83815" w:rsidRDefault="00436D4C" w:rsidP="00436D4C">
      <w:pPr>
        <w:pStyle w:val="Heading1"/>
      </w:pPr>
      <w:r>
        <w:t>References</w:t>
      </w:r>
    </w:p>
    <w:p w14:paraId="22B9EF80" w14:textId="77777777" w:rsidR="00BA6333" w:rsidRPr="00BA6333" w:rsidRDefault="000E610C" w:rsidP="00BA6333">
      <w:pPr>
        <w:pStyle w:val="Bibliography"/>
        <w:rPr>
          <w:rFonts w:cs="Times New Roman"/>
        </w:rPr>
      </w:pPr>
      <w:r>
        <w:fldChar w:fldCharType="begin"/>
      </w:r>
      <w:r>
        <w:instrText xml:space="preserve"> ADDIN ZOTERO_BIBL {"uncited":[],"omitted":[],"custom":[]} CSL_BIBLIOGRAPHY </w:instrText>
      </w:r>
      <w:r>
        <w:fldChar w:fldCharType="separate"/>
      </w:r>
      <w:proofErr w:type="spellStart"/>
      <w:r w:rsidR="00BA6333" w:rsidRPr="00BA6333">
        <w:rPr>
          <w:rFonts w:cs="Times New Roman"/>
        </w:rPr>
        <w:t>Barbeaux</w:t>
      </w:r>
      <w:proofErr w:type="spellEnd"/>
      <w:r w:rsidR="00BA6333" w:rsidRPr="00BA6333">
        <w:rPr>
          <w:rFonts w:cs="Times New Roman"/>
        </w:rPr>
        <w:t xml:space="preserve">, S.J., Barnett, L., Hall, M., </w:t>
      </w:r>
      <w:proofErr w:type="spellStart"/>
      <w:r w:rsidR="00BA6333" w:rsidRPr="00BA6333">
        <w:rPr>
          <w:rFonts w:cs="Times New Roman"/>
        </w:rPr>
        <w:t>Hulson</w:t>
      </w:r>
      <w:proofErr w:type="spellEnd"/>
      <w:r w:rsidR="00BA6333" w:rsidRPr="00BA6333">
        <w:rPr>
          <w:rFonts w:cs="Times New Roman"/>
        </w:rPr>
        <w:t xml:space="preserve">, P., Nielsen, J., Shotwell, S.K., </w:t>
      </w:r>
      <w:proofErr w:type="spellStart"/>
      <w:r w:rsidR="00BA6333" w:rsidRPr="00BA6333">
        <w:rPr>
          <w:rFonts w:cs="Times New Roman"/>
        </w:rPr>
        <w:t>Siddon</w:t>
      </w:r>
      <w:proofErr w:type="spellEnd"/>
      <w:r w:rsidR="00BA6333" w:rsidRPr="00BA6333">
        <w:rPr>
          <w:rFonts w:cs="Times New Roman"/>
        </w:rPr>
        <w:t>, E., Spies, I., and Thorson, J. 2023. 2. Assessment of the Pacific Cod Stock in the Eastern Bering Sea.</w:t>
      </w:r>
    </w:p>
    <w:p w14:paraId="5225BB45" w14:textId="77777777" w:rsidR="00BA6333" w:rsidRPr="00BA6333" w:rsidRDefault="00BA6333" w:rsidP="00BA6333">
      <w:pPr>
        <w:pStyle w:val="Bibliography"/>
        <w:rPr>
          <w:rFonts w:cs="Times New Roman"/>
        </w:rPr>
      </w:pPr>
      <w:proofErr w:type="spellStart"/>
      <w:r w:rsidRPr="00BA6333">
        <w:rPr>
          <w:rFonts w:cs="Times New Roman"/>
        </w:rPr>
        <w:t>Barbeaux</w:t>
      </w:r>
      <w:proofErr w:type="spellEnd"/>
      <w:r w:rsidRPr="00BA6333">
        <w:rPr>
          <w:rFonts w:cs="Times New Roman"/>
        </w:rPr>
        <w:t xml:space="preserve">, S.J., </w:t>
      </w:r>
      <w:proofErr w:type="spellStart"/>
      <w:r w:rsidRPr="00BA6333">
        <w:rPr>
          <w:rFonts w:cs="Times New Roman"/>
        </w:rPr>
        <w:t>Holsman</w:t>
      </w:r>
      <w:proofErr w:type="spellEnd"/>
      <w:r w:rsidRPr="00BA6333">
        <w:rPr>
          <w:rFonts w:cs="Times New Roman"/>
        </w:rPr>
        <w:t xml:space="preserve">, K., and </w:t>
      </w:r>
      <w:proofErr w:type="spellStart"/>
      <w:r w:rsidRPr="00BA6333">
        <w:rPr>
          <w:rFonts w:cs="Times New Roman"/>
        </w:rPr>
        <w:t>Zador</w:t>
      </w:r>
      <w:proofErr w:type="spellEnd"/>
      <w:r w:rsidRPr="00BA6333">
        <w:rPr>
          <w:rFonts w:cs="Times New Roman"/>
        </w:rPr>
        <w:t xml:space="preserve">, S. 2020. Marine Heatwave Stress Test of Ecosystem-Based Fisheries Management in the Gulf of Alaska Pacific Cod Fishery. Front. Mar. Sci. </w:t>
      </w:r>
      <w:r w:rsidRPr="00BA6333">
        <w:rPr>
          <w:rFonts w:cs="Times New Roman"/>
          <w:b/>
          <w:bCs/>
        </w:rPr>
        <w:t>7</w:t>
      </w:r>
      <w:r w:rsidRPr="00BA6333">
        <w:rPr>
          <w:rFonts w:cs="Times New Roman"/>
        </w:rPr>
        <w:t>: 703. doi:10.3389/fmars.2020.00703.</w:t>
      </w:r>
    </w:p>
    <w:p w14:paraId="0C8E21A2" w14:textId="77777777" w:rsidR="00BA6333" w:rsidRPr="00BA6333" w:rsidRDefault="00BA6333" w:rsidP="00BA6333">
      <w:pPr>
        <w:pStyle w:val="Bibliography"/>
        <w:rPr>
          <w:rFonts w:cs="Times New Roman"/>
        </w:rPr>
      </w:pPr>
      <w:r w:rsidRPr="00BA6333">
        <w:rPr>
          <w:rFonts w:cs="Times New Roman"/>
        </w:rPr>
        <w:t xml:space="preserve">Berger, A.M., </w:t>
      </w:r>
      <w:proofErr w:type="spellStart"/>
      <w:r w:rsidRPr="00BA6333">
        <w:rPr>
          <w:rFonts w:cs="Times New Roman"/>
        </w:rPr>
        <w:t>Deroba</w:t>
      </w:r>
      <w:proofErr w:type="spellEnd"/>
      <w:r w:rsidRPr="00BA6333">
        <w:rPr>
          <w:rFonts w:cs="Times New Roman"/>
        </w:rPr>
        <w:t xml:space="preserve">, J.J., </w:t>
      </w:r>
      <w:proofErr w:type="spellStart"/>
      <w:r w:rsidRPr="00BA6333">
        <w:rPr>
          <w:rFonts w:cs="Times New Roman"/>
        </w:rPr>
        <w:t>Bosley</w:t>
      </w:r>
      <w:proofErr w:type="spellEnd"/>
      <w:r w:rsidRPr="00BA6333">
        <w:rPr>
          <w:rFonts w:cs="Times New Roman"/>
        </w:rPr>
        <w:t xml:space="preserve">, K.M., </w:t>
      </w:r>
      <w:proofErr w:type="spellStart"/>
      <w:r w:rsidRPr="00BA6333">
        <w:rPr>
          <w:rFonts w:cs="Times New Roman"/>
        </w:rPr>
        <w:t>Goethel</w:t>
      </w:r>
      <w:proofErr w:type="spellEnd"/>
      <w:r w:rsidRPr="00BA6333">
        <w:rPr>
          <w:rFonts w:cs="Times New Roman"/>
        </w:rPr>
        <w:t xml:space="preserve">, D.R., </w:t>
      </w:r>
      <w:proofErr w:type="spellStart"/>
      <w:r w:rsidRPr="00BA6333">
        <w:rPr>
          <w:rFonts w:cs="Times New Roman"/>
        </w:rPr>
        <w:t>Langseth</w:t>
      </w:r>
      <w:proofErr w:type="spellEnd"/>
      <w:r w:rsidRPr="00BA6333">
        <w:rPr>
          <w:rFonts w:cs="Times New Roman"/>
        </w:rPr>
        <w:t xml:space="preserve">, B.J., </w:t>
      </w:r>
      <w:proofErr w:type="spellStart"/>
      <w:r w:rsidRPr="00BA6333">
        <w:rPr>
          <w:rFonts w:cs="Times New Roman"/>
        </w:rPr>
        <w:t>Schueller</w:t>
      </w:r>
      <w:proofErr w:type="spellEnd"/>
      <w:r w:rsidRPr="00BA6333">
        <w:rPr>
          <w:rFonts w:cs="Times New Roman"/>
        </w:rPr>
        <w:t xml:space="preserve">, A.M., and </w:t>
      </w:r>
      <w:proofErr w:type="spellStart"/>
      <w:r w:rsidRPr="00BA6333">
        <w:rPr>
          <w:rFonts w:cs="Times New Roman"/>
        </w:rPr>
        <w:t>Hanselman</w:t>
      </w:r>
      <w:proofErr w:type="spellEnd"/>
      <w:r w:rsidRPr="00BA6333">
        <w:rPr>
          <w:rFonts w:cs="Times New Roman"/>
        </w:rPr>
        <w:t xml:space="preserve">, D.H. 2021. Incoherent dimensionality in fisheries management: consequences of misaligned stock assessment and population boundaries. ICES Journal of Marine Science </w:t>
      </w:r>
      <w:r w:rsidRPr="00BA6333">
        <w:rPr>
          <w:rFonts w:cs="Times New Roman"/>
          <w:b/>
          <w:bCs/>
        </w:rPr>
        <w:t>78</w:t>
      </w:r>
      <w:r w:rsidRPr="00BA6333">
        <w:rPr>
          <w:rFonts w:cs="Times New Roman"/>
        </w:rPr>
        <w:t>(1): 155–171. doi:10.1093/</w:t>
      </w:r>
      <w:proofErr w:type="spellStart"/>
      <w:r w:rsidRPr="00BA6333">
        <w:rPr>
          <w:rFonts w:cs="Times New Roman"/>
        </w:rPr>
        <w:t>icesjms</w:t>
      </w:r>
      <w:proofErr w:type="spellEnd"/>
      <w:r w:rsidRPr="00BA6333">
        <w:rPr>
          <w:rFonts w:cs="Times New Roman"/>
        </w:rPr>
        <w:t>/fsaa203.</w:t>
      </w:r>
    </w:p>
    <w:p w14:paraId="43ACF5FB" w14:textId="77777777" w:rsidR="00BA6333" w:rsidRPr="00BA6333" w:rsidRDefault="00BA6333" w:rsidP="00BA6333">
      <w:pPr>
        <w:pStyle w:val="Bibliography"/>
        <w:rPr>
          <w:rFonts w:cs="Times New Roman"/>
        </w:rPr>
      </w:pPr>
      <w:proofErr w:type="spellStart"/>
      <w:r w:rsidRPr="00BA6333">
        <w:rPr>
          <w:rFonts w:cs="Times New Roman"/>
        </w:rPr>
        <w:t>Bosley</w:t>
      </w:r>
      <w:proofErr w:type="spellEnd"/>
      <w:r w:rsidRPr="00BA6333">
        <w:rPr>
          <w:rFonts w:cs="Times New Roman"/>
        </w:rPr>
        <w:t xml:space="preserve">, K.M., </w:t>
      </w:r>
      <w:proofErr w:type="spellStart"/>
      <w:r w:rsidRPr="00BA6333">
        <w:rPr>
          <w:rFonts w:cs="Times New Roman"/>
        </w:rPr>
        <w:t>Goethel</w:t>
      </w:r>
      <w:proofErr w:type="spellEnd"/>
      <w:r w:rsidRPr="00BA6333">
        <w:rPr>
          <w:rFonts w:cs="Times New Roman"/>
        </w:rPr>
        <w:t xml:space="preserve">, D.R., Berger, A.M., </w:t>
      </w:r>
      <w:proofErr w:type="spellStart"/>
      <w:r w:rsidRPr="00BA6333">
        <w:rPr>
          <w:rFonts w:cs="Times New Roman"/>
        </w:rPr>
        <w:t>Deroba</w:t>
      </w:r>
      <w:proofErr w:type="spellEnd"/>
      <w:r w:rsidRPr="00BA6333">
        <w:rPr>
          <w:rFonts w:cs="Times New Roman"/>
        </w:rPr>
        <w:t xml:space="preserve">, J.J., Fenske, K.H., </w:t>
      </w:r>
      <w:proofErr w:type="spellStart"/>
      <w:r w:rsidRPr="00BA6333">
        <w:rPr>
          <w:rFonts w:cs="Times New Roman"/>
        </w:rPr>
        <w:t>Hanselman</w:t>
      </w:r>
      <w:proofErr w:type="spellEnd"/>
      <w:r w:rsidRPr="00BA6333">
        <w:rPr>
          <w:rFonts w:cs="Times New Roman"/>
        </w:rPr>
        <w:t xml:space="preserve">, D.H., </w:t>
      </w:r>
      <w:proofErr w:type="spellStart"/>
      <w:r w:rsidRPr="00BA6333">
        <w:rPr>
          <w:rFonts w:cs="Times New Roman"/>
        </w:rPr>
        <w:t>Langseth</w:t>
      </w:r>
      <w:proofErr w:type="spellEnd"/>
      <w:r w:rsidRPr="00BA6333">
        <w:rPr>
          <w:rFonts w:cs="Times New Roman"/>
        </w:rPr>
        <w:t xml:space="preserve">, B.J., and </w:t>
      </w:r>
      <w:proofErr w:type="spellStart"/>
      <w:r w:rsidRPr="00BA6333">
        <w:rPr>
          <w:rFonts w:cs="Times New Roman"/>
        </w:rPr>
        <w:t>Schueller</w:t>
      </w:r>
      <w:proofErr w:type="spellEnd"/>
      <w:r w:rsidRPr="00BA6333">
        <w:rPr>
          <w:rFonts w:cs="Times New Roman"/>
        </w:rPr>
        <w:t xml:space="preserve">, A.M. 2019. Overcoming challenges of harvest quota allocation in spatially structured populations. Fisheries Research </w:t>
      </w:r>
      <w:r w:rsidRPr="00BA6333">
        <w:rPr>
          <w:rFonts w:cs="Times New Roman"/>
          <w:b/>
          <w:bCs/>
        </w:rPr>
        <w:t>220</w:t>
      </w:r>
      <w:r w:rsidRPr="00BA6333">
        <w:rPr>
          <w:rFonts w:cs="Times New Roman"/>
        </w:rPr>
        <w:t xml:space="preserve">: 105344. </w:t>
      </w:r>
      <w:proofErr w:type="gramStart"/>
      <w:r w:rsidRPr="00BA6333">
        <w:rPr>
          <w:rFonts w:cs="Times New Roman"/>
        </w:rPr>
        <w:t>doi:10.1016/j.fishres</w:t>
      </w:r>
      <w:proofErr w:type="gramEnd"/>
      <w:r w:rsidRPr="00BA6333">
        <w:rPr>
          <w:rFonts w:cs="Times New Roman"/>
        </w:rPr>
        <w:t>.2019.105344.</w:t>
      </w:r>
    </w:p>
    <w:p w14:paraId="5D656584" w14:textId="77777777" w:rsidR="00BA6333" w:rsidRPr="00BA6333" w:rsidRDefault="00BA6333" w:rsidP="00BA6333">
      <w:pPr>
        <w:pStyle w:val="Bibliography"/>
        <w:rPr>
          <w:rFonts w:cs="Times New Roman"/>
        </w:rPr>
      </w:pPr>
      <w:proofErr w:type="spellStart"/>
      <w:r w:rsidRPr="00BA6333">
        <w:rPr>
          <w:rFonts w:cs="Times New Roman"/>
        </w:rPr>
        <w:t>Bosley</w:t>
      </w:r>
      <w:proofErr w:type="spellEnd"/>
      <w:r w:rsidRPr="00BA6333">
        <w:rPr>
          <w:rFonts w:cs="Times New Roman"/>
        </w:rPr>
        <w:t xml:space="preserve">, K.M., </w:t>
      </w:r>
      <w:proofErr w:type="spellStart"/>
      <w:r w:rsidRPr="00BA6333">
        <w:rPr>
          <w:rFonts w:cs="Times New Roman"/>
        </w:rPr>
        <w:t>Schueller</w:t>
      </w:r>
      <w:proofErr w:type="spellEnd"/>
      <w:r w:rsidRPr="00BA6333">
        <w:rPr>
          <w:rFonts w:cs="Times New Roman"/>
        </w:rPr>
        <w:t xml:space="preserve">, A.M., </w:t>
      </w:r>
      <w:proofErr w:type="spellStart"/>
      <w:r w:rsidRPr="00BA6333">
        <w:rPr>
          <w:rFonts w:cs="Times New Roman"/>
        </w:rPr>
        <w:t>Goethel</w:t>
      </w:r>
      <w:proofErr w:type="spellEnd"/>
      <w:r w:rsidRPr="00BA6333">
        <w:rPr>
          <w:rFonts w:cs="Times New Roman"/>
        </w:rPr>
        <w:t xml:space="preserve">, D.R., </w:t>
      </w:r>
      <w:proofErr w:type="spellStart"/>
      <w:r w:rsidRPr="00BA6333">
        <w:rPr>
          <w:rFonts w:cs="Times New Roman"/>
        </w:rPr>
        <w:t>Hanselman</w:t>
      </w:r>
      <w:proofErr w:type="spellEnd"/>
      <w:r w:rsidRPr="00BA6333">
        <w:rPr>
          <w:rFonts w:cs="Times New Roman"/>
        </w:rPr>
        <w:t xml:space="preserve">, D.H., Fenske, K.H., Berger, A.M., </w:t>
      </w:r>
      <w:proofErr w:type="spellStart"/>
      <w:r w:rsidRPr="00BA6333">
        <w:rPr>
          <w:rFonts w:cs="Times New Roman"/>
        </w:rPr>
        <w:t>Deroba</w:t>
      </w:r>
      <w:proofErr w:type="spellEnd"/>
      <w:r w:rsidRPr="00BA6333">
        <w:rPr>
          <w:rFonts w:cs="Times New Roman"/>
        </w:rPr>
        <w:t xml:space="preserve">, J.J., and </w:t>
      </w:r>
      <w:proofErr w:type="spellStart"/>
      <w:r w:rsidRPr="00BA6333">
        <w:rPr>
          <w:rFonts w:cs="Times New Roman"/>
        </w:rPr>
        <w:t>Langseth</w:t>
      </w:r>
      <w:proofErr w:type="spellEnd"/>
      <w:r w:rsidRPr="00BA6333">
        <w:rPr>
          <w:rFonts w:cs="Times New Roman"/>
        </w:rPr>
        <w:t xml:space="preserve">, B.J. 2022. Finding the perfect mismatch: Evaluating misspecification of population structure within spatially explicit integrated population models. Fish and Fisheries </w:t>
      </w:r>
      <w:r w:rsidRPr="00BA6333">
        <w:rPr>
          <w:rFonts w:cs="Times New Roman"/>
          <w:b/>
          <w:bCs/>
        </w:rPr>
        <w:t>23</w:t>
      </w:r>
      <w:r w:rsidRPr="00BA6333">
        <w:rPr>
          <w:rFonts w:cs="Times New Roman"/>
        </w:rPr>
        <w:t>(2): 294–315. doi:10.1111/faf.12616.</w:t>
      </w:r>
    </w:p>
    <w:p w14:paraId="15F44FCC" w14:textId="77777777" w:rsidR="00BA6333" w:rsidRPr="00BA6333" w:rsidRDefault="00BA6333" w:rsidP="00BA6333">
      <w:pPr>
        <w:pStyle w:val="Bibliography"/>
        <w:rPr>
          <w:rFonts w:cs="Times New Roman"/>
        </w:rPr>
      </w:pPr>
      <w:proofErr w:type="spellStart"/>
      <w:r w:rsidRPr="00BA6333">
        <w:rPr>
          <w:rFonts w:cs="Times New Roman"/>
        </w:rPr>
        <w:t>Bravington</w:t>
      </w:r>
      <w:proofErr w:type="spellEnd"/>
      <w:r w:rsidRPr="00BA6333">
        <w:rPr>
          <w:rFonts w:cs="Times New Roman"/>
        </w:rPr>
        <w:t xml:space="preserve">, M.V., </w:t>
      </w:r>
      <w:proofErr w:type="spellStart"/>
      <w:r w:rsidRPr="00BA6333">
        <w:rPr>
          <w:rFonts w:cs="Times New Roman"/>
        </w:rPr>
        <w:t>Skaug</w:t>
      </w:r>
      <w:proofErr w:type="spellEnd"/>
      <w:r w:rsidRPr="00BA6333">
        <w:rPr>
          <w:rFonts w:cs="Times New Roman"/>
        </w:rPr>
        <w:t xml:space="preserve">, H.J., and Anderson, E.C. 2016. Close-Kin Mark-Recapture. Statist. Sci. </w:t>
      </w:r>
      <w:r w:rsidRPr="00BA6333">
        <w:rPr>
          <w:rFonts w:cs="Times New Roman"/>
          <w:b/>
          <w:bCs/>
        </w:rPr>
        <w:t>31</w:t>
      </w:r>
      <w:r w:rsidRPr="00BA6333">
        <w:rPr>
          <w:rFonts w:cs="Times New Roman"/>
        </w:rPr>
        <w:t>(2). doi:10.1214/16-STS552.</w:t>
      </w:r>
    </w:p>
    <w:p w14:paraId="58A60C97" w14:textId="77777777" w:rsidR="00BA6333" w:rsidRPr="00BA6333" w:rsidRDefault="00BA6333" w:rsidP="00BA6333">
      <w:pPr>
        <w:pStyle w:val="Bibliography"/>
        <w:rPr>
          <w:rFonts w:cs="Times New Roman"/>
        </w:rPr>
      </w:pPr>
      <w:r w:rsidRPr="00BA6333">
        <w:rPr>
          <w:rFonts w:cs="Times New Roman"/>
        </w:rPr>
        <w:lastRenderedPageBreak/>
        <w:t xml:space="preserve">Bryan, D.R., McDermott, S.F., Nielsen, J.K., Fraser, D., and Rand, K.M. 2021. Seasonal migratory patterns of Pacific cod (Gadus macrocephalus) in the Aleutian Islands. </w:t>
      </w:r>
      <w:proofErr w:type="spellStart"/>
      <w:r w:rsidRPr="00BA6333">
        <w:rPr>
          <w:rFonts w:cs="Times New Roman"/>
        </w:rPr>
        <w:t>Anim</w:t>
      </w:r>
      <w:proofErr w:type="spellEnd"/>
      <w:r w:rsidRPr="00BA6333">
        <w:rPr>
          <w:rFonts w:cs="Times New Roman"/>
        </w:rPr>
        <w:t xml:space="preserve"> Biotelemetry </w:t>
      </w:r>
      <w:r w:rsidRPr="00BA6333">
        <w:rPr>
          <w:rFonts w:cs="Times New Roman"/>
          <w:b/>
          <w:bCs/>
        </w:rPr>
        <w:t>9</w:t>
      </w:r>
      <w:r w:rsidRPr="00BA6333">
        <w:rPr>
          <w:rFonts w:cs="Times New Roman"/>
        </w:rPr>
        <w:t>(1): 24. doi:10.1186/s40317-021-00250-2.</w:t>
      </w:r>
    </w:p>
    <w:p w14:paraId="753DE1A2" w14:textId="77777777" w:rsidR="00BA6333" w:rsidRPr="00BA6333" w:rsidRDefault="00BA6333" w:rsidP="00BA6333">
      <w:pPr>
        <w:pStyle w:val="Bibliography"/>
        <w:rPr>
          <w:rFonts w:cs="Times New Roman"/>
        </w:rPr>
      </w:pPr>
      <w:proofErr w:type="spellStart"/>
      <w:r w:rsidRPr="00BA6333">
        <w:rPr>
          <w:rFonts w:cs="Times New Roman"/>
        </w:rPr>
        <w:t>Cadrin</w:t>
      </w:r>
      <w:proofErr w:type="spellEnd"/>
      <w:r w:rsidRPr="00BA6333">
        <w:rPr>
          <w:rFonts w:cs="Times New Roman"/>
        </w:rPr>
        <w:t xml:space="preserve">, S.X. 2020. Defining spatial structure for fishery stock assessment. Fisheries Research </w:t>
      </w:r>
      <w:r w:rsidRPr="00BA6333">
        <w:rPr>
          <w:rFonts w:cs="Times New Roman"/>
          <w:b/>
          <w:bCs/>
        </w:rPr>
        <w:t>221</w:t>
      </w:r>
      <w:r w:rsidRPr="00BA6333">
        <w:rPr>
          <w:rFonts w:cs="Times New Roman"/>
        </w:rPr>
        <w:t xml:space="preserve">: 105397. </w:t>
      </w:r>
      <w:proofErr w:type="gramStart"/>
      <w:r w:rsidRPr="00BA6333">
        <w:rPr>
          <w:rFonts w:cs="Times New Roman"/>
        </w:rPr>
        <w:t>doi:10.1016/j.fishres</w:t>
      </w:r>
      <w:proofErr w:type="gramEnd"/>
      <w:r w:rsidRPr="00BA6333">
        <w:rPr>
          <w:rFonts w:cs="Times New Roman"/>
        </w:rPr>
        <w:t>.2019.105397.</w:t>
      </w:r>
    </w:p>
    <w:p w14:paraId="6205E974" w14:textId="77777777" w:rsidR="00BA6333" w:rsidRPr="00BA6333" w:rsidRDefault="00BA6333" w:rsidP="00BA6333">
      <w:pPr>
        <w:pStyle w:val="Bibliography"/>
        <w:rPr>
          <w:rFonts w:cs="Times New Roman"/>
        </w:rPr>
      </w:pPr>
      <w:proofErr w:type="spellStart"/>
      <w:r w:rsidRPr="00BA6333">
        <w:rPr>
          <w:rFonts w:cs="Times New Roman"/>
        </w:rPr>
        <w:t>Cadrin</w:t>
      </w:r>
      <w:proofErr w:type="spellEnd"/>
      <w:r w:rsidRPr="00BA6333">
        <w:rPr>
          <w:rFonts w:cs="Times New Roman"/>
        </w:rPr>
        <w:t xml:space="preserve">, S.X., </w:t>
      </w:r>
      <w:proofErr w:type="spellStart"/>
      <w:r w:rsidRPr="00BA6333">
        <w:rPr>
          <w:rFonts w:cs="Times New Roman"/>
        </w:rPr>
        <w:t>Goethel</w:t>
      </w:r>
      <w:proofErr w:type="spellEnd"/>
      <w:r w:rsidRPr="00BA6333">
        <w:rPr>
          <w:rFonts w:cs="Times New Roman"/>
        </w:rPr>
        <w:t xml:space="preserve">, D.R., Berger, A., and Jardim, E. 2023. Best practices for defining spatial boundaries and spatial structure in stock assessment. Fisheries Research </w:t>
      </w:r>
      <w:r w:rsidRPr="00BA6333">
        <w:rPr>
          <w:rFonts w:cs="Times New Roman"/>
          <w:b/>
          <w:bCs/>
        </w:rPr>
        <w:t>262</w:t>
      </w:r>
      <w:r w:rsidRPr="00BA6333">
        <w:rPr>
          <w:rFonts w:cs="Times New Roman"/>
        </w:rPr>
        <w:t xml:space="preserve">: 106650. </w:t>
      </w:r>
      <w:proofErr w:type="gramStart"/>
      <w:r w:rsidRPr="00BA6333">
        <w:rPr>
          <w:rFonts w:cs="Times New Roman"/>
        </w:rPr>
        <w:t>doi:10.1016/j.fishres</w:t>
      </w:r>
      <w:proofErr w:type="gramEnd"/>
      <w:r w:rsidRPr="00BA6333">
        <w:rPr>
          <w:rFonts w:cs="Times New Roman"/>
        </w:rPr>
        <w:t>.2023.106650.</w:t>
      </w:r>
    </w:p>
    <w:p w14:paraId="17D9ECAC" w14:textId="77777777" w:rsidR="00BA6333" w:rsidRPr="00BA6333" w:rsidRDefault="00BA6333" w:rsidP="00BA6333">
      <w:pPr>
        <w:pStyle w:val="Bibliography"/>
        <w:rPr>
          <w:rFonts w:cs="Times New Roman"/>
        </w:rPr>
      </w:pPr>
      <w:r w:rsidRPr="00BA6333">
        <w:rPr>
          <w:rFonts w:cs="Times New Roman"/>
        </w:rPr>
        <w:t xml:space="preserve">Cao, J., Thorson, J.T., Punt, A.E., and </w:t>
      </w:r>
      <w:proofErr w:type="spellStart"/>
      <w:r w:rsidRPr="00BA6333">
        <w:rPr>
          <w:rFonts w:cs="Times New Roman"/>
        </w:rPr>
        <w:t>Szuwalski</w:t>
      </w:r>
      <w:proofErr w:type="spellEnd"/>
      <w:r w:rsidRPr="00BA6333">
        <w:rPr>
          <w:rFonts w:cs="Times New Roman"/>
        </w:rPr>
        <w:t xml:space="preserve">, C. 2020. A novel spatiotemporal stock assessment framework to better address fine‐scale species distributions: Development and simulation testing. Fish </w:t>
      </w:r>
      <w:proofErr w:type="spellStart"/>
      <w:r w:rsidRPr="00BA6333">
        <w:rPr>
          <w:rFonts w:cs="Times New Roman"/>
        </w:rPr>
        <w:t>Fish</w:t>
      </w:r>
      <w:proofErr w:type="spellEnd"/>
      <w:r w:rsidRPr="00BA6333">
        <w:rPr>
          <w:rFonts w:cs="Times New Roman"/>
        </w:rPr>
        <w:t xml:space="preserve"> </w:t>
      </w:r>
      <w:r w:rsidRPr="00BA6333">
        <w:rPr>
          <w:rFonts w:cs="Times New Roman"/>
          <w:b/>
          <w:bCs/>
        </w:rPr>
        <w:t>21</w:t>
      </w:r>
      <w:r w:rsidRPr="00BA6333">
        <w:rPr>
          <w:rFonts w:cs="Times New Roman"/>
        </w:rPr>
        <w:t>(2): 350–367. doi:10.1111/faf.12433.</w:t>
      </w:r>
    </w:p>
    <w:p w14:paraId="1E593AAF" w14:textId="77777777" w:rsidR="00BA6333" w:rsidRPr="00BA6333" w:rsidRDefault="00BA6333" w:rsidP="00BA6333">
      <w:pPr>
        <w:pStyle w:val="Bibliography"/>
        <w:rPr>
          <w:rFonts w:cs="Times New Roman"/>
        </w:rPr>
      </w:pPr>
      <w:r w:rsidRPr="00BA6333">
        <w:rPr>
          <w:rFonts w:cs="Times New Roman"/>
        </w:rPr>
        <w:t xml:space="preserve">Clark, W.G. 2002. </w:t>
      </w:r>
      <w:r w:rsidRPr="00BA6333">
        <w:rPr>
          <w:rFonts w:cs="Times New Roman"/>
          <w:i/>
          <w:iCs/>
        </w:rPr>
        <w:t>F</w:t>
      </w:r>
      <w:r w:rsidRPr="00BA6333">
        <w:rPr>
          <w:rFonts w:cs="Times New Roman"/>
        </w:rPr>
        <w:t xml:space="preserve"> </w:t>
      </w:r>
      <w:r w:rsidRPr="00BA6333">
        <w:rPr>
          <w:rFonts w:cs="Times New Roman"/>
          <w:vertAlign w:val="subscript"/>
        </w:rPr>
        <w:t>35%</w:t>
      </w:r>
      <w:r w:rsidRPr="00BA6333">
        <w:rPr>
          <w:rFonts w:cs="Times New Roman"/>
        </w:rPr>
        <w:t xml:space="preserve"> Revisited Ten Years Later. North American Journal of Fisheries Management </w:t>
      </w:r>
      <w:r w:rsidRPr="00BA6333">
        <w:rPr>
          <w:rFonts w:cs="Times New Roman"/>
          <w:b/>
          <w:bCs/>
        </w:rPr>
        <w:t>22</w:t>
      </w:r>
      <w:r w:rsidRPr="00BA6333">
        <w:rPr>
          <w:rFonts w:cs="Times New Roman"/>
        </w:rPr>
        <w:t>(1): 251–257. doi:10.1577/1548-8675(2002)022&lt;</w:t>
      </w:r>
      <w:proofErr w:type="gramStart"/>
      <w:r w:rsidRPr="00BA6333">
        <w:rPr>
          <w:rFonts w:cs="Times New Roman"/>
        </w:rPr>
        <w:t>0251:FRTYL</w:t>
      </w:r>
      <w:proofErr w:type="gramEnd"/>
      <w:r w:rsidRPr="00BA6333">
        <w:rPr>
          <w:rFonts w:cs="Times New Roman"/>
        </w:rPr>
        <w:t>&gt;2.0.CO;2.</w:t>
      </w:r>
    </w:p>
    <w:p w14:paraId="602D07E4" w14:textId="77777777" w:rsidR="00BA6333" w:rsidRPr="00BA6333" w:rsidRDefault="00BA6333" w:rsidP="00BA6333">
      <w:pPr>
        <w:pStyle w:val="Bibliography"/>
        <w:rPr>
          <w:rFonts w:cs="Times New Roman"/>
        </w:rPr>
      </w:pPr>
      <w:r w:rsidRPr="00BA6333">
        <w:rPr>
          <w:rFonts w:cs="Times New Roman"/>
        </w:rPr>
        <w:t xml:space="preserve">Drinan, D.P., </w:t>
      </w:r>
      <w:proofErr w:type="spellStart"/>
      <w:r w:rsidRPr="00BA6333">
        <w:rPr>
          <w:rFonts w:cs="Times New Roman"/>
        </w:rPr>
        <w:t>Gruenthal</w:t>
      </w:r>
      <w:proofErr w:type="spellEnd"/>
      <w:r w:rsidRPr="00BA6333">
        <w:rPr>
          <w:rFonts w:cs="Times New Roman"/>
        </w:rPr>
        <w:t xml:space="preserve">, K.M., </w:t>
      </w:r>
      <w:proofErr w:type="spellStart"/>
      <w:r w:rsidRPr="00BA6333">
        <w:rPr>
          <w:rFonts w:cs="Times New Roman"/>
        </w:rPr>
        <w:t>Canino</w:t>
      </w:r>
      <w:proofErr w:type="spellEnd"/>
      <w:r w:rsidRPr="00BA6333">
        <w:rPr>
          <w:rFonts w:cs="Times New Roman"/>
        </w:rPr>
        <w:t xml:space="preserve">, M.F., Lowry, D., Fisher, M.C., and Hauser, L. 2018. Population assignment and local adaptation along an isolation‐by‐distance gradient in Pacific cod </w:t>
      </w:r>
      <w:proofErr w:type="gramStart"/>
      <w:r w:rsidRPr="00BA6333">
        <w:rPr>
          <w:rFonts w:cs="Times New Roman"/>
        </w:rPr>
        <w:t xml:space="preserve">( </w:t>
      </w:r>
      <w:r w:rsidRPr="00BA6333">
        <w:rPr>
          <w:rFonts w:cs="Times New Roman"/>
          <w:i/>
          <w:iCs/>
        </w:rPr>
        <w:t>Gadus</w:t>
      </w:r>
      <w:proofErr w:type="gramEnd"/>
      <w:r w:rsidRPr="00BA6333">
        <w:rPr>
          <w:rFonts w:cs="Times New Roman"/>
          <w:i/>
          <w:iCs/>
        </w:rPr>
        <w:t xml:space="preserve"> macrocephalus</w:t>
      </w:r>
      <w:r w:rsidRPr="00BA6333">
        <w:rPr>
          <w:rFonts w:cs="Times New Roman"/>
        </w:rPr>
        <w:t xml:space="preserve"> ). Evolutionary Applications </w:t>
      </w:r>
      <w:r w:rsidRPr="00BA6333">
        <w:rPr>
          <w:rFonts w:cs="Times New Roman"/>
          <w:b/>
          <w:bCs/>
        </w:rPr>
        <w:t>11</w:t>
      </w:r>
      <w:r w:rsidRPr="00BA6333">
        <w:rPr>
          <w:rFonts w:cs="Times New Roman"/>
        </w:rPr>
        <w:t>(8): 1448–1464. doi:10.1111/eva.12639.</w:t>
      </w:r>
    </w:p>
    <w:p w14:paraId="3A949822" w14:textId="77777777" w:rsidR="00BA6333" w:rsidRPr="00BA6333" w:rsidRDefault="00BA6333" w:rsidP="00BA6333">
      <w:pPr>
        <w:pStyle w:val="Bibliography"/>
        <w:rPr>
          <w:rFonts w:cs="Times New Roman"/>
        </w:rPr>
      </w:pPr>
      <w:r w:rsidRPr="00BA6333">
        <w:rPr>
          <w:rFonts w:cs="Times New Roman"/>
        </w:rPr>
        <w:t xml:space="preserve">Free, C.M., </w:t>
      </w:r>
      <w:proofErr w:type="spellStart"/>
      <w:r w:rsidRPr="00BA6333">
        <w:rPr>
          <w:rFonts w:cs="Times New Roman"/>
        </w:rPr>
        <w:t>Mangin</w:t>
      </w:r>
      <w:proofErr w:type="spellEnd"/>
      <w:r w:rsidRPr="00BA6333">
        <w:rPr>
          <w:rFonts w:cs="Times New Roman"/>
        </w:rPr>
        <w:t xml:space="preserve">, T., </w:t>
      </w:r>
      <w:proofErr w:type="spellStart"/>
      <w:r w:rsidRPr="00BA6333">
        <w:rPr>
          <w:rFonts w:cs="Times New Roman"/>
        </w:rPr>
        <w:t>Wiedenmann</w:t>
      </w:r>
      <w:proofErr w:type="spellEnd"/>
      <w:r w:rsidRPr="00BA6333">
        <w:rPr>
          <w:rFonts w:cs="Times New Roman"/>
        </w:rPr>
        <w:t>, J., Smith, C., McVeigh, H., and Gaines, S.D. 2022. Harvest control rules used in US federal fisheries management and implications for climate resilience. Fish and Fisheries: faf.12724. doi:10.1111/faf.12724.</w:t>
      </w:r>
    </w:p>
    <w:p w14:paraId="719D362D" w14:textId="77777777" w:rsidR="00BA6333" w:rsidRPr="00BA6333" w:rsidRDefault="00BA6333" w:rsidP="00BA6333">
      <w:pPr>
        <w:pStyle w:val="Bibliography"/>
        <w:rPr>
          <w:rFonts w:cs="Times New Roman"/>
        </w:rPr>
      </w:pPr>
      <w:r w:rsidRPr="00BA6333">
        <w:rPr>
          <w:rFonts w:cs="Times New Roman"/>
        </w:rPr>
        <w:t xml:space="preserve">Frisk, M.G., Martell, S.J.D., Miller, T.J., and </w:t>
      </w:r>
      <w:proofErr w:type="spellStart"/>
      <w:r w:rsidRPr="00BA6333">
        <w:rPr>
          <w:rFonts w:cs="Times New Roman"/>
        </w:rPr>
        <w:t>Sosebee</w:t>
      </w:r>
      <w:proofErr w:type="spellEnd"/>
      <w:r w:rsidRPr="00BA6333">
        <w:rPr>
          <w:rFonts w:cs="Times New Roman"/>
        </w:rPr>
        <w:t>, K. 2010. Exploring the population dynamics of winter skate (</w:t>
      </w:r>
      <w:proofErr w:type="spellStart"/>
      <w:r w:rsidRPr="00BA6333">
        <w:rPr>
          <w:rFonts w:cs="Times New Roman"/>
        </w:rPr>
        <w:t>Leucoraja</w:t>
      </w:r>
      <w:proofErr w:type="spellEnd"/>
      <w:r w:rsidRPr="00BA6333">
        <w:rPr>
          <w:rFonts w:cs="Times New Roman"/>
        </w:rPr>
        <w:t xml:space="preserve"> ocellata) in the Georges Bank region using a statistical catch-at-age model incorporating length, migration, and recruitment process errors. Can. J. Fish. </w:t>
      </w:r>
      <w:proofErr w:type="spellStart"/>
      <w:r w:rsidRPr="00BA6333">
        <w:rPr>
          <w:rFonts w:cs="Times New Roman"/>
        </w:rPr>
        <w:t>Aquat</w:t>
      </w:r>
      <w:proofErr w:type="spellEnd"/>
      <w:r w:rsidRPr="00BA6333">
        <w:rPr>
          <w:rFonts w:cs="Times New Roman"/>
        </w:rPr>
        <w:t xml:space="preserve">. Sci. </w:t>
      </w:r>
      <w:r w:rsidRPr="00BA6333">
        <w:rPr>
          <w:rFonts w:cs="Times New Roman"/>
          <w:b/>
          <w:bCs/>
        </w:rPr>
        <w:t>67</w:t>
      </w:r>
      <w:r w:rsidRPr="00BA6333">
        <w:rPr>
          <w:rFonts w:cs="Times New Roman"/>
        </w:rPr>
        <w:t>(5): 774–792. doi:10.1139/F10-008.</w:t>
      </w:r>
    </w:p>
    <w:p w14:paraId="373456C8" w14:textId="77777777" w:rsidR="00BA6333" w:rsidRPr="00BA6333" w:rsidRDefault="00BA6333" w:rsidP="00BA6333">
      <w:pPr>
        <w:pStyle w:val="Bibliography"/>
        <w:rPr>
          <w:rFonts w:cs="Times New Roman"/>
        </w:rPr>
      </w:pPr>
      <w:proofErr w:type="spellStart"/>
      <w:r w:rsidRPr="00BA6333">
        <w:rPr>
          <w:rFonts w:cs="Times New Roman"/>
        </w:rPr>
        <w:t>Goethel</w:t>
      </w:r>
      <w:proofErr w:type="spellEnd"/>
      <w:r w:rsidRPr="00BA6333">
        <w:rPr>
          <w:rFonts w:cs="Times New Roman"/>
        </w:rPr>
        <w:t xml:space="preserve">, D.R., and Berger, A.M. 2017. Accounting for spatial complexities in the calculation of biological reference points: effects of misdiagnosing population structure for stock status indicators. Can. J. Fish. </w:t>
      </w:r>
      <w:proofErr w:type="spellStart"/>
      <w:r w:rsidRPr="00BA6333">
        <w:rPr>
          <w:rFonts w:cs="Times New Roman"/>
        </w:rPr>
        <w:t>Aquat</w:t>
      </w:r>
      <w:proofErr w:type="spellEnd"/>
      <w:r w:rsidRPr="00BA6333">
        <w:rPr>
          <w:rFonts w:cs="Times New Roman"/>
        </w:rPr>
        <w:t xml:space="preserve">. Sci. </w:t>
      </w:r>
      <w:r w:rsidRPr="00BA6333">
        <w:rPr>
          <w:rFonts w:cs="Times New Roman"/>
          <w:b/>
          <w:bCs/>
        </w:rPr>
        <w:t>74</w:t>
      </w:r>
      <w:r w:rsidRPr="00BA6333">
        <w:rPr>
          <w:rFonts w:cs="Times New Roman"/>
        </w:rPr>
        <w:t>(11): 1878–1894. doi:10.1139/cjfas-2016-0290.</w:t>
      </w:r>
    </w:p>
    <w:p w14:paraId="6DF208DA" w14:textId="77777777" w:rsidR="00BA6333" w:rsidRPr="00BA6333" w:rsidRDefault="00BA6333" w:rsidP="00BA6333">
      <w:pPr>
        <w:pStyle w:val="Bibliography"/>
        <w:rPr>
          <w:rFonts w:cs="Times New Roman"/>
        </w:rPr>
      </w:pPr>
      <w:proofErr w:type="spellStart"/>
      <w:r w:rsidRPr="00BA6333">
        <w:rPr>
          <w:rFonts w:cs="Times New Roman"/>
        </w:rPr>
        <w:t>Goethel</w:t>
      </w:r>
      <w:proofErr w:type="spellEnd"/>
      <w:r w:rsidRPr="00BA6333">
        <w:rPr>
          <w:rFonts w:cs="Times New Roman"/>
        </w:rPr>
        <w:t xml:space="preserve">, D.R., </w:t>
      </w:r>
      <w:proofErr w:type="spellStart"/>
      <w:r w:rsidRPr="00BA6333">
        <w:rPr>
          <w:rFonts w:cs="Times New Roman"/>
        </w:rPr>
        <w:t>Bosley</w:t>
      </w:r>
      <w:proofErr w:type="spellEnd"/>
      <w:r w:rsidRPr="00BA6333">
        <w:rPr>
          <w:rFonts w:cs="Times New Roman"/>
        </w:rPr>
        <w:t xml:space="preserve">, K.M., </w:t>
      </w:r>
      <w:proofErr w:type="spellStart"/>
      <w:r w:rsidRPr="00BA6333">
        <w:rPr>
          <w:rFonts w:cs="Times New Roman"/>
        </w:rPr>
        <w:t>Langseth</w:t>
      </w:r>
      <w:proofErr w:type="spellEnd"/>
      <w:r w:rsidRPr="00BA6333">
        <w:rPr>
          <w:rFonts w:cs="Times New Roman"/>
        </w:rPr>
        <w:t xml:space="preserve">, B.J., </w:t>
      </w:r>
      <w:proofErr w:type="spellStart"/>
      <w:r w:rsidRPr="00BA6333">
        <w:rPr>
          <w:rFonts w:cs="Times New Roman"/>
        </w:rPr>
        <w:t>Deroba</w:t>
      </w:r>
      <w:proofErr w:type="spellEnd"/>
      <w:r w:rsidRPr="00BA6333">
        <w:rPr>
          <w:rFonts w:cs="Times New Roman"/>
        </w:rPr>
        <w:t xml:space="preserve">, J.J., Berger, A.M., </w:t>
      </w:r>
      <w:proofErr w:type="spellStart"/>
      <w:r w:rsidRPr="00BA6333">
        <w:rPr>
          <w:rFonts w:cs="Times New Roman"/>
        </w:rPr>
        <w:t>Hanselman</w:t>
      </w:r>
      <w:proofErr w:type="spellEnd"/>
      <w:r w:rsidRPr="00BA6333">
        <w:rPr>
          <w:rFonts w:cs="Times New Roman"/>
        </w:rPr>
        <w:t xml:space="preserve">, D.H., and </w:t>
      </w:r>
      <w:proofErr w:type="spellStart"/>
      <w:r w:rsidRPr="00BA6333">
        <w:rPr>
          <w:rFonts w:cs="Times New Roman"/>
        </w:rPr>
        <w:t>Schueller</w:t>
      </w:r>
      <w:proofErr w:type="spellEnd"/>
      <w:r w:rsidRPr="00BA6333">
        <w:rPr>
          <w:rFonts w:cs="Times New Roman"/>
        </w:rPr>
        <w:t xml:space="preserve">, A.M. 2021. Where do you think you’re going? Accounting for ontogenetic and climate‐induced movement in spatially stratified integrated population assessment models. Fish </w:t>
      </w:r>
      <w:proofErr w:type="spellStart"/>
      <w:r w:rsidRPr="00BA6333">
        <w:rPr>
          <w:rFonts w:cs="Times New Roman"/>
        </w:rPr>
        <w:t>Fish</w:t>
      </w:r>
      <w:proofErr w:type="spellEnd"/>
      <w:r w:rsidRPr="00BA6333">
        <w:rPr>
          <w:rFonts w:cs="Times New Roman"/>
        </w:rPr>
        <w:t xml:space="preserve"> </w:t>
      </w:r>
      <w:r w:rsidRPr="00BA6333">
        <w:rPr>
          <w:rFonts w:cs="Times New Roman"/>
          <w:b/>
          <w:bCs/>
        </w:rPr>
        <w:t>22</w:t>
      </w:r>
      <w:r w:rsidRPr="00BA6333">
        <w:rPr>
          <w:rFonts w:cs="Times New Roman"/>
        </w:rPr>
        <w:t>(1): 141–160. doi:10.1111/faf.12510.</w:t>
      </w:r>
    </w:p>
    <w:p w14:paraId="794A76FF" w14:textId="77777777" w:rsidR="00BA6333" w:rsidRPr="00BA6333" w:rsidRDefault="00BA6333" w:rsidP="00BA6333">
      <w:pPr>
        <w:pStyle w:val="Bibliography"/>
        <w:rPr>
          <w:rFonts w:cs="Times New Roman"/>
        </w:rPr>
      </w:pPr>
      <w:r w:rsidRPr="00BA6333">
        <w:rPr>
          <w:rFonts w:cs="Times New Roman"/>
        </w:rPr>
        <w:t xml:space="preserve">Hinckley, S., Stockhausen, W.T., Coyle, K.O., Laurel, B.J., Gibson, G.A., Parada, C., Hermann, A.J., Doyle, M.J., Hurst, T.P., Punt, A.E., and Ladd, C. 2019. Connectivity between spawning and nursery areas for Pacific cod (Gadus macrocephalus) in the Gulf of Alaska. Deep Sea Research Part II: Topical Studies in Oceanography </w:t>
      </w:r>
      <w:r w:rsidRPr="00BA6333">
        <w:rPr>
          <w:rFonts w:cs="Times New Roman"/>
          <w:b/>
          <w:bCs/>
        </w:rPr>
        <w:t>165</w:t>
      </w:r>
      <w:r w:rsidRPr="00BA6333">
        <w:rPr>
          <w:rFonts w:cs="Times New Roman"/>
        </w:rPr>
        <w:t xml:space="preserve">: 113–126. </w:t>
      </w:r>
      <w:proofErr w:type="gramStart"/>
      <w:r w:rsidRPr="00BA6333">
        <w:rPr>
          <w:rFonts w:cs="Times New Roman"/>
        </w:rPr>
        <w:t>doi:10.1016/j.dsr2</w:t>
      </w:r>
      <w:proofErr w:type="gramEnd"/>
      <w:r w:rsidRPr="00BA6333">
        <w:rPr>
          <w:rFonts w:cs="Times New Roman"/>
        </w:rPr>
        <w:t>.2019.05.007.</w:t>
      </w:r>
    </w:p>
    <w:p w14:paraId="38C412BE" w14:textId="77777777" w:rsidR="00BA6333" w:rsidRPr="00BA6333" w:rsidRDefault="00BA6333" w:rsidP="00BA6333">
      <w:pPr>
        <w:pStyle w:val="Bibliography"/>
        <w:rPr>
          <w:rFonts w:cs="Times New Roman"/>
        </w:rPr>
      </w:pPr>
      <w:proofErr w:type="spellStart"/>
      <w:r w:rsidRPr="00BA6333">
        <w:rPr>
          <w:rFonts w:cs="Times New Roman"/>
        </w:rPr>
        <w:t>Hulson</w:t>
      </w:r>
      <w:proofErr w:type="spellEnd"/>
      <w:r w:rsidRPr="00BA6333">
        <w:rPr>
          <w:rFonts w:cs="Times New Roman"/>
        </w:rPr>
        <w:t>, P. 2023. 2: Assessment of the Pacific cod stock in the Gulf of Alaska.</w:t>
      </w:r>
    </w:p>
    <w:p w14:paraId="550FD179" w14:textId="77777777" w:rsidR="00BA6333" w:rsidRPr="00BA6333" w:rsidRDefault="00BA6333" w:rsidP="00BA6333">
      <w:pPr>
        <w:pStyle w:val="Bibliography"/>
        <w:rPr>
          <w:rFonts w:cs="Times New Roman"/>
        </w:rPr>
      </w:pPr>
      <w:proofErr w:type="spellStart"/>
      <w:r w:rsidRPr="00BA6333">
        <w:rPr>
          <w:rFonts w:cs="Times New Roman"/>
        </w:rPr>
        <w:t>Hulson</w:t>
      </w:r>
      <w:proofErr w:type="spellEnd"/>
      <w:r w:rsidRPr="00BA6333">
        <w:rPr>
          <w:rFonts w:cs="Times New Roman"/>
        </w:rPr>
        <w:t xml:space="preserve">, P.-J.F., Quinn, T.J., </w:t>
      </w:r>
      <w:proofErr w:type="spellStart"/>
      <w:r w:rsidRPr="00BA6333">
        <w:rPr>
          <w:rFonts w:cs="Times New Roman"/>
        </w:rPr>
        <w:t>Hanselman</w:t>
      </w:r>
      <w:proofErr w:type="spellEnd"/>
      <w:r w:rsidRPr="00BA6333">
        <w:rPr>
          <w:rFonts w:cs="Times New Roman"/>
        </w:rPr>
        <w:t xml:space="preserve">, D.H., and Ianelli, J.N. 2013. Spatial modeling of Bering Sea walleye pollock with integrated age-structured assessment models in a changing environment. Can. J. Fish. </w:t>
      </w:r>
      <w:proofErr w:type="spellStart"/>
      <w:r w:rsidRPr="00BA6333">
        <w:rPr>
          <w:rFonts w:cs="Times New Roman"/>
        </w:rPr>
        <w:t>Aquat</w:t>
      </w:r>
      <w:proofErr w:type="spellEnd"/>
      <w:r w:rsidRPr="00BA6333">
        <w:rPr>
          <w:rFonts w:cs="Times New Roman"/>
        </w:rPr>
        <w:t xml:space="preserve">. Sci. </w:t>
      </w:r>
      <w:r w:rsidRPr="00BA6333">
        <w:rPr>
          <w:rFonts w:cs="Times New Roman"/>
          <w:b/>
          <w:bCs/>
        </w:rPr>
        <w:t>70</w:t>
      </w:r>
      <w:r w:rsidRPr="00BA6333">
        <w:rPr>
          <w:rFonts w:cs="Times New Roman"/>
        </w:rPr>
        <w:t>(9): 1402–1416. doi:10.1139/cjfas-2013-0020.</w:t>
      </w:r>
    </w:p>
    <w:p w14:paraId="5AE3EF9D" w14:textId="77777777" w:rsidR="00BA6333" w:rsidRPr="00BA6333" w:rsidRDefault="00BA6333" w:rsidP="00BA6333">
      <w:pPr>
        <w:pStyle w:val="Bibliography"/>
        <w:rPr>
          <w:rFonts w:cs="Times New Roman"/>
        </w:rPr>
      </w:pPr>
      <w:proofErr w:type="spellStart"/>
      <w:r w:rsidRPr="00BA6333">
        <w:rPr>
          <w:rFonts w:cs="Times New Roman"/>
        </w:rPr>
        <w:t>Kapur</w:t>
      </w:r>
      <w:proofErr w:type="spellEnd"/>
      <w:r w:rsidRPr="00BA6333">
        <w:rPr>
          <w:rFonts w:cs="Times New Roman"/>
        </w:rPr>
        <w:t xml:space="preserve">, M.S., </w:t>
      </w:r>
      <w:proofErr w:type="spellStart"/>
      <w:r w:rsidRPr="00BA6333">
        <w:rPr>
          <w:rFonts w:cs="Times New Roman"/>
        </w:rPr>
        <w:t>Siple</w:t>
      </w:r>
      <w:proofErr w:type="spellEnd"/>
      <w:r w:rsidRPr="00BA6333">
        <w:rPr>
          <w:rFonts w:cs="Times New Roman"/>
        </w:rPr>
        <w:t xml:space="preserve">, M.C., Olmos, M., </w:t>
      </w:r>
      <w:proofErr w:type="spellStart"/>
      <w:r w:rsidRPr="00BA6333">
        <w:rPr>
          <w:rFonts w:cs="Times New Roman"/>
        </w:rPr>
        <w:t>Privitera</w:t>
      </w:r>
      <w:proofErr w:type="spellEnd"/>
      <w:r w:rsidRPr="00BA6333">
        <w:rPr>
          <w:rFonts w:cs="Times New Roman"/>
        </w:rPr>
        <w:t>-Johnson, K.M., Adams, G., Best, J., Castillo-</w:t>
      </w:r>
      <w:proofErr w:type="spellStart"/>
      <w:r w:rsidRPr="00BA6333">
        <w:rPr>
          <w:rFonts w:cs="Times New Roman"/>
        </w:rPr>
        <w:t>Jordán</w:t>
      </w:r>
      <w:proofErr w:type="spellEnd"/>
      <w:r w:rsidRPr="00BA6333">
        <w:rPr>
          <w:rFonts w:cs="Times New Roman"/>
        </w:rPr>
        <w:t xml:space="preserve">, C., Cronin-Fine, L., </w:t>
      </w:r>
      <w:proofErr w:type="spellStart"/>
      <w:r w:rsidRPr="00BA6333">
        <w:rPr>
          <w:rFonts w:cs="Times New Roman"/>
        </w:rPr>
        <w:t>Havron</w:t>
      </w:r>
      <w:proofErr w:type="spellEnd"/>
      <w:r w:rsidRPr="00BA6333">
        <w:rPr>
          <w:rFonts w:cs="Times New Roman"/>
        </w:rPr>
        <w:t xml:space="preserve">, A.M., Lee, Q., </w:t>
      </w:r>
      <w:proofErr w:type="spellStart"/>
      <w:r w:rsidRPr="00BA6333">
        <w:rPr>
          <w:rFonts w:cs="Times New Roman"/>
        </w:rPr>
        <w:t>Methot</w:t>
      </w:r>
      <w:proofErr w:type="spellEnd"/>
      <w:r w:rsidRPr="00BA6333">
        <w:rPr>
          <w:rFonts w:cs="Times New Roman"/>
        </w:rPr>
        <w:t xml:space="preserve">, R.D., and Punt, A.E. 2021. Equilibrium reference point calculations for the next generation of spatial assessments. Fisheries Research </w:t>
      </w:r>
      <w:r w:rsidRPr="00BA6333">
        <w:rPr>
          <w:rFonts w:cs="Times New Roman"/>
          <w:b/>
          <w:bCs/>
        </w:rPr>
        <w:t>244</w:t>
      </w:r>
      <w:r w:rsidRPr="00BA6333">
        <w:rPr>
          <w:rFonts w:cs="Times New Roman"/>
        </w:rPr>
        <w:t xml:space="preserve">: 106132. </w:t>
      </w:r>
      <w:proofErr w:type="gramStart"/>
      <w:r w:rsidRPr="00BA6333">
        <w:rPr>
          <w:rFonts w:cs="Times New Roman"/>
        </w:rPr>
        <w:t>doi:10.1016/j.fishres</w:t>
      </w:r>
      <w:proofErr w:type="gramEnd"/>
      <w:r w:rsidRPr="00BA6333">
        <w:rPr>
          <w:rFonts w:cs="Times New Roman"/>
        </w:rPr>
        <w:t>.2021.106132.</w:t>
      </w:r>
    </w:p>
    <w:p w14:paraId="756C4002" w14:textId="77777777" w:rsidR="00BA6333" w:rsidRPr="00BA6333" w:rsidRDefault="00BA6333" w:rsidP="00BA6333">
      <w:pPr>
        <w:pStyle w:val="Bibliography"/>
        <w:rPr>
          <w:rFonts w:cs="Times New Roman"/>
        </w:rPr>
      </w:pPr>
      <w:r w:rsidRPr="00BA6333">
        <w:rPr>
          <w:rFonts w:cs="Times New Roman"/>
        </w:rPr>
        <w:lastRenderedPageBreak/>
        <w:t xml:space="preserve">Kerr, L.A., </w:t>
      </w:r>
      <w:proofErr w:type="spellStart"/>
      <w:r w:rsidRPr="00BA6333">
        <w:rPr>
          <w:rFonts w:cs="Times New Roman"/>
        </w:rPr>
        <w:t>Cadrin</w:t>
      </w:r>
      <w:proofErr w:type="spellEnd"/>
      <w:r w:rsidRPr="00BA6333">
        <w:rPr>
          <w:rFonts w:cs="Times New Roman"/>
        </w:rPr>
        <w:t xml:space="preserve">, S.X., and Kovach, A.I. 2014. Consequences of a mismatch between biological and management units on our perception of Atlantic cod off New England. ICES Journal of Marine Science </w:t>
      </w:r>
      <w:r w:rsidRPr="00BA6333">
        <w:rPr>
          <w:rFonts w:cs="Times New Roman"/>
          <w:b/>
          <w:bCs/>
        </w:rPr>
        <w:t>71</w:t>
      </w:r>
      <w:r w:rsidRPr="00BA6333">
        <w:rPr>
          <w:rFonts w:cs="Times New Roman"/>
        </w:rPr>
        <w:t>(6): 1366–1381. doi:10.1093/</w:t>
      </w:r>
      <w:proofErr w:type="spellStart"/>
      <w:r w:rsidRPr="00BA6333">
        <w:rPr>
          <w:rFonts w:cs="Times New Roman"/>
        </w:rPr>
        <w:t>icesjms</w:t>
      </w:r>
      <w:proofErr w:type="spellEnd"/>
      <w:r w:rsidRPr="00BA6333">
        <w:rPr>
          <w:rFonts w:cs="Times New Roman"/>
        </w:rPr>
        <w:t>/fsu113.</w:t>
      </w:r>
    </w:p>
    <w:p w14:paraId="54E09518" w14:textId="77777777" w:rsidR="00BA6333" w:rsidRPr="00BA6333" w:rsidRDefault="00BA6333" w:rsidP="00BA6333">
      <w:pPr>
        <w:pStyle w:val="Bibliography"/>
        <w:rPr>
          <w:rFonts w:cs="Times New Roman"/>
        </w:rPr>
      </w:pPr>
      <w:r w:rsidRPr="00BA6333">
        <w:rPr>
          <w:rFonts w:cs="Times New Roman"/>
        </w:rPr>
        <w:t xml:space="preserve">Laurel, B.J., </w:t>
      </w:r>
      <w:proofErr w:type="spellStart"/>
      <w:r w:rsidRPr="00BA6333">
        <w:rPr>
          <w:rFonts w:cs="Times New Roman"/>
        </w:rPr>
        <w:t>Ryer</w:t>
      </w:r>
      <w:proofErr w:type="spellEnd"/>
      <w:r w:rsidRPr="00BA6333">
        <w:rPr>
          <w:rFonts w:cs="Times New Roman"/>
        </w:rPr>
        <w:t xml:space="preserve">, C.H., </w:t>
      </w:r>
      <w:proofErr w:type="spellStart"/>
      <w:r w:rsidRPr="00BA6333">
        <w:rPr>
          <w:rFonts w:cs="Times New Roman"/>
        </w:rPr>
        <w:t>Knoth</w:t>
      </w:r>
      <w:proofErr w:type="spellEnd"/>
      <w:r w:rsidRPr="00BA6333">
        <w:rPr>
          <w:rFonts w:cs="Times New Roman"/>
        </w:rPr>
        <w:t xml:space="preserve">, B., and Stoner, A.W. 2009. Temporal and ontogenetic shifts in habitat use of juvenile Pacific cod (Gadus macrocephalus). Journal of Experimental Marine Biology and Ecology </w:t>
      </w:r>
      <w:r w:rsidRPr="00BA6333">
        <w:rPr>
          <w:rFonts w:cs="Times New Roman"/>
          <w:b/>
          <w:bCs/>
        </w:rPr>
        <w:t>377</w:t>
      </w:r>
      <w:r w:rsidRPr="00BA6333">
        <w:rPr>
          <w:rFonts w:cs="Times New Roman"/>
        </w:rPr>
        <w:t xml:space="preserve">(1): 28–35. </w:t>
      </w:r>
      <w:proofErr w:type="gramStart"/>
      <w:r w:rsidRPr="00BA6333">
        <w:rPr>
          <w:rFonts w:cs="Times New Roman"/>
        </w:rPr>
        <w:t>doi:10.1016/j.jembe</w:t>
      </w:r>
      <w:proofErr w:type="gramEnd"/>
      <w:r w:rsidRPr="00BA6333">
        <w:rPr>
          <w:rFonts w:cs="Times New Roman"/>
        </w:rPr>
        <w:t>.2009.06.010.</w:t>
      </w:r>
    </w:p>
    <w:p w14:paraId="46C4AA09" w14:textId="77777777" w:rsidR="00BA6333" w:rsidRPr="00BA6333" w:rsidRDefault="00BA6333" w:rsidP="00BA6333">
      <w:pPr>
        <w:pStyle w:val="Bibliography"/>
        <w:rPr>
          <w:rFonts w:cs="Times New Roman"/>
        </w:rPr>
      </w:pPr>
      <w:r w:rsidRPr="00BA6333">
        <w:rPr>
          <w:rFonts w:cs="Times New Roman"/>
        </w:rPr>
        <w:t xml:space="preserve">Lee, H.-H., </w:t>
      </w:r>
      <w:proofErr w:type="spellStart"/>
      <w:r w:rsidRPr="00BA6333">
        <w:rPr>
          <w:rFonts w:cs="Times New Roman"/>
        </w:rPr>
        <w:t>Piner</w:t>
      </w:r>
      <w:proofErr w:type="spellEnd"/>
      <w:r w:rsidRPr="00BA6333">
        <w:rPr>
          <w:rFonts w:cs="Times New Roman"/>
        </w:rPr>
        <w:t xml:space="preserve">, K.R., Maunder, M.N., Taylor, I.G., and </w:t>
      </w:r>
      <w:proofErr w:type="spellStart"/>
      <w:r w:rsidRPr="00BA6333">
        <w:rPr>
          <w:rFonts w:cs="Times New Roman"/>
        </w:rPr>
        <w:t>Methot</w:t>
      </w:r>
      <w:proofErr w:type="spellEnd"/>
      <w:r w:rsidRPr="00BA6333">
        <w:rPr>
          <w:rFonts w:cs="Times New Roman"/>
        </w:rPr>
        <w:t xml:space="preserve">, R.D. 2017. Evaluation of alternative modelling approaches to account for spatial effects due to age-based movement. Can. J. Fish. </w:t>
      </w:r>
      <w:proofErr w:type="spellStart"/>
      <w:r w:rsidRPr="00BA6333">
        <w:rPr>
          <w:rFonts w:cs="Times New Roman"/>
        </w:rPr>
        <w:t>Aquat</w:t>
      </w:r>
      <w:proofErr w:type="spellEnd"/>
      <w:r w:rsidRPr="00BA6333">
        <w:rPr>
          <w:rFonts w:cs="Times New Roman"/>
        </w:rPr>
        <w:t xml:space="preserve">. Sci. </w:t>
      </w:r>
      <w:r w:rsidRPr="00BA6333">
        <w:rPr>
          <w:rFonts w:cs="Times New Roman"/>
          <w:b/>
          <w:bCs/>
        </w:rPr>
        <w:t>74</w:t>
      </w:r>
      <w:r w:rsidRPr="00BA6333">
        <w:rPr>
          <w:rFonts w:cs="Times New Roman"/>
        </w:rPr>
        <w:t>(11): 1832–1844. doi:10.1139/cjfas-2016-0294.</w:t>
      </w:r>
    </w:p>
    <w:p w14:paraId="01BBFFD4" w14:textId="77777777" w:rsidR="00BA6333" w:rsidRPr="00BA6333" w:rsidRDefault="00BA6333" w:rsidP="00BA6333">
      <w:pPr>
        <w:pStyle w:val="Bibliography"/>
        <w:rPr>
          <w:rFonts w:cs="Times New Roman"/>
        </w:rPr>
      </w:pPr>
      <w:r w:rsidRPr="00BA6333">
        <w:rPr>
          <w:rFonts w:cs="Times New Roman"/>
        </w:rPr>
        <w:t xml:space="preserve">Legault, C.M., </w:t>
      </w:r>
      <w:proofErr w:type="spellStart"/>
      <w:r w:rsidRPr="00BA6333">
        <w:rPr>
          <w:rFonts w:cs="Times New Roman"/>
        </w:rPr>
        <w:t>Wiedenmann</w:t>
      </w:r>
      <w:proofErr w:type="spellEnd"/>
      <w:r w:rsidRPr="00BA6333">
        <w:rPr>
          <w:rFonts w:cs="Times New Roman"/>
        </w:rPr>
        <w:t xml:space="preserve">, J., </w:t>
      </w:r>
      <w:proofErr w:type="spellStart"/>
      <w:r w:rsidRPr="00BA6333">
        <w:rPr>
          <w:rFonts w:cs="Times New Roman"/>
        </w:rPr>
        <w:t>Deroba</w:t>
      </w:r>
      <w:proofErr w:type="spellEnd"/>
      <w:r w:rsidRPr="00BA6333">
        <w:rPr>
          <w:rFonts w:cs="Times New Roman"/>
        </w:rPr>
        <w:t xml:space="preserve">, J.J., Fay, G., Miller, T.J., Brooks, E.N., Bell, R.J., </w:t>
      </w:r>
      <w:proofErr w:type="spellStart"/>
      <w:r w:rsidRPr="00BA6333">
        <w:rPr>
          <w:rFonts w:cs="Times New Roman"/>
        </w:rPr>
        <w:t>Langan</w:t>
      </w:r>
      <w:proofErr w:type="spellEnd"/>
      <w:r w:rsidRPr="00BA6333">
        <w:rPr>
          <w:rFonts w:cs="Times New Roman"/>
        </w:rPr>
        <w:t xml:space="preserve">, J.A., </w:t>
      </w:r>
      <w:proofErr w:type="spellStart"/>
      <w:r w:rsidRPr="00BA6333">
        <w:rPr>
          <w:rFonts w:cs="Times New Roman"/>
        </w:rPr>
        <w:t>Cournane</w:t>
      </w:r>
      <w:proofErr w:type="spellEnd"/>
      <w:r w:rsidRPr="00BA6333">
        <w:rPr>
          <w:rFonts w:cs="Times New Roman"/>
        </w:rPr>
        <w:t xml:space="preserve">, J.M., Jones, A.W., and </w:t>
      </w:r>
      <w:proofErr w:type="spellStart"/>
      <w:r w:rsidRPr="00BA6333">
        <w:rPr>
          <w:rFonts w:cs="Times New Roman"/>
        </w:rPr>
        <w:t>Muffley</w:t>
      </w:r>
      <w:proofErr w:type="spellEnd"/>
      <w:r w:rsidRPr="00BA6333">
        <w:rPr>
          <w:rFonts w:cs="Times New Roman"/>
        </w:rPr>
        <w:t xml:space="preserve">, B. 2022. Data-rich but model-resistant: an evaluation of data-limited methods to manage fisheries with failed age-based stock assessments. Can. J. Fish. </w:t>
      </w:r>
      <w:proofErr w:type="spellStart"/>
      <w:r w:rsidRPr="00BA6333">
        <w:rPr>
          <w:rFonts w:cs="Times New Roman"/>
        </w:rPr>
        <w:t>Aquat</w:t>
      </w:r>
      <w:proofErr w:type="spellEnd"/>
      <w:r w:rsidRPr="00BA6333">
        <w:rPr>
          <w:rFonts w:cs="Times New Roman"/>
        </w:rPr>
        <w:t>. Sci.: cjfas-2022-0045. doi:10.1139/cjfas-2022-0045.</w:t>
      </w:r>
    </w:p>
    <w:p w14:paraId="2452125A" w14:textId="77777777" w:rsidR="00BA6333" w:rsidRPr="00BA6333" w:rsidRDefault="00BA6333" w:rsidP="00BA6333">
      <w:pPr>
        <w:pStyle w:val="Bibliography"/>
        <w:rPr>
          <w:rFonts w:cs="Times New Roman"/>
        </w:rPr>
      </w:pPr>
      <w:proofErr w:type="spellStart"/>
      <w:r w:rsidRPr="00BA6333">
        <w:rPr>
          <w:rFonts w:cs="Times New Roman"/>
        </w:rPr>
        <w:t>Lennert</w:t>
      </w:r>
      <w:proofErr w:type="spellEnd"/>
      <w:r w:rsidRPr="00BA6333">
        <w:rPr>
          <w:rFonts w:cs="Times New Roman"/>
        </w:rPr>
        <w:t xml:space="preserve">-Cody, C.E., Maunder, M.N., Aires-da-Silva, A., and Minami, M. 2013. Defining population spatial units: Simultaneous analysis of frequency distributions and time series. Fisheries Research </w:t>
      </w:r>
      <w:r w:rsidRPr="00BA6333">
        <w:rPr>
          <w:rFonts w:cs="Times New Roman"/>
          <w:b/>
          <w:bCs/>
        </w:rPr>
        <w:t>139</w:t>
      </w:r>
      <w:r w:rsidRPr="00BA6333">
        <w:rPr>
          <w:rFonts w:cs="Times New Roman"/>
        </w:rPr>
        <w:t xml:space="preserve">: 85–92. </w:t>
      </w:r>
      <w:proofErr w:type="gramStart"/>
      <w:r w:rsidRPr="00BA6333">
        <w:rPr>
          <w:rFonts w:cs="Times New Roman"/>
        </w:rPr>
        <w:t>doi:10.1016/j.fishres</w:t>
      </w:r>
      <w:proofErr w:type="gramEnd"/>
      <w:r w:rsidRPr="00BA6333">
        <w:rPr>
          <w:rFonts w:cs="Times New Roman"/>
        </w:rPr>
        <w:t>.2012.10.001.</w:t>
      </w:r>
    </w:p>
    <w:p w14:paraId="7B96D239" w14:textId="77777777" w:rsidR="00BA6333" w:rsidRPr="00BA6333" w:rsidRDefault="00BA6333" w:rsidP="00BA6333">
      <w:pPr>
        <w:pStyle w:val="Bibliography"/>
        <w:rPr>
          <w:rFonts w:cs="Times New Roman"/>
        </w:rPr>
      </w:pPr>
      <w:proofErr w:type="spellStart"/>
      <w:r w:rsidRPr="00BA6333">
        <w:rPr>
          <w:rFonts w:cs="Times New Roman"/>
        </w:rPr>
        <w:t>Lennert</w:t>
      </w:r>
      <w:proofErr w:type="spellEnd"/>
      <w:r w:rsidRPr="00BA6333">
        <w:rPr>
          <w:rFonts w:cs="Times New Roman"/>
        </w:rPr>
        <w:t xml:space="preserve">-Cody, C.E., Minami, M., Tomlinson, P.K., and Maunder, M.N. 2010. Exploratory analysis of spatial–temporal patterns in length–frequency data: An example of distributional regression trees. Fisheries Research </w:t>
      </w:r>
      <w:r w:rsidRPr="00BA6333">
        <w:rPr>
          <w:rFonts w:cs="Times New Roman"/>
          <w:b/>
          <w:bCs/>
        </w:rPr>
        <w:t>102</w:t>
      </w:r>
      <w:r w:rsidRPr="00BA6333">
        <w:rPr>
          <w:rFonts w:cs="Times New Roman"/>
        </w:rPr>
        <w:t xml:space="preserve">(3): 323–326. </w:t>
      </w:r>
      <w:proofErr w:type="gramStart"/>
      <w:r w:rsidRPr="00BA6333">
        <w:rPr>
          <w:rFonts w:cs="Times New Roman"/>
        </w:rPr>
        <w:t>doi:10.1016/j.fishres</w:t>
      </w:r>
      <w:proofErr w:type="gramEnd"/>
      <w:r w:rsidRPr="00BA6333">
        <w:rPr>
          <w:rFonts w:cs="Times New Roman"/>
        </w:rPr>
        <w:t>.2009.11.014.</w:t>
      </w:r>
    </w:p>
    <w:p w14:paraId="640BC925" w14:textId="77777777" w:rsidR="00BA6333" w:rsidRPr="00BA6333" w:rsidRDefault="00BA6333" w:rsidP="00BA6333">
      <w:pPr>
        <w:pStyle w:val="Bibliography"/>
        <w:rPr>
          <w:rFonts w:cs="Times New Roman"/>
        </w:rPr>
      </w:pPr>
      <w:r w:rsidRPr="00BA6333">
        <w:rPr>
          <w:rFonts w:cs="Times New Roman"/>
        </w:rPr>
        <w:t xml:space="preserve">Punt, A.E., Dorn, M.W., and </w:t>
      </w:r>
      <w:proofErr w:type="spellStart"/>
      <w:r w:rsidRPr="00BA6333">
        <w:rPr>
          <w:rFonts w:cs="Times New Roman"/>
        </w:rPr>
        <w:t>Haltuch</w:t>
      </w:r>
      <w:proofErr w:type="spellEnd"/>
      <w:r w:rsidRPr="00BA6333">
        <w:rPr>
          <w:rFonts w:cs="Times New Roman"/>
        </w:rPr>
        <w:t xml:space="preserve">, M.A. 2008. Evaluation of threshold management strategies for groundfish off the U.S. West Coast. Fisheries Research </w:t>
      </w:r>
      <w:r w:rsidRPr="00BA6333">
        <w:rPr>
          <w:rFonts w:cs="Times New Roman"/>
          <w:b/>
          <w:bCs/>
        </w:rPr>
        <w:t>94</w:t>
      </w:r>
      <w:r w:rsidRPr="00BA6333">
        <w:rPr>
          <w:rFonts w:cs="Times New Roman"/>
        </w:rPr>
        <w:t xml:space="preserve">(3): 251–266. </w:t>
      </w:r>
      <w:proofErr w:type="gramStart"/>
      <w:r w:rsidRPr="00BA6333">
        <w:rPr>
          <w:rFonts w:cs="Times New Roman"/>
        </w:rPr>
        <w:t>doi:10.1016/j.fishres</w:t>
      </w:r>
      <w:proofErr w:type="gramEnd"/>
      <w:r w:rsidRPr="00BA6333">
        <w:rPr>
          <w:rFonts w:cs="Times New Roman"/>
        </w:rPr>
        <w:t>.2007.12.008.</w:t>
      </w:r>
    </w:p>
    <w:p w14:paraId="3330749F" w14:textId="77777777" w:rsidR="00BA6333" w:rsidRPr="00BA6333" w:rsidRDefault="00BA6333" w:rsidP="00BA6333">
      <w:pPr>
        <w:pStyle w:val="Bibliography"/>
        <w:rPr>
          <w:rFonts w:cs="Times New Roman"/>
        </w:rPr>
      </w:pPr>
      <w:r w:rsidRPr="00BA6333">
        <w:rPr>
          <w:rFonts w:cs="Times New Roman"/>
        </w:rPr>
        <w:t xml:space="preserve">Punt, A.E., Haddon, M., Little, L.R., and Tuck, G.N. 2017. The effect of marine closures on a feedback control management strategy used in a spatially aggregated stock assessment: a case study based on pink ling in Australia. Can. J. Fish. </w:t>
      </w:r>
      <w:proofErr w:type="spellStart"/>
      <w:r w:rsidRPr="00BA6333">
        <w:rPr>
          <w:rFonts w:cs="Times New Roman"/>
        </w:rPr>
        <w:t>Aquat</w:t>
      </w:r>
      <w:proofErr w:type="spellEnd"/>
      <w:r w:rsidRPr="00BA6333">
        <w:rPr>
          <w:rFonts w:cs="Times New Roman"/>
        </w:rPr>
        <w:t xml:space="preserve">. Sci. </w:t>
      </w:r>
      <w:r w:rsidRPr="00BA6333">
        <w:rPr>
          <w:rFonts w:cs="Times New Roman"/>
          <w:b/>
          <w:bCs/>
        </w:rPr>
        <w:t>74</w:t>
      </w:r>
      <w:r w:rsidRPr="00BA6333">
        <w:rPr>
          <w:rFonts w:cs="Times New Roman"/>
        </w:rPr>
        <w:t>(11): 1960–1973. doi:10.1139/cjfas-2016-0017.</w:t>
      </w:r>
    </w:p>
    <w:p w14:paraId="64F6CBFB" w14:textId="77777777" w:rsidR="00BA6333" w:rsidRPr="00BA6333" w:rsidRDefault="00BA6333" w:rsidP="00BA6333">
      <w:pPr>
        <w:pStyle w:val="Bibliography"/>
        <w:rPr>
          <w:rFonts w:cs="Times New Roman"/>
        </w:rPr>
      </w:pPr>
      <w:r w:rsidRPr="00BA6333">
        <w:rPr>
          <w:rFonts w:cs="Times New Roman"/>
        </w:rPr>
        <w:t>Reuchlin-</w:t>
      </w:r>
      <w:proofErr w:type="spellStart"/>
      <w:r w:rsidRPr="00BA6333">
        <w:rPr>
          <w:rFonts w:cs="Times New Roman"/>
        </w:rPr>
        <w:t>Hugenholtz</w:t>
      </w:r>
      <w:proofErr w:type="spellEnd"/>
      <w:r w:rsidRPr="00BA6333">
        <w:rPr>
          <w:rFonts w:cs="Times New Roman"/>
        </w:rPr>
        <w:t xml:space="preserve">, E., Shackell, N.L., Hutchings, J.A., and Handling editor: Valerio </w:t>
      </w:r>
      <w:proofErr w:type="spellStart"/>
      <w:r w:rsidRPr="00BA6333">
        <w:rPr>
          <w:rFonts w:cs="Times New Roman"/>
        </w:rPr>
        <w:t>Bartolino</w:t>
      </w:r>
      <w:proofErr w:type="spellEnd"/>
      <w:r w:rsidRPr="00BA6333">
        <w:rPr>
          <w:rFonts w:cs="Times New Roman"/>
        </w:rPr>
        <w:t xml:space="preserve">. 2016. Spatial reference points for groundfish. ICES Journal of Marine Science </w:t>
      </w:r>
      <w:r w:rsidRPr="00BA6333">
        <w:rPr>
          <w:rFonts w:cs="Times New Roman"/>
          <w:b/>
          <w:bCs/>
        </w:rPr>
        <w:t>73</w:t>
      </w:r>
      <w:r w:rsidRPr="00BA6333">
        <w:rPr>
          <w:rFonts w:cs="Times New Roman"/>
        </w:rPr>
        <w:t>(10): 2468–2478. doi:10.1093/</w:t>
      </w:r>
      <w:proofErr w:type="spellStart"/>
      <w:r w:rsidRPr="00BA6333">
        <w:rPr>
          <w:rFonts w:cs="Times New Roman"/>
        </w:rPr>
        <w:t>icesjms</w:t>
      </w:r>
      <w:proofErr w:type="spellEnd"/>
      <w:r w:rsidRPr="00BA6333">
        <w:rPr>
          <w:rFonts w:cs="Times New Roman"/>
        </w:rPr>
        <w:t>/fsw123.</w:t>
      </w:r>
    </w:p>
    <w:p w14:paraId="6AFC3C50" w14:textId="77777777" w:rsidR="00BA6333" w:rsidRPr="00BA6333" w:rsidRDefault="00BA6333" w:rsidP="00BA6333">
      <w:pPr>
        <w:pStyle w:val="Bibliography"/>
        <w:rPr>
          <w:rFonts w:cs="Times New Roman"/>
        </w:rPr>
      </w:pPr>
      <w:r w:rsidRPr="00BA6333">
        <w:rPr>
          <w:rFonts w:cs="Times New Roman"/>
        </w:rPr>
        <w:t xml:space="preserve">Rogers, L.A., </w:t>
      </w:r>
      <w:proofErr w:type="spellStart"/>
      <w:r w:rsidRPr="00BA6333">
        <w:rPr>
          <w:rFonts w:cs="Times New Roman"/>
        </w:rPr>
        <w:t>Monnahan</w:t>
      </w:r>
      <w:proofErr w:type="spellEnd"/>
      <w:r w:rsidRPr="00BA6333">
        <w:rPr>
          <w:rFonts w:cs="Times New Roman"/>
        </w:rPr>
        <w:t xml:space="preserve">, C.C., Williams, K., Jones, D.T., and Dorn, M.W. 2024. Climate-driven changes in the timing of spawning and the availability of walleye pollock </w:t>
      </w:r>
      <w:proofErr w:type="gramStart"/>
      <w:r w:rsidRPr="00BA6333">
        <w:rPr>
          <w:rFonts w:cs="Times New Roman"/>
        </w:rPr>
        <w:t xml:space="preserve">( </w:t>
      </w:r>
      <w:r w:rsidRPr="00BA6333">
        <w:rPr>
          <w:rFonts w:cs="Times New Roman"/>
          <w:i/>
          <w:iCs/>
        </w:rPr>
        <w:t>Gadus</w:t>
      </w:r>
      <w:proofErr w:type="gramEnd"/>
      <w:r w:rsidRPr="00BA6333">
        <w:rPr>
          <w:rFonts w:cs="Times New Roman"/>
          <w:i/>
          <w:iCs/>
        </w:rPr>
        <w:t xml:space="preserve"> </w:t>
      </w:r>
      <w:proofErr w:type="spellStart"/>
      <w:r w:rsidRPr="00BA6333">
        <w:rPr>
          <w:rFonts w:cs="Times New Roman"/>
          <w:i/>
          <w:iCs/>
        </w:rPr>
        <w:t>chalcogrammus</w:t>
      </w:r>
      <w:proofErr w:type="spellEnd"/>
      <w:r w:rsidRPr="00BA6333">
        <w:rPr>
          <w:rFonts w:cs="Times New Roman"/>
        </w:rPr>
        <w:t xml:space="preserve"> ) to assessment surveys in the Gulf of Alaska. ICES Journal of Marine Science: fsae005. doi:10.1093/</w:t>
      </w:r>
      <w:proofErr w:type="spellStart"/>
      <w:r w:rsidRPr="00BA6333">
        <w:rPr>
          <w:rFonts w:cs="Times New Roman"/>
        </w:rPr>
        <w:t>icesjms</w:t>
      </w:r>
      <w:proofErr w:type="spellEnd"/>
      <w:r w:rsidRPr="00BA6333">
        <w:rPr>
          <w:rFonts w:cs="Times New Roman"/>
        </w:rPr>
        <w:t>/fsae005.</w:t>
      </w:r>
    </w:p>
    <w:p w14:paraId="69A2CAFC" w14:textId="77777777" w:rsidR="00BA6333" w:rsidRPr="00BA6333" w:rsidRDefault="00BA6333" w:rsidP="00BA6333">
      <w:pPr>
        <w:pStyle w:val="Bibliography"/>
        <w:rPr>
          <w:rFonts w:cs="Times New Roman"/>
        </w:rPr>
      </w:pPr>
      <w:r w:rsidRPr="00BA6333">
        <w:rPr>
          <w:rFonts w:cs="Times New Roman"/>
        </w:rPr>
        <w:t xml:space="preserve">Shimada, A.M., and Kimura, D.K. 1994. Seasonal movements of Pacific cod, Gadus </w:t>
      </w:r>
      <w:proofErr w:type="spellStart"/>
      <w:r w:rsidRPr="00BA6333">
        <w:rPr>
          <w:rFonts w:cs="Times New Roman"/>
        </w:rPr>
        <w:t>macrocephalUS</w:t>
      </w:r>
      <w:proofErr w:type="spellEnd"/>
      <w:r w:rsidRPr="00BA6333">
        <w:rPr>
          <w:rFonts w:cs="Times New Roman"/>
        </w:rPr>
        <w:t>, in the eastern Bering Sea and adjacent waters based on tag-recapture data.</w:t>
      </w:r>
    </w:p>
    <w:p w14:paraId="25522467" w14:textId="77777777" w:rsidR="00BA6333" w:rsidRPr="00BA6333" w:rsidRDefault="00BA6333" w:rsidP="00BA6333">
      <w:pPr>
        <w:pStyle w:val="Bibliography"/>
        <w:rPr>
          <w:rFonts w:cs="Times New Roman"/>
        </w:rPr>
      </w:pPr>
      <w:proofErr w:type="spellStart"/>
      <w:r w:rsidRPr="00BA6333">
        <w:rPr>
          <w:rFonts w:cs="Times New Roman"/>
        </w:rPr>
        <w:t>Sissenwine</w:t>
      </w:r>
      <w:proofErr w:type="spellEnd"/>
      <w:r w:rsidRPr="00BA6333">
        <w:rPr>
          <w:rFonts w:cs="Times New Roman"/>
        </w:rPr>
        <w:t xml:space="preserve">, M.P., and Shepherd, J.G. 1987. An Alternative Perspective on Recruitment Overfishing and Biological Reference Points. Can. J. Fish. </w:t>
      </w:r>
      <w:proofErr w:type="spellStart"/>
      <w:r w:rsidRPr="00BA6333">
        <w:rPr>
          <w:rFonts w:cs="Times New Roman"/>
        </w:rPr>
        <w:t>Aquat</w:t>
      </w:r>
      <w:proofErr w:type="spellEnd"/>
      <w:r w:rsidRPr="00BA6333">
        <w:rPr>
          <w:rFonts w:cs="Times New Roman"/>
        </w:rPr>
        <w:t xml:space="preserve">. Sci. </w:t>
      </w:r>
      <w:r w:rsidRPr="00BA6333">
        <w:rPr>
          <w:rFonts w:cs="Times New Roman"/>
          <w:b/>
          <w:bCs/>
        </w:rPr>
        <w:t>44</w:t>
      </w:r>
      <w:r w:rsidRPr="00BA6333">
        <w:rPr>
          <w:rFonts w:cs="Times New Roman"/>
        </w:rPr>
        <w:t>(4): 913–918. doi:10.1139/f87-110.</w:t>
      </w:r>
    </w:p>
    <w:p w14:paraId="5B4B4AC0" w14:textId="77777777" w:rsidR="00BA6333" w:rsidRPr="00BA6333" w:rsidRDefault="00BA6333" w:rsidP="00BA6333">
      <w:pPr>
        <w:pStyle w:val="Bibliography"/>
        <w:rPr>
          <w:rFonts w:cs="Times New Roman"/>
        </w:rPr>
      </w:pPr>
      <w:r w:rsidRPr="00BA6333">
        <w:rPr>
          <w:rFonts w:cs="Times New Roman"/>
        </w:rPr>
        <w:t xml:space="preserve">Spies, I. 2012. Landscape Genetics Reveals Population Subdivision in Bering Sea and Aleutian Islands Pacific Cod. Trans Am Fish Soc </w:t>
      </w:r>
      <w:r w:rsidRPr="00BA6333">
        <w:rPr>
          <w:rFonts w:cs="Times New Roman"/>
          <w:b/>
          <w:bCs/>
        </w:rPr>
        <w:t>141</w:t>
      </w:r>
      <w:r w:rsidRPr="00BA6333">
        <w:rPr>
          <w:rFonts w:cs="Times New Roman"/>
        </w:rPr>
        <w:t>(6): 1557–1573. doi:10.1080/00028487.2012.711265.</w:t>
      </w:r>
    </w:p>
    <w:p w14:paraId="727F7E97" w14:textId="77777777" w:rsidR="00BA6333" w:rsidRPr="00BA6333" w:rsidRDefault="00BA6333" w:rsidP="00BA6333">
      <w:pPr>
        <w:pStyle w:val="Bibliography"/>
        <w:rPr>
          <w:rFonts w:cs="Times New Roman"/>
        </w:rPr>
      </w:pPr>
      <w:r w:rsidRPr="00BA6333">
        <w:rPr>
          <w:rFonts w:cs="Times New Roman"/>
        </w:rPr>
        <w:t xml:space="preserve">Spies, I., </w:t>
      </w:r>
      <w:proofErr w:type="spellStart"/>
      <w:r w:rsidRPr="00BA6333">
        <w:rPr>
          <w:rFonts w:cs="Times New Roman"/>
        </w:rPr>
        <w:t>Barbeaux</w:t>
      </w:r>
      <w:proofErr w:type="spellEnd"/>
      <w:r w:rsidRPr="00BA6333">
        <w:rPr>
          <w:rFonts w:cs="Times New Roman"/>
        </w:rPr>
        <w:t xml:space="preserve">, S., </w:t>
      </w:r>
      <w:proofErr w:type="spellStart"/>
      <w:r w:rsidRPr="00BA6333">
        <w:rPr>
          <w:rFonts w:cs="Times New Roman"/>
        </w:rPr>
        <w:t>Hulson</w:t>
      </w:r>
      <w:proofErr w:type="spellEnd"/>
      <w:r w:rsidRPr="00BA6333">
        <w:rPr>
          <w:rFonts w:cs="Times New Roman"/>
        </w:rPr>
        <w:t xml:space="preserve">, P., and Ortiz, I. 2023. 2A. Assessment of the </w:t>
      </w:r>
      <w:proofErr w:type="spellStart"/>
      <w:r w:rsidRPr="00BA6333">
        <w:rPr>
          <w:rFonts w:cs="Times New Roman"/>
        </w:rPr>
        <w:t>Pacifc</w:t>
      </w:r>
      <w:proofErr w:type="spellEnd"/>
      <w:r w:rsidRPr="00BA6333">
        <w:rPr>
          <w:rFonts w:cs="Times New Roman"/>
        </w:rPr>
        <w:t xml:space="preserve"> cod stock in the Aleutian Islands.</w:t>
      </w:r>
    </w:p>
    <w:p w14:paraId="202854B4" w14:textId="77777777" w:rsidR="00BA6333" w:rsidRPr="00BA6333" w:rsidRDefault="00BA6333" w:rsidP="00BA6333">
      <w:pPr>
        <w:pStyle w:val="Bibliography"/>
        <w:rPr>
          <w:rFonts w:cs="Times New Roman"/>
        </w:rPr>
      </w:pPr>
      <w:r w:rsidRPr="00BA6333">
        <w:rPr>
          <w:rFonts w:cs="Times New Roman"/>
        </w:rPr>
        <w:lastRenderedPageBreak/>
        <w:t xml:space="preserve">Spies, I., Drinan, D.P., </w:t>
      </w:r>
      <w:proofErr w:type="spellStart"/>
      <w:r w:rsidRPr="00BA6333">
        <w:rPr>
          <w:rFonts w:cs="Times New Roman"/>
        </w:rPr>
        <w:t>Petrou</w:t>
      </w:r>
      <w:proofErr w:type="spellEnd"/>
      <w:r w:rsidRPr="00BA6333">
        <w:rPr>
          <w:rFonts w:cs="Times New Roman"/>
        </w:rPr>
        <w:t xml:space="preserve">, E.L., </w:t>
      </w:r>
      <w:proofErr w:type="spellStart"/>
      <w:r w:rsidRPr="00BA6333">
        <w:rPr>
          <w:rFonts w:cs="Times New Roman"/>
        </w:rPr>
        <w:t>Spurr</w:t>
      </w:r>
      <w:proofErr w:type="spellEnd"/>
      <w:r w:rsidRPr="00BA6333">
        <w:rPr>
          <w:rFonts w:cs="Times New Roman"/>
        </w:rPr>
        <w:t xml:space="preserve">, R., </w:t>
      </w:r>
      <w:proofErr w:type="spellStart"/>
      <w:r w:rsidRPr="00BA6333">
        <w:rPr>
          <w:rFonts w:cs="Times New Roman"/>
        </w:rPr>
        <w:t>Tarpey</w:t>
      </w:r>
      <w:proofErr w:type="spellEnd"/>
      <w:r w:rsidRPr="00BA6333">
        <w:rPr>
          <w:rFonts w:cs="Times New Roman"/>
        </w:rPr>
        <w:t xml:space="preserve">, C., </w:t>
      </w:r>
      <w:proofErr w:type="spellStart"/>
      <w:r w:rsidRPr="00BA6333">
        <w:rPr>
          <w:rFonts w:cs="Times New Roman"/>
        </w:rPr>
        <w:t>Hartinger</w:t>
      </w:r>
      <w:proofErr w:type="spellEnd"/>
      <w:r w:rsidRPr="00BA6333">
        <w:rPr>
          <w:rFonts w:cs="Times New Roman"/>
        </w:rPr>
        <w:t xml:space="preserve">, T., Larson, W., and Hauser, L. 2021. Evidence for selection and spatially distinct patterns found in a putative zona pellucida gene in Pacific cod, and implications for management. Ecology and Evolution </w:t>
      </w:r>
      <w:r w:rsidRPr="00BA6333">
        <w:rPr>
          <w:rFonts w:cs="Times New Roman"/>
          <w:b/>
          <w:bCs/>
        </w:rPr>
        <w:t>11</w:t>
      </w:r>
      <w:r w:rsidRPr="00BA6333">
        <w:rPr>
          <w:rFonts w:cs="Times New Roman"/>
        </w:rPr>
        <w:t>(23): 16661–16679. doi:10.1002/ece3.8284.</w:t>
      </w:r>
    </w:p>
    <w:p w14:paraId="46463BCE" w14:textId="77777777" w:rsidR="00BA6333" w:rsidRPr="00BA6333" w:rsidRDefault="00BA6333" w:rsidP="00BA6333">
      <w:pPr>
        <w:pStyle w:val="Bibliography"/>
        <w:rPr>
          <w:rFonts w:cs="Times New Roman"/>
        </w:rPr>
      </w:pPr>
      <w:r w:rsidRPr="00BA6333">
        <w:rPr>
          <w:rFonts w:cs="Times New Roman"/>
        </w:rPr>
        <w:t xml:space="preserve">Spies, I., </w:t>
      </w:r>
      <w:proofErr w:type="spellStart"/>
      <w:r w:rsidRPr="00BA6333">
        <w:rPr>
          <w:rFonts w:cs="Times New Roman"/>
        </w:rPr>
        <w:t>Gruenthal</w:t>
      </w:r>
      <w:proofErr w:type="spellEnd"/>
      <w:r w:rsidRPr="00BA6333">
        <w:rPr>
          <w:rFonts w:cs="Times New Roman"/>
        </w:rPr>
        <w:t xml:space="preserve">, K.M., Drinan, D.P., Hollowed, A.B., Stevenson, D.E., </w:t>
      </w:r>
      <w:proofErr w:type="spellStart"/>
      <w:r w:rsidRPr="00BA6333">
        <w:rPr>
          <w:rFonts w:cs="Times New Roman"/>
        </w:rPr>
        <w:t>Tarpey</w:t>
      </w:r>
      <w:proofErr w:type="spellEnd"/>
      <w:r w:rsidRPr="00BA6333">
        <w:rPr>
          <w:rFonts w:cs="Times New Roman"/>
        </w:rPr>
        <w:t xml:space="preserve">, C.M., and Hauser, L. 2020. Genetic evidence of a northward range expansion in the eastern Bering Sea stock of Pacific cod. Evolutionary Applications </w:t>
      </w:r>
      <w:r w:rsidRPr="00BA6333">
        <w:rPr>
          <w:rFonts w:cs="Times New Roman"/>
          <w:b/>
          <w:bCs/>
        </w:rPr>
        <w:t>13</w:t>
      </w:r>
      <w:r w:rsidRPr="00BA6333">
        <w:rPr>
          <w:rFonts w:cs="Times New Roman"/>
        </w:rPr>
        <w:t>(2): 362–375. doi:10.1111/eva.12874.</w:t>
      </w:r>
    </w:p>
    <w:p w14:paraId="0F713371" w14:textId="77777777" w:rsidR="00BA6333" w:rsidRPr="00BA6333" w:rsidRDefault="00BA6333" w:rsidP="00BA6333">
      <w:pPr>
        <w:pStyle w:val="Bibliography"/>
        <w:rPr>
          <w:rFonts w:cs="Times New Roman"/>
        </w:rPr>
      </w:pPr>
      <w:r w:rsidRPr="00BA6333">
        <w:rPr>
          <w:rFonts w:cs="Times New Roman"/>
        </w:rPr>
        <w:t xml:space="preserve">Spies, I., Spencer, P.D., and Punt, A.E. 2015. Where do we draw the line? A simulation approach for evaluating management of marine fish stocks with isolation-by-distance stock structure. Can. J. Fish. </w:t>
      </w:r>
      <w:proofErr w:type="spellStart"/>
      <w:r w:rsidRPr="00BA6333">
        <w:rPr>
          <w:rFonts w:cs="Times New Roman"/>
        </w:rPr>
        <w:t>Aquat</w:t>
      </w:r>
      <w:proofErr w:type="spellEnd"/>
      <w:r w:rsidRPr="00BA6333">
        <w:rPr>
          <w:rFonts w:cs="Times New Roman"/>
        </w:rPr>
        <w:t xml:space="preserve">. Sci. </w:t>
      </w:r>
      <w:r w:rsidRPr="00BA6333">
        <w:rPr>
          <w:rFonts w:cs="Times New Roman"/>
          <w:b/>
          <w:bCs/>
        </w:rPr>
        <w:t>72</w:t>
      </w:r>
      <w:r w:rsidRPr="00BA6333">
        <w:rPr>
          <w:rFonts w:cs="Times New Roman"/>
        </w:rPr>
        <w:t>(7): 968–982. doi:10.1139/cjfas-2014-0366.</w:t>
      </w:r>
    </w:p>
    <w:p w14:paraId="04CF3538" w14:textId="77777777" w:rsidR="00BA6333" w:rsidRPr="00BA6333" w:rsidRDefault="00BA6333" w:rsidP="00BA6333">
      <w:pPr>
        <w:pStyle w:val="Bibliography"/>
        <w:rPr>
          <w:rFonts w:cs="Times New Roman"/>
        </w:rPr>
      </w:pPr>
      <w:r w:rsidRPr="00BA6333">
        <w:rPr>
          <w:rFonts w:cs="Times New Roman"/>
        </w:rPr>
        <w:t xml:space="preserve">Spies, I., </w:t>
      </w:r>
      <w:proofErr w:type="spellStart"/>
      <w:r w:rsidRPr="00BA6333">
        <w:rPr>
          <w:rFonts w:cs="Times New Roman"/>
        </w:rPr>
        <w:t>Tarpey</w:t>
      </w:r>
      <w:proofErr w:type="spellEnd"/>
      <w:r w:rsidRPr="00BA6333">
        <w:rPr>
          <w:rFonts w:cs="Times New Roman"/>
        </w:rPr>
        <w:t xml:space="preserve">, C., Kristiansen, T., Fisher, M., Rohan, S., and Hauser, L. 2022. Genomic differentiation in Pacific cod using </w:t>
      </w:r>
      <w:r w:rsidRPr="00BA6333">
        <w:rPr>
          <w:rFonts w:cs="Times New Roman"/>
          <w:smallCaps/>
        </w:rPr>
        <w:t>P</w:t>
      </w:r>
      <w:r w:rsidRPr="00BA6333">
        <w:rPr>
          <w:rFonts w:cs="Times New Roman"/>
        </w:rPr>
        <w:t xml:space="preserve"> </w:t>
      </w:r>
      <w:proofErr w:type="spellStart"/>
      <w:r w:rsidRPr="00BA6333">
        <w:rPr>
          <w:rFonts w:cs="Times New Roman"/>
        </w:rPr>
        <w:t>ool</w:t>
      </w:r>
      <w:proofErr w:type="spellEnd"/>
      <w:r w:rsidRPr="00BA6333">
        <w:rPr>
          <w:rFonts w:cs="Times New Roman"/>
        </w:rPr>
        <w:t xml:space="preserve">‐ </w:t>
      </w:r>
      <w:r w:rsidRPr="00BA6333">
        <w:rPr>
          <w:rFonts w:cs="Times New Roman"/>
          <w:smallCaps/>
        </w:rPr>
        <w:t>S</w:t>
      </w:r>
      <w:r w:rsidRPr="00BA6333">
        <w:rPr>
          <w:rFonts w:cs="Times New Roman"/>
        </w:rPr>
        <w:t xml:space="preserve"> eq. Evolutionary Applications </w:t>
      </w:r>
      <w:r w:rsidRPr="00BA6333">
        <w:rPr>
          <w:rFonts w:cs="Times New Roman"/>
          <w:b/>
          <w:bCs/>
        </w:rPr>
        <w:t>15</w:t>
      </w:r>
      <w:r w:rsidRPr="00BA6333">
        <w:rPr>
          <w:rFonts w:cs="Times New Roman"/>
        </w:rPr>
        <w:t>(11): 1907–1924. doi:10.1111/eva.13488.</w:t>
      </w:r>
    </w:p>
    <w:p w14:paraId="1C395D8B" w14:textId="77777777" w:rsidR="00BA6333" w:rsidRPr="00BA6333" w:rsidRDefault="00BA6333" w:rsidP="00BA6333">
      <w:pPr>
        <w:pStyle w:val="Bibliography"/>
        <w:rPr>
          <w:rFonts w:cs="Times New Roman"/>
        </w:rPr>
      </w:pPr>
      <w:r w:rsidRPr="00BA6333">
        <w:rPr>
          <w:rFonts w:cs="Times New Roman"/>
        </w:rPr>
        <w:t xml:space="preserve">Thorson, J.T., </w:t>
      </w:r>
      <w:proofErr w:type="spellStart"/>
      <w:r w:rsidRPr="00BA6333">
        <w:rPr>
          <w:rFonts w:cs="Times New Roman"/>
        </w:rPr>
        <w:t>Barbeaux</w:t>
      </w:r>
      <w:proofErr w:type="spellEnd"/>
      <w:r w:rsidRPr="00BA6333">
        <w:rPr>
          <w:rFonts w:cs="Times New Roman"/>
        </w:rPr>
        <w:t xml:space="preserve">, S.J., </w:t>
      </w:r>
      <w:proofErr w:type="spellStart"/>
      <w:r w:rsidRPr="00BA6333">
        <w:rPr>
          <w:rFonts w:cs="Times New Roman"/>
        </w:rPr>
        <w:t>Goethel</w:t>
      </w:r>
      <w:proofErr w:type="spellEnd"/>
      <w:r w:rsidRPr="00BA6333">
        <w:rPr>
          <w:rFonts w:cs="Times New Roman"/>
        </w:rPr>
        <w:t xml:space="preserve">, D.R., Kearney, K.A., </w:t>
      </w:r>
      <w:proofErr w:type="spellStart"/>
      <w:r w:rsidRPr="00BA6333">
        <w:rPr>
          <w:rFonts w:cs="Times New Roman"/>
        </w:rPr>
        <w:t>Laman</w:t>
      </w:r>
      <w:proofErr w:type="spellEnd"/>
      <w:r w:rsidRPr="00BA6333">
        <w:rPr>
          <w:rFonts w:cs="Times New Roman"/>
        </w:rPr>
        <w:t xml:space="preserve">, E.A., Nielsen, J.K., </w:t>
      </w:r>
      <w:proofErr w:type="spellStart"/>
      <w:r w:rsidRPr="00BA6333">
        <w:rPr>
          <w:rFonts w:cs="Times New Roman"/>
        </w:rPr>
        <w:t>Siskey</w:t>
      </w:r>
      <w:proofErr w:type="spellEnd"/>
      <w:r w:rsidRPr="00BA6333">
        <w:rPr>
          <w:rFonts w:cs="Times New Roman"/>
        </w:rPr>
        <w:t xml:space="preserve">, M.R., </w:t>
      </w:r>
      <w:proofErr w:type="spellStart"/>
      <w:r w:rsidRPr="00BA6333">
        <w:rPr>
          <w:rFonts w:cs="Times New Roman"/>
        </w:rPr>
        <w:t>Siwicke</w:t>
      </w:r>
      <w:proofErr w:type="spellEnd"/>
      <w:r w:rsidRPr="00BA6333">
        <w:rPr>
          <w:rFonts w:cs="Times New Roman"/>
        </w:rPr>
        <w:t xml:space="preserve">, K., and Thompson, G.G. 2021. Estimating fine‐scale movement rates and habitat preferences using multiple data sources. Fish and Fisheries </w:t>
      </w:r>
      <w:r w:rsidRPr="00BA6333">
        <w:rPr>
          <w:rFonts w:cs="Times New Roman"/>
          <w:b/>
          <w:bCs/>
        </w:rPr>
        <w:t>22</w:t>
      </w:r>
      <w:r w:rsidRPr="00BA6333">
        <w:rPr>
          <w:rFonts w:cs="Times New Roman"/>
        </w:rPr>
        <w:t>(6): 1359–1376. doi:10.1111/faf.12592.</w:t>
      </w:r>
    </w:p>
    <w:p w14:paraId="5FC659D0" w14:textId="77777777" w:rsidR="00BA6333" w:rsidRPr="00BA6333" w:rsidRDefault="00BA6333" w:rsidP="00BA6333">
      <w:pPr>
        <w:pStyle w:val="Bibliography"/>
        <w:rPr>
          <w:rFonts w:cs="Times New Roman"/>
        </w:rPr>
      </w:pPr>
      <w:proofErr w:type="spellStart"/>
      <w:r w:rsidRPr="00BA6333">
        <w:rPr>
          <w:rFonts w:cs="Times New Roman"/>
        </w:rPr>
        <w:t>Trenkel</w:t>
      </w:r>
      <w:proofErr w:type="spellEnd"/>
      <w:r w:rsidRPr="00BA6333">
        <w:rPr>
          <w:rFonts w:cs="Times New Roman"/>
        </w:rPr>
        <w:t xml:space="preserve">, V.M., Charrier, G., </w:t>
      </w:r>
      <w:proofErr w:type="spellStart"/>
      <w:r w:rsidRPr="00BA6333">
        <w:rPr>
          <w:rFonts w:cs="Times New Roman"/>
        </w:rPr>
        <w:t>Lorance</w:t>
      </w:r>
      <w:proofErr w:type="spellEnd"/>
      <w:r w:rsidRPr="00BA6333">
        <w:rPr>
          <w:rFonts w:cs="Times New Roman"/>
        </w:rPr>
        <w:t xml:space="preserve">, P., and </w:t>
      </w:r>
      <w:proofErr w:type="spellStart"/>
      <w:r w:rsidRPr="00BA6333">
        <w:rPr>
          <w:rFonts w:cs="Times New Roman"/>
        </w:rPr>
        <w:t>Bravington</w:t>
      </w:r>
      <w:proofErr w:type="spellEnd"/>
      <w:r w:rsidRPr="00BA6333">
        <w:rPr>
          <w:rFonts w:cs="Times New Roman"/>
        </w:rPr>
        <w:t xml:space="preserve">, M.V. 2022. Close-kin mark–recapture abundance estimation: practical insights and lessons learned. ICES Journal of Marine Science </w:t>
      </w:r>
      <w:r w:rsidRPr="00BA6333">
        <w:rPr>
          <w:rFonts w:cs="Times New Roman"/>
          <w:b/>
          <w:bCs/>
        </w:rPr>
        <w:t>79</w:t>
      </w:r>
      <w:r w:rsidRPr="00BA6333">
        <w:rPr>
          <w:rFonts w:cs="Times New Roman"/>
        </w:rPr>
        <w:t>(2): 413–422. doi:10.1093/</w:t>
      </w:r>
      <w:proofErr w:type="spellStart"/>
      <w:r w:rsidRPr="00BA6333">
        <w:rPr>
          <w:rFonts w:cs="Times New Roman"/>
        </w:rPr>
        <w:t>icesjms</w:t>
      </w:r>
      <w:proofErr w:type="spellEnd"/>
      <w:r w:rsidRPr="00BA6333">
        <w:rPr>
          <w:rFonts w:cs="Times New Roman"/>
        </w:rPr>
        <w:t>/fsac002.</w:t>
      </w:r>
    </w:p>
    <w:p w14:paraId="577062DE" w14:textId="77777777" w:rsidR="00BA6333" w:rsidRPr="00BA6333" w:rsidRDefault="00BA6333" w:rsidP="00BA6333">
      <w:pPr>
        <w:pStyle w:val="Bibliography"/>
        <w:rPr>
          <w:rFonts w:cs="Times New Roman"/>
        </w:rPr>
      </w:pPr>
      <w:r w:rsidRPr="00BA6333">
        <w:rPr>
          <w:rFonts w:cs="Times New Roman"/>
        </w:rPr>
        <w:t xml:space="preserve">Vincent, M.T., Brenden, T.O., and Bence, J.R. 2017. Simulation testing the robustness of a </w:t>
      </w:r>
      <w:proofErr w:type="spellStart"/>
      <w:r w:rsidRPr="00BA6333">
        <w:rPr>
          <w:rFonts w:cs="Times New Roman"/>
        </w:rPr>
        <w:t>multiregion</w:t>
      </w:r>
      <w:proofErr w:type="spellEnd"/>
      <w:r w:rsidRPr="00BA6333">
        <w:rPr>
          <w:rFonts w:cs="Times New Roman"/>
        </w:rPr>
        <w:t xml:space="preserve">, tag-integrated assessment model that exhibits natal homing and estimates natural mortality and reporting rate. Can. J. Fish. </w:t>
      </w:r>
      <w:proofErr w:type="spellStart"/>
      <w:r w:rsidRPr="00BA6333">
        <w:rPr>
          <w:rFonts w:cs="Times New Roman"/>
        </w:rPr>
        <w:t>Aquat</w:t>
      </w:r>
      <w:proofErr w:type="spellEnd"/>
      <w:r w:rsidRPr="00BA6333">
        <w:rPr>
          <w:rFonts w:cs="Times New Roman"/>
        </w:rPr>
        <w:t xml:space="preserve">. Sci. </w:t>
      </w:r>
      <w:r w:rsidRPr="00BA6333">
        <w:rPr>
          <w:rFonts w:cs="Times New Roman"/>
          <w:b/>
          <w:bCs/>
        </w:rPr>
        <w:t>74</w:t>
      </w:r>
      <w:r w:rsidRPr="00BA6333">
        <w:rPr>
          <w:rFonts w:cs="Times New Roman"/>
        </w:rPr>
        <w:t>(11): 1930–1949. doi:10.1139/cjfas-2016-0297.</w:t>
      </w:r>
    </w:p>
    <w:p w14:paraId="230F00A0" w14:textId="12B75065" w:rsidR="009C0781" w:rsidRPr="009C0781" w:rsidRDefault="000E610C" w:rsidP="009C0781">
      <w:r>
        <w:fldChar w:fldCharType="end"/>
      </w:r>
    </w:p>
    <w:p w14:paraId="5EE1D367" w14:textId="77777777" w:rsidR="005675A9" w:rsidRDefault="005675A9" w:rsidP="005675A9"/>
    <w:p w14:paraId="4D8AD72A" w14:textId="77777777" w:rsidR="005675A9" w:rsidRPr="005675A9" w:rsidRDefault="005675A9" w:rsidP="005675A9"/>
    <w:p w14:paraId="0ED55421" w14:textId="77777777" w:rsidR="005675A9" w:rsidRPr="005675A9" w:rsidRDefault="005675A9" w:rsidP="005675A9"/>
    <w:sectPr w:rsidR="005675A9" w:rsidRPr="005675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1A261" w14:textId="77777777" w:rsidR="00874F60" w:rsidRDefault="00874F60" w:rsidP="00045B8C">
      <w:r>
        <w:separator/>
      </w:r>
    </w:p>
  </w:endnote>
  <w:endnote w:type="continuationSeparator" w:id="0">
    <w:p w14:paraId="6936FE30" w14:textId="77777777" w:rsidR="00874F60" w:rsidRDefault="00874F60" w:rsidP="00045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8C367" w14:textId="77777777" w:rsidR="00874F60" w:rsidRDefault="00874F60" w:rsidP="00045B8C">
      <w:r>
        <w:separator/>
      </w:r>
    </w:p>
  </w:footnote>
  <w:footnote w:type="continuationSeparator" w:id="0">
    <w:p w14:paraId="1D9C07F1" w14:textId="77777777" w:rsidR="00874F60" w:rsidRDefault="00874F60" w:rsidP="00045B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010D"/>
    <w:multiLevelType w:val="hybridMultilevel"/>
    <w:tmpl w:val="9A7E5696"/>
    <w:lvl w:ilvl="0" w:tplc="BE5E9A5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F7657"/>
    <w:multiLevelType w:val="hybridMultilevel"/>
    <w:tmpl w:val="FC1EA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850FE"/>
    <w:multiLevelType w:val="hybridMultilevel"/>
    <w:tmpl w:val="5142E0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655EB"/>
    <w:multiLevelType w:val="hybridMultilevel"/>
    <w:tmpl w:val="EA903182"/>
    <w:lvl w:ilvl="0" w:tplc="22B00F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7B5695"/>
    <w:multiLevelType w:val="hybridMultilevel"/>
    <w:tmpl w:val="4CC487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616F2D"/>
    <w:multiLevelType w:val="hybridMultilevel"/>
    <w:tmpl w:val="6FDA9B52"/>
    <w:lvl w:ilvl="0" w:tplc="E828C30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D57639"/>
    <w:multiLevelType w:val="hybridMultilevel"/>
    <w:tmpl w:val="52608D10"/>
    <w:lvl w:ilvl="0" w:tplc="EFE4877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3869892">
    <w:abstractNumId w:val="5"/>
  </w:num>
  <w:num w:numId="2" w16cid:durableId="2141726747">
    <w:abstractNumId w:val="0"/>
  </w:num>
  <w:num w:numId="3" w16cid:durableId="1396198097">
    <w:abstractNumId w:val="6"/>
  </w:num>
  <w:num w:numId="4" w16cid:durableId="41029165">
    <w:abstractNumId w:val="3"/>
  </w:num>
  <w:num w:numId="5" w16cid:durableId="2004505018">
    <w:abstractNumId w:val="4"/>
  </w:num>
  <w:num w:numId="6" w16cid:durableId="1075855573">
    <w:abstractNumId w:val="1"/>
  </w:num>
  <w:num w:numId="7" w16cid:durableId="956762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030"/>
    <w:rsid w:val="000013AE"/>
    <w:rsid w:val="0000358F"/>
    <w:rsid w:val="00004FB4"/>
    <w:rsid w:val="000054B5"/>
    <w:rsid w:val="00007193"/>
    <w:rsid w:val="00010D52"/>
    <w:rsid w:val="0001313B"/>
    <w:rsid w:val="00013EF1"/>
    <w:rsid w:val="0001429D"/>
    <w:rsid w:val="00014F28"/>
    <w:rsid w:val="00020A00"/>
    <w:rsid w:val="00021CB8"/>
    <w:rsid w:val="00023685"/>
    <w:rsid w:val="00025455"/>
    <w:rsid w:val="00025F08"/>
    <w:rsid w:val="0002618B"/>
    <w:rsid w:val="000277AB"/>
    <w:rsid w:val="00027896"/>
    <w:rsid w:val="000312D3"/>
    <w:rsid w:val="0003229F"/>
    <w:rsid w:val="00032BBE"/>
    <w:rsid w:val="00032C56"/>
    <w:rsid w:val="000331F4"/>
    <w:rsid w:val="00033A23"/>
    <w:rsid w:val="00033E31"/>
    <w:rsid w:val="000347A4"/>
    <w:rsid w:val="000352F1"/>
    <w:rsid w:val="00035E15"/>
    <w:rsid w:val="000414E1"/>
    <w:rsid w:val="000458BE"/>
    <w:rsid w:val="00045B8C"/>
    <w:rsid w:val="00045BFD"/>
    <w:rsid w:val="000477E5"/>
    <w:rsid w:val="00050662"/>
    <w:rsid w:val="000507EE"/>
    <w:rsid w:val="000548A4"/>
    <w:rsid w:val="000574C6"/>
    <w:rsid w:val="00060136"/>
    <w:rsid w:val="00062E44"/>
    <w:rsid w:val="0006503C"/>
    <w:rsid w:val="00067CA0"/>
    <w:rsid w:val="0007062A"/>
    <w:rsid w:val="00070C7E"/>
    <w:rsid w:val="000713F7"/>
    <w:rsid w:val="000772DF"/>
    <w:rsid w:val="00080BEE"/>
    <w:rsid w:val="00081017"/>
    <w:rsid w:val="00081859"/>
    <w:rsid w:val="00082146"/>
    <w:rsid w:val="000857C6"/>
    <w:rsid w:val="00092065"/>
    <w:rsid w:val="00092351"/>
    <w:rsid w:val="000960D5"/>
    <w:rsid w:val="000971F5"/>
    <w:rsid w:val="000978D8"/>
    <w:rsid w:val="00097BF3"/>
    <w:rsid w:val="000A3EB7"/>
    <w:rsid w:val="000A4335"/>
    <w:rsid w:val="000A45F1"/>
    <w:rsid w:val="000A52BC"/>
    <w:rsid w:val="000A56AE"/>
    <w:rsid w:val="000A66B0"/>
    <w:rsid w:val="000B4B4F"/>
    <w:rsid w:val="000B50CF"/>
    <w:rsid w:val="000B5F38"/>
    <w:rsid w:val="000B7D02"/>
    <w:rsid w:val="000C1DBC"/>
    <w:rsid w:val="000C2F2C"/>
    <w:rsid w:val="000C2F5D"/>
    <w:rsid w:val="000C422C"/>
    <w:rsid w:val="000C5402"/>
    <w:rsid w:val="000C75EB"/>
    <w:rsid w:val="000C777E"/>
    <w:rsid w:val="000C7B1C"/>
    <w:rsid w:val="000D6230"/>
    <w:rsid w:val="000D76D1"/>
    <w:rsid w:val="000D7AA3"/>
    <w:rsid w:val="000E1FC5"/>
    <w:rsid w:val="000E320E"/>
    <w:rsid w:val="000E347C"/>
    <w:rsid w:val="000E3A55"/>
    <w:rsid w:val="000E474D"/>
    <w:rsid w:val="000E610C"/>
    <w:rsid w:val="000E6DD6"/>
    <w:rsid w:val="000F0F5B"/>
    <w:rsid w:val="000F1173"/>
    <w:rsid w:val="000F43DF"/>
    <w:rsid w:val="000F6AF7"/>
    <w:rsid w:val="00102B3D"/>
    <w:rsid w:val="001036DA"/>
    <w:rsid w:val="00110740"/>
    <w:rsid w:val="00111BC8"/>
    <w:rsid w:val="00111CA0"/>
    <w:rsid w:val="001121D0"/>
    <w:rsid w:val="0011244C"/>
    <w:rsid w:val="00113118"/>
    <w:rsid w:val="001131CE"/>
    <w:rsid w:val="00114C17"/>
    <w:rsid w:val="0011682B"/>
    <w:rsid w:val="00120368"/>
    <w:rsid w:val="00121A2F"/>
    <w:rsid w:val="001220F7"/>
    <w:rsid w:val="001232DE"/>
    <w:rsid w:val="00125476"/>
    <w:rsid w:val="00132998"/>
    <w:rsid w:val="00133BF3"/>
    <w:rsid w:val="00134A3B"/>
    <w:rsid w:val="00135C5C"/>
    <w:rsid w:val="00135EA9"/>
    <w:rsid w:val="0013601D"/>
    <w:rsid w:val="001405EF"/>
    <w:rsid w:val="001428EB"/>
    <w:rsid w:val="00143430"/>
    <w:rsid w:val="001446CF"/>
    <w:rsid w:val="001449BB"/>
    <w:rsid w:val="00145199"/>
    <w:rsid w:val="0014552A"/>
    <w:rsid w:val="001458EB"/>
    <w:rsid w:val="00146E84"/>
    <w:rsid w:val="00150050"/>
    <w:rsid w:val="001510D6"/>
    <w:rsid w:val="00151416"/>
    <w:rsid w:val="00152B8C"/>
    <w:rsid w:val="00153E3E"/>
    <w:rsid w:val="0015400C"/>
    <w:rsid w:val="001558E6"/>
    <w:rsid w:val="00155FEF"/>
    <w:rsid w:val="001571F1"/>
    <w:rsid w:val="001606D9"/>
    <w:rsid w:val="00160867"/>
    <w:rsid w:val="001623C0"/>
    <w:rsid w:val="00162897"/>
    <w:rsid w:val="00162D63"/>
    <w:rsid w:val="00163365"/>
    <w:rsid w:val="00163E25"/>
    <w:rsid w:val="00163FC3"/>
    <w:rsid w:val="00167B91"/>
    <w:rsid w:val="00167F60"/>
    <w:rsid w:val="00170D3F"/>
    <w:rsid w:val="00170F1E"/>
    <w:rsid w:val="00171675"/>
    <w:rsid w:val="0017330C"/>
    <w:rsid w:val="0017368B"/>
    <w:rsid w:val="00174D33"/>
    <w:rsid w:val="00175132"/>
    <w:rsid w:val="00176331"/>
    <w:rsid w:val="001775D9"/>
    <w:rsid w:val="0018043A"/>
    <w:rsid w:val="00182235"/>
    <w:rsid w:val="001822C8"/>
    <w:rsid w:val="0018232A"/>
    <w:rsid w:val="001844FB"/>
    <w:rsid w:val="00185059"/>
    <w:rsid w:val="00186B74"/>
    <w:rsid w:val="00186FD5"/>
    <w:rsid w:val="0018791A"/>
    <w:rsid w:val="00190EAB"/>
    <w:rsid w:val="00192F3F"/>
    <w:rsid w:val="00193FEC"/>
    <w:rsid w:val="00195D19"/>
    <w:rsid w:val="001962E8"/>
    <w:rsid w:val="00196AE8"/>
    <w:rsid w:val="00196F99"/>
    <w:rsid w:val="00197D3F"/>
    <w:rsid w:val="001A1A4F"/>
    <w:rsid w:val="001A3D46"/>
    <w:rsid w:val="001A42B7"/>
    <w:rsid w:val="001A5B99"/>
    <w:rsid w:val="001B07D6"/>
    <w:rsid w:val="001B19AB"/>
    <w:rsid w:val="001B6EEC"/>
    <w:rsid w:val="001C18B8"/>
    <w:rsid w:val="001C42A4"/>
    <w:rsid w:val="001C49B3"/>
    <w:rsid w:val="001C615C"/>
    <w:rsid w:val="001C737E"/>
    <w:rsid w:val="001C7D8D"/>
    <w:rsid w:val="001D06F3"/>
    <w:rsid w:val="001D07A6"/>
    <w:rsid w:val="001D178F"/>
    <w:rsid w:val="001D297F"/>
    <w:rsid w:val="001D345D"/>
    <w:rsid w:val="001D47A6"/>
    <w:rsid w:val="001D557F"/>
    <w:rsid w:val="001E1C4D"/>
    <w:rsid w:val="001E3699"/>
    <w:rsid w:val="001E41D9"/>
    <w:rsid w:val="001E4B4E"/>
    <w:rsid w:val="001E6422"/>
    <w:rsid w:val="001F24DA"/>
    <w:rsid w:val="001F4105"/>
    <w:rsid w:val="001F4E10"/>
    <w:rsid w:val="00200239"/>
    <w:rsid w:val="00204C78"/>
    <w:rsid w:val="00210150"/>
    <w:rsid w:val="00211535"/>
    <w:rsid w:val="00212E34"/>
    <w:rsid w:val="002136C9"/>
    <w:rsid w:val="002140CD"/>
    <w:rsid w:val="00214B80"/>
    <w:rsid w:val="00215944"/>
    <w:rsid w:val="00215C5F"/>
    <w:rsid w:val="0021654C"/>
    <w:rsid w:val="00221D83"/>
    <w:rsid w:val="00221F29"/>
    <w:rsid w:val="00227326"/>
    <w:rsid w:val="002306A5"/>
    <w:rsid w:val="00231482"/>
    <w:rsid w:val="00231A8F"/>
    <w:rsid w:val="00233434"/>
    <w:rsid w:val="00233D01"/>
    <w:rsid w:val="002359BB"/>
    <w:rsid w:val="00236FA0"/>
    <w:rsid w:val="0023729E"/>
    <w:rsid w:val="00240942"/>
    <w:rsid w:val="00241630"/>
    <w:rsid w:val="00242F05"/>
    <w:rsid w:val="00244054"/>
    <w:rsid w:val="0024664B"/>
    <w:rsid w:val="00247679"/>
    <w:rsid w:val="0025105C"/>
    <w:rsid w:val="0025138B"/>
    <w:rsid w:val="0025452A"/>
    <w:rsid w:val="0025595F"/>
    <w:rsid w:val="00261395"/>
    <w:rsid w:val="00261A9B"/>
    <w:rsid w:val="00266340"/>
    <w:rsid w:val="00266813"/>
    <w:rsid w:val="00272B98"/>
    <w:rsid w:val="002738E6"/>
    <w:rsid w:val="00280951"/>
    <w:rsid w:val="00281074"/>
    <w:rsid w:val="0028141E"/>
    <w:rsid w:val="002816F9"/>
    <w:rsid w:val="00282E8F"/>
    <w:rsid w:val="00283653"/>
    <w:rsid w:val="00285607"/>
    <w:rsid w:val="002860DE"/>
    <w:rsid w:val="002915E5"/>
    <w:rsid w:val="00291FEA"/>
    <w:rsid w:val="00294606"/>
    <w:rsid w:val="00294EBE"/>
    <w:rsid w:val="002955E1"/>
    <w:rsid w:val="00297FD5"/>
    <w:rsid w:val="002A1846"/>
    <w:rsid w:val="002A53A9"/>
    <w:rsid w:val="002A6CC5"/>
    <w:rsid w:val="002A769F"/>
    <w:rsid w:val="002B0E96"/>
    <w:rsid w:val="002B4781"/>
    <w:rsid w:val="002B6317"/>
    <w:rsid w:val="002B7CCA"/>
    <w:rsid w:val="002C0411"/>
    <w:rsid w:val="002C1AFC"/>
    <w:rsid w:val="002C3B01"/>
    <w:rsid w:val="002C5835"/>
    <w:rsid w:val="002D1489"/>
    <w:rsid w:val="002D175E"/>
    <w:rsid w:val="002D2042"/>
    <w:rsid w:val="002D3EB7"/>
    <w:rsid w:val="002D41C7"/>
    <w:rsid w:val="002D5AAA"/>
    <w:rsid w:val="002D5B46"/>
    <w:rsid w:val="002E1D77"/>
    <w:rsid w:val="002E4570"/>
    <w:rsid w:val="002E7044"/>
    <w:rsid w:val="002E7A34"/>
    <w:rsid w:val="002F11E3"/>
    <w:rsid w:val="002F63C3"/>
    <w:rsid w:val="002F78AC"/>
    <w:rsid w:val="00300993"/>
    <w:rsid w:val="00301225"/>
    <w:rsid w:val="00301EAF"/>
    <w:rsid w:val="003033EE"/>
    <w:rsid w:val="00305027"/>
    <w:rsid w:val="00305DF6"/>
    <w:rsid w:val="00306030"/>
    <w:rsid w:val="00306EFC"/>
    <w:rsid w:val="00312197"/>
    <w:rsid w:val="00312500"/>
    <w:rsid w:val="0031268A"/>
    <w:rsid w:val="00313C22"/>
    <w:rsid w:val="003207DD"/>
    <w:rsid w:val="00320AA4"/>
    <w:rsid w:val="00322582"/>
    <w:rsid w:val="00322DAF"/>
    <w:rsid w:val="003232CD"/>
    <w:rsid w:val="00323A39"/>
    <w:rsid w:val="00324C03"/>
    <w:rsid w:val="00324FC8"/>
    <w:rsid w:val="003277F9"/>
    <w:rsid w:val="00330CF5"/>
    <w:rsid w:val="00330FD9"/>
    <w:rsid w:val="003328D5"/>
    <w:rsid w:val="00336C9E"/>
    <w:rsid w:val="00337FC0"/>
    <w:rsid w:val="00340DF5"/>
    <w:rsid w:val="00341515"/>
    <w:rsid w:val="003426BE"/>
    <w:rsid w:val="0034284B"/>
    <w:rsid w:val="00345590"/>
    <w:rsid w:val="00346C30"/>
    <w:rsid w:val="00347282"/>
    <w:rsid w:val="00347C2E"/>
    <w:rsid w:val="003508CB"/>
    <w:rsid w:val="003538A0"/>
    <w:rsid w:val="0035449D"/>
    <w:rsid w:val="00355A79"/>
    <w:rsid w:val="003564A6"/>
    <w:rsid w:val="00356774"/>
    <w:rsid w:val="0036082C"/>
    <w:rsid w:val="00360FE1"/>
    <w:rsid w:val="0036112D"/>
    <w:rsid w:val="00361750"/>
    <w:rsid w:val="00361846"/>
    <w:rsid w:val="00361AD0"/>
    <w:rsid w:val="00362BA2"/>
    <w:rsid w:val="0036418B"/>
    <w:rsid w:val="00366D65"/>
    <w:rsid w:val="0037083B"/>
    <w:rsid w:val="00371CE2"/>
    <w:rsid w:val="00372338"/>
    <w:rsid w:val="003728F6"/>
    <w:rsid w:val="00374C33"/>
    <w:rsid w:val="00375133"/>
    <w:rsid w:val="0037603D"/>
    <w:rsid w:val="003820D9"/>
    <w:rsid w:val="003830AF"/>
    <w:rsid w:val="00383683"/>
    <w:rsid w:val="00383AFD"/>
    <w:rsid w:val="003901C5"/>
    <w:rsid w:val="00390438"/>
    <w:rsid w:val="0039090F"/>
    <w:rsid w:val="0039219B"/>
    <w:rsid w:val="003933E0"/>
    <w:rsid w:val="00395586"/>
    <w:rsid w:val="003958E8"/>
    <w:rsid w:val="003978E4"/>
    <w:rsid w:val="003A2CB9"/>
    <w:rsid w:val="003A5119"/>
    <w:rsid w:val="003A5604"/>
    <w:rsid w:val="003A5978"/>
    <w:rsid w:val="003A6277"/>
    <w:rsid w:val="003B2A91"/>
    <w:rsid w:val="003B3892"/>
    <w:rsid w:val="003B4A3A"/>
    <w:rsid w:val="003B5C6D"/>
    <w:rsid w:val="003B646B"/>
    <w:rsid w:val="003B730F"/>
    <w:rsid w:val="003B7874"/>
    <w:rsid w:val="003C05B9"/>
    <w:rsid w:val="003C2FD9"/>
    <w:rsid w:val="003C30F2"/>
    <w:rsid w:val="003C3350"/>
    <w:rsid w:val="003C3676"/>
    <w:rsid w:val="003C4AC6"/>
    <w:rsid w:val="003D1557"/>
    <w:rsid w:val="003D30AD"/>
    <w:rsid w:val="003D4135"/>
    <w:rsid w:val="003D7C90"/>
    <w:rsid w:val="003E028D"/>
    <w:rsid w:val="003E1FF6"/>
    <w:rsid w:val="003E2E5E"/>
    <w:rsid w:val="003E5D8C"/>
    <w:rsid w:val="003E77AE"/>
    <w:rsid w:val="003F0141"/>
    <w:rsid w:val="003F10D4"/>
    <w:rsid w:val="003F1550"/>
    <w:rsid w:val="003F26C5"/>
    <w:rsid w:val="003F2AF3"/>
    <w:rsid w:val="003F3F80"/>
    <w:rsid w:val="004014E7"/>
    <w:rsid w:val="00403065"/>
    <w:rsid w:val="00404C79"/>
    <w:rsid w:val="00404EEF"/>
    <w:rsid w:val="00405C9C"/>
    <w:rsid w:val="00407586"/>
    <w:rsid w:val="004076B0"/>
    <w:rsid w:val="00407BA5"/>
    <w:rsid w:val="00411258"/>
    <w:rsid w:val="004112CB"/>
    <w:rsid w:val="00413F0E"/>
    <w:rsid w:val="004143F7"/>
    <w:rsid w:val="00415C85"/>
    <w:rsid w:val="00420A2C"/>
    <w:rsid w:val="00420EBD"/>
    <w:rsid w:val="00421711"/>
    <w:rsid w:val="00421C93"/>
    <w:rsid w:val="00421ED5"/>
    <w:rsid w:val="00421EDC"/>
    <w:rsid w:val="0042277D"/>
    <w:rsid w:val="00423036"/>
    <w:rsid w:val="00424F5B"/>
    <w:rsid w:val="004273B4"/>
    <w:rsid w:val="004279A7"/>
    <w:rsid w:val="00430D4D"/>
    <w:rsid w:val="00431F28"/>
    <w:rsid w:val="004330E0"/>
    <w:rsid w:val="00433206"/>
    <w:rsid w:val="00436C90"/>
    <w:rsid w:val="00436D4C"/>
    <w:rsid w:val="00437F99"/>
    <w:rsid w:val="004426D7"/>
    <w:rsid w:val="00443213"/>
    <w:rsid w:val="00443414"/>
    <w:rsid w:val="00443DF7"/>
    <w:rsid w:val="00444477"/>
    <w:rsid w:val="004460B7"/>
    <w:rsid w:val="004468B8"/>
    <w:rsid w:val="00446AEA"/>
    <w:rsid w:val="00446B58"/>
    <w:rsid w:val="004523E3"/>
    <w:rsid w:val="00452660"/>
    <w:rsid w:val="00452C88"/>
    <w:rsid w:val="0045579E"/>
    <w:rsid w:val="004557CA"/>
    <w:rsid w:val="00455FDA"/>
    <w:rsid w:val="00456867"/>
    <w:rsid w:val="00457AD5"/>
    <w:rsid w:val="00460713"/>
    <w:rsid w:val="0046168F"/>
    <w:rsid w:val="00461E49"/>
    <w:rsid w:val="004632C7"/>
    <w:rsid w:val="00463844"/>
    <w:rsid w:val="0046418F"/>
    <w:rsid w:val="00464259"/>
    <w:rsid w:val="00464E50"/>
    <w:rsid w:val="00467411"/>
    <w:rsid w:val="00467537"/>
    <w:rsid w:val="00467FBF"/>
    <w:rsid w:val="00470417"/>
    <w:rsid w:val="00471318"/>
    <w:rsid w:val="00471458"/>
    <w:rsid w:val="00471C85"/>
    <w:rsid w:val="004725D3"/>
    <w:rsid w:val="00472960"/>
    <w:rsid w:val="00473214"/>
    <w:rsid w:val="004740F9"/>
    <w:rsid w:val="004745A9"/>
    <w:rsid w:val="00474D15"/>
    <w:rsid w:val="00474F6B"/>
    <w:rsid w:val="0047603E"/>
    <w:rsid w:val="00476681"/>
    <w:rsid w:val="00476C88"/>
    <w:rsid w:val="00480BD5"/>
    <w:rsid w:val="00484461"/>
    <w:rsid w:val="00485763"/>
    <w:rsid w:val="00486F85"/>
    <w:rsid w:val="004870E7"/>
    <w:rsid w:val="00487608"/>
    <w:rsid w:val="00487E8F"/>
    <w:rsid w:val="00490D4B"/>
    <w:rsid w:val="00491DF5"/>
    <w:rsid w:val="00491E9A"/>
    <w:rsid w:val="004947D5"/>
    <w:rsid w:val="004958CA"/>
    <w:rsid w:val="0049741A"/>
    <w:rsid w:val="004A03FA"/>
    <w:rsid w:val="004A1208"/>
    <w:rsid w:val="004A2680"/>
    <w:rsid w:val="004A2976"/>
    <w:rsid w:val="004A2F18"/>
    <w:rsid w:val="004A3FB4"/>
    <w:rsid w:val="004A44CA"/>
    <w:rsid w:val="004A5ED0"/>
    <w:rsid w:val="004A692E"/>
    <w:rsid w:val="004A6CB3"/>
    <w:rsid w:val="004A7858"/>
    <w:rsid w:val="004B1B75"/>
    <w:rsid w:val="004B51D6"/>
    <w:rsid w:val="004B5B88"/>
    <w:rsid w:val="004B67D0"/>
    <w:rsid w:val="004D052B"/>
    <w:rsid w:val="004D1576"/>
    <w:rsid w:val="004D1C40"/>
    <w:rsid w:val="004D1CD0"/>
    <w:rsid w:val="004D26CE"/>
    <w:rsid w:val="004D28A5"/>
    <w:rsid w:val="004D2C54"/>
    <w:rsid w:val="004D49DC"/>
    <w:rsid w:val="004E053C"/>
    <w:rsid w:val="004E0A60"/>
    <w:rsid w:val="004E0CC5"/>
    <w:rsid w:val="004E2D8A"/>
    <w:rsid w:val="004E30ED"/>
    <w:rsid w:val="004E4D72"/>
    <w:rsid w:val="004E6A29"/>
    <w:rsid w:val="004F3644"/>
    <w:rsid w:val="004F3B6A"/>
    <w:rsid w:val="004F5ADB"/>
    <w:rsid w:val="004F71E4"/>
    <w:rsid w:val="0050043A"/>
    <w:rsid w:val="00502752"/>
    <w:rsid w:val="00502B2D"/>
    <w:rsid w:val="005046AD"/>
    <w:rsid w:val="00505E32"/>
    <w:rsid w:val="005076EB"/>
    <w:rsid w:val="0051116D"/>
    <w:rsid w:val="0051258F"/>
    <w:rsid w:val="005133DD"/>
    <w:rsid w:val="0051451F"/>
    <w:rsid w:val="00514730"/>
    <w:rsid w:val="005156E4"/>
    <w:rsid w:val="005168D8"/>
    <w:rsid w:val="00516E70"/>
    <w:rsid w:val="00523240"/>
    <w:rsid w:val="00523E4D"/>
    <w:rsid w:val="00525BCF"/>
    <w:rsid w:val="0053133E"/>
    <w:rsid w:val="00531895"/>
    <w:rsid w:val="00531B4E"/>
    <w:rsid w:val="0053421F"/>
    <w:rsid w:val="00535924"/>
    <w:rsid w:val="005359D0"/>
    <w:rsid w:val="00536F95"/>
    <w:rsid w:val="00540B7C"/>
    <w:rsid w:val="00541588"/>
    <w:rsid w:val="0054159C"/>
    <w:rsid w:val="005415F9"/>
    <w:rsid w:val="0054191D"/>
    <w:rsid w:val="00542BA6"/>
    <w:rsid w:val="00542D5C"/>
    <w:rsid w:val="005437A1"/>
    <w:rsid w:val="005437D6"/>
    <w:rsid w:val="00544682"/>
    <w:rsid w:val="00545EEA"/>
    <w:rsid w:val="00546E02"/>
    <w:rsid w:val="0055384E"/>
    <w:rsid w:val="00554E9E"/>
    <w:rsid w:val="00556197"/>
    <w:rsid w:val="00556BD4"/>
    <w:rsid w:val="00560F5F"/>
    <w:rsid w:val="0056164F"/>
    <w:rsid w:val="00561F1C"/>
    <w:rsid w:val="00562574"/>
    <w:rsid w:val="00562602"/>
    <w:rsid w:val="00562B44"/>
    <w:rsid w:val="005646DE"/>
    <w:rsid w:val="0056539D"/>
    <w:rsid w:val="00565A9C"/>
    <w:rsid w:val="0056611D"/>
    <w:rsid w:val="00566A26"/>
    <w:rsid w:val="005675A9"/>
    <w:rsid w:val="00570357"/>
    <w:rsid w:val="0057228E"/>
    <w:rsid w:val="005724D3"/>
    <w:rsid w:val="005739B7"/>
    <w:rsid w:val="00574FAD"/>
    <w:rsid w:val="0057572B"/>
    <w:rsid w:val="00577949"/>
    <w:rsid w:val="00580167"/>
    <w:rsid w:val="00581228"/>
    <w:rsid w:val="00583198"/>
    <w:rsid w:val="00584DFB"/>
    <w:rsid w:val="005868E2"/>
    <w:rsid w:val="00587463"/>
    <w:rsid w:val="005878EE"/>
    <w:rsid w:val="00587947"/>
    <w:rsid w:val="00587BAD"/>
    <w:rsid w:val="00590FA8"/>
    <w:rsid w:val="00591207"/>
    <w:rsid w:val="00597EDC"/>
    <w:rsid w:val="005A0118"/>
    <w:rsid w:val="005A16AD"/>
    <w:rsid w:val="005A16F0"/>
    <w:rsid w:val="005A46FB"/>
    <w:rsid w:val="005A4F38"/>
    <w:rsid w:val="005A59CE"/>
    <w:rsid w:val="005A63DD"/>
    <w:rsid w:val="005B04D7"/>
    <w:rsid w:val="005B0613"/>
    <w:rsid w:val="005B0C6C"/>
    <w:rsid w:val="005B0D74"/>
    <w:rsid w:val="005B0D83"/>
    <w:rsid w:val="005B51D2"/>
    <w:rsid w:val="005B592C"/>
    <w:rsid w:val="005B5BD6"/>
    <w:rsid w:val="005B7419"/>
    <w:rsid w:val="005C05D1"/>
    <w:rsid w:val="005C16AD"/>
    <w:rsid w:val="005C29E3"/>
    <w:rsid w:val="005C3B8B"/>
    <w:rsid w:val="005C52EF"/>
    <w:rsid w:val="005C5304"/>
    <w:rsid w:val="005D179E"/>
    <w:rsid w:val="005D1C65"/>
    <w:rsid w:val="005D1DE3"/>
    <w:rsid w:val="005D23BA"/>
    <w:rsid w:val="005D26E1"/>
    <w:rsid w:val="005D3F17"/>
    <w:rsid w:val="005D4A08"/>
    <w:rsid w:val="005D506F"/>
    <w:rsid w:val="005D5768"/>
    <w:rsid w:val="005D61AA"/>
    <w:rsid w:val="005D7C80"/>
    <w:rsid w:val="005E1A8E"/>
    <w:rsid w:val="005E2CB4"/>
    <w:rsid w:val="005E2DBA"/>
    <w:rsid w:val="005E3D5D"/>
    <w:rsid w:val="005E4D67"/>
    <w:rsid w:val="005E6A91"/>
    <w:rsid w:val="005F1F6D"/>
    <w:rsid w:val="005F3A77"/>
    <w:rsid w:val="005F4BE5"/>
    <w:rsid w:val="005F5DC5"/>
    <w:rsid w:val="005F792F"/>
    <w:rsid w:val="00602A04"/>
    <w:rsid w:val="00602C1B"/>
    <w:rsid w:val="00603D6C"/>
    <w:rsid w:val="0060458B"/>
    <w:rsid w:val="00605F64"/>
    <w:rsid w:val="006062E7"/>
    <w:rsid w:val="00606800"/>
    <w:rsid w:val="00607D1A"/>
    <w:rsid w:val="00612C5B"/>
    <w:rsid w:val="00612EFC"/>
    <w:rsid w:val="006136C4"/>
    <w:rsid w:val="006142C4"/>
    <w:rsid w:val="006143B0"/>
    <w:rsid w:val="006162F7"/>
    <w:rsid w:val="00620483"/>
    <w:rsid w:val="00622E64"/>
    <w:rsid w:val="0063029D"/>
    <w:rsid w:val="006304B2"/>
    <w:rsid w:val="00631A33"/>
    <w:rsid w:val="00635AA3"/>
    <w:rsid w:val="0064021A"/>
    <w:rsid w:val="0064027D"/>
    <w:rsid w:val="00641FF4"/>
    <w:rsid w:val="00642AFF"/>
    <w:rsid w:val="006435C3"/>
    <w:rsid w:val="0064517E"/>
    <w:rsid w:val="006472C7"/>
    <w:rsid w:val="00647959"/>
    <w:rsid w:val="006515FB"/>
    <w:rsid w:val="00654393"/>
    <w:rsid w:val="00656123"/>
    <w:rsid w:val="00660FD7"/>
    <w:rsid w:val="006616CA"/>
    <w:rsid w:val="00661E47"/>
    <w:rsid w:val="00661F68"/>
    <w:rsid w:val="00666D91"/>
    <w:rsid w:val="00667A74"/>
    <w:rsid w:val="0067082B"/>
    <w:rsid w:val="0067317F"/>
    <w:rsid w:val="0067378A"/>
    <w:rsid w:val="00673F33"/>
    <w:rsid w:val="006750A1"/>
    <w:rsid w:val="006762E3"/>
    <w:rsid w:val="00680F3E"/>
    <w:rsid w:val="0068123D"/>
    <w:rsid w:val="006831D3"/>
    <w:rsid w:val="00683720"/>
    <w:rsid w:val="00684B65"/>
    <w:rsid w:val="006852B2"/>
    <w:rsid w:val="00687AB1"/>
    <w:rsid w:val="006903F8"/>
    <w:rsid w:val="00692C1A"/>
    <w:rsid w:val="0069303B"/>
    <w:rsid w:val="0069754C"/>
    <w:rsid w:val="00697B20"/>
    <w:rsid w:val="006A08C4"/>
    <w:rsid w:val="006A51B0"/>
    <w:rsid w:val="006A6BDB"/>
    <w:rsid w:val="006A6CE5"/>
    <w:rsid w:val="006B1149"/>
    <w:rsid w:val="006B2D86"/>
    <w:rsid w:val="006B34E5"/>
    <w:rsid w:val="006B38A5"/>
    <w:rsid w:val="006B395E"/>
    <w:rsid w:val="006C0830"/>
    <w:rsid w:val="006C0B58"/>
    <w:rsid w:val="006C26BA"/>
    <w:rsid w:val="006C33B0"/>
    <w:rsid w:val="006C4826"/>
    <w:rsid w:val="006C5B19"/>
    <w:rsid w:val="006D30C1"/>
    <w:rsid w:val="006D49BB"/>
    <w:rsid w:val="006D4B54"/>
    <w:rsid w:val="006D58C2"/>
    <w:rsid w:val="006D6A5A"/>
    <w:rsid w:val="006D7EBD"/>
    <w:rsid w:val="006E0209"/>
    <w:rsid w:val="006E1B35"/>
    <w:rsid w:val="006E3BA4"/>
    <w:rsid w:val="006E4624"/>
    <w:rsid w:val="006F0356"/>
    <w:rsid w:val="006F04B7"/>
    <w:rsid w:val="006F2E5A"/>
    <w:rsid w:val="006F2F21"/>
    <w:rsid w:val="006F3904"/>
    <w:rsid w:val="006F447E"/>
    <w:rsid w:val="006F4755"/>
    <w:rsid w:val="006F5B2D"/>
    <w:rsid w:val="006F5C3F"/>
    <w:rsid w:val="006F5FE8"/>
    <w:rsid w:val="007005CA"/>
    <w:rsid w:val="00702E91"/>
    <w:rsid w:val="007032D3"/>
    <w:rsid w:val="00703959"/>
    <w:rsid w:val="007078A0"/>
    <w:rsid w:val="007101D5"/>
    <w:rsid w:val="00711BAB"/>
    <w:rsid w:val="00714C90"/>
    <w:rsid w:val="007152EB"/>
    <w:rsid w:val="00716A12"/>
    <w:rsid w:val="00720248"/>
    <w:rsid w:val="00720A75"/>
    <w:rsid w:val="0072164A"/>
    <w:rsid w:val="00724899"/>
    <w:rsid w:val="007252FA"/>
    <w:rsid w:val="0072540E"/>
    <w:rsid w:val="00727387"/>
    <w:rsid w:val="007273D3"/>
    <w:rsid w:val="00730A21"/>
    <w:rsid w:val="0073156A"/>
    <w:rsid w:val="007337E9"/>
    <w:rsid w:val="00733909"/>
    <w:rsid w:val="00736A95"/>
    <w:rsid w:val="00736FEE"/>
    <w:rsid w:val="0073737F"/>
    <w:rsid w:val="00740091"/>
    <w:rsid w:val="007409EE"/>
    <w:rsid w:val="007415D2"/>
    <w:rsid w:val="00742763"/>
    <w:rsid w:val="0074312A"/>
    <w:rsid w:val="007448BF"/>
    <w:rsid w:val="00745749"/>
    <w:rsid w:val="00745B6D"/>
    <w:rsid w:val="00745F01"/>
    <w:rsid w:val="00746C69"/>
    <w:rsid w:val="00751A56"/>
    <w:rsid w:val="00754E3D"/>
    <w:rsid w:val="00754E44"/>
    <w:rsid w:val="00755D1F"/>
    <w:rsid w:val="00760D87"/>
    <w:rsid w:val="00771705"/>
    <w:rsid w:val="00771F71"/>
    <w:rsid w:val="007729E9"/>
    <w:rsid w:val="00772CA2"/>
    <w:rsid w:val="007758A5"/>
    <w:rsid w:val="00775F14"/>
    <w:rsid w:val="0077604D"/>
    <w:rsid w:val="00777633"/>
    <w:rsid w:val="0077771E"/>
    <w:rsid w:val="00784749"/>
    <w:rsid w:val="007877F7"/>
    <w:rsid w:val="0079129D"/>
    <w:rsid w:val="00792838"/>
    <w:rsid w:val="0079334E"/>
    <w:rsid w:val="00795C5F"/>
    <w:rsid w:val="0079740F"/>
    <w:rsid w:val="007A29AA"/>
    <w:rsid w:val="007A2F33"/>
    <w:rsid w:val="007A491F"/>
    <w:rsid w:val="007A5291"/>
    <w:rsid w:val="007A5327"/>
    <w:rsid w:val="007A5847"/>
    <w:rsid w:val="007A586A"/>
    <w:rsid w:val="007A671C"/>
    <w:rsid w:val="007B55D6"/>
    <w:rsid w:val="007B5D8B"/>
    <w:rsid w:val="007B6A66"/>
    <w:rsid w:val="007B7839"/>
    <w:rsid w:val="007C026F"/>
    <w:rsid w:val="007C1148"/>
    <w:rsid w:val="007C21D9"/>
    <w:rsid w:val="007C49B7"/>
    <w:rsid w:val="007C6283"/>
    <w:rsid w:val="007C646C"/>
    <w:rsid w:val="007C6720"/>
    <w:rsid w:val="007C7322"/>
    <w:rsid w:val="007C7A08"/>
    <w:rsid w:val="007D17D3"/>
    <w:rsid w:val="007D206B"/>
    <w:rsid w:val="007D4118"/>
    <w:rsid w:val="007D5111"/>
    <w:rsid w:val="007D671B"/>
    <w:rsid w:val="007D7B1B"/>
    <w:rsid w:val="007E09C4"/>
    <w:rsid w:val="007E1F2E"/>
    <w:rsid w:val="007E20CE"/>
    <w:rsid w:val="007E41EB"/>
    <w:rsid w:val="007E48C3"/>
    <w:rsid w:val="007E57F1"/>
    <w:rsid w:val="007E7FAE"/>
    <w:rsid w:val="007F13DA"/>
    <w:rsid w:val="007F307C"/>
    <w:rsid w:val="007F3866"/>
    <w:rsid w:val="007F3CBD"/>
    <w:rsid w:val="007F45BE"/>
    <w:rsid w:val="007F62AA"/>
    <w:rsid w:val="00800672"/>
    <w:rsid w:val="00801616"/>
    <w:rsid w:val="0080230B"/>
    <w:rsid w:val="008034BA"/>
    <w:rsid w:val="00803C8A"/>
    <w:rsid w:val="00803EF4"/>
    <w:rsid w:val="008052A2"/>
    <w:rsid w:val="008053E4"/>
    <w:rsid w:val="00810490"/>
    <w:rsid w:val="0081177C"/>
    <w:rsid w:val="0081464D"/>
    <w:rsid w:val="00817123"/>
    <w:rsid w:val="0081713D"/>
    <w:rsid w:val="00820332"/>
    <w:rsid w:val="00820DA1"/>
    <w:rsid w:val="00822203"/>
    <w:rsid w:val="00823939"/>
    <w:rsid w:val="00824CF5"/>
    <w:rsid w:val="008258A1"/>
    <w:rsid w:val="00827D16"/>
    <w:rsid w:val="00830AE5"/>
    <w:rsid w:val="0083164A"/>
    <w:rsid w:val="00831C83"/>
    <w:rsid w:val="0083341D"/>
    <w:rsid w:val="00833A0C"/>
    <w:rsid w:val="00833A39"/>
    <w:rsid w:val="00833CC5"/>
    <w:rsid w:val="0083762A"/>
    <w:rsid w:val="00837C9F"/>
    <w:rsid w:val="0084001D"/>
    <w:rsid w:val="008401A5"/>
    <w:rsid w:val="008403E9"/>
    <w:rsid w:val="00841AED"/>
    <w:rsid w:val="00842F07"/>
    <w:rsid w:val="00843847"/>
    <w:rsid w:val="00847D52"/>
    <w:rsid w:val="00850B25"/>
    <w:rsid w:val="00853441"/>
    <w:rsid w:val="008538CC"/>
    <w:rsid w:val="00854DB2"/>
    <w:rsid w:val="00856031"/>
    <w:rsid w:val="00861EF5"/>
    <w:rsid w:val="00862345"/>
    <w:rsid w:val="00862863"/>
    <w:rsid w:val="00866B03"/>
    <w:rsid w:val="00867CF9"/>
    <w:rsid w:val="0087411C"/>
    <w:rsid w:val="00874F60"/>
    <w:rsid w:val="00875074"/>
    <w:rsid w:val="00880853"/>
    <w:rsid w:val="00880B65"/>
    <w:rsid w:val="00880DE7"/>
    <w:rsid w:val="0088203B"/>
    <w:rsid w:val="00882660"/>
    <w:rsid w:val="008842B9"/>
    <w:rsid w:val="0088435A"/>
    <w:rsid w:val="008864F6"/>
    <w:rsid w:val="00890068"/>
    <w:rsid w:val="008915A4"/>
    <w:rsid w:val="00891DDF"/>
    <w:rsid w:val="00892B40"/>
    <w:rsid w:val="008936EC"/>
    <w:rsid w:val="008A43E2"/>
    <w:rsid w:val="008A6995"/>
    <w:rsid w:val="008B0530"/>
    <w:rsid w:val="008B3DFA"/>
    <w:rsid w:val="008B68E6"/>
    <w:rsid w:val="008B6E2E"/>
    <w:rsid w:val="008C0826"/>
    <w:rsid w:val="008C2CC1"/>
    <w:rsid w:val="008C2E3A"/>
    <w:rsid w:val="008C2E64"/>
    <w:rsid w:val="008C3073"/>
    <w:rsid w:val="008C3B7B"/>
    <w:rsid w:val="008C3FF3"/>
    <w:rsid w:val="008C4896"/>
    <w:rsid w:val="008C4913"/>
    <w:rsid w:val="008C5281"/>
    <w:rsid w:val="008D264E"/>
    <w:rsid w:val="008D3403"/>
    <w:rsid w:val="008D5FC7"/>
    <w:rsid w:val="008D6F95"/>
    <w:rsid w:val="008D732F"/>
    <w:rsid w:val="008E1EC6"/>
    <w:rsid w:val="008E4850"/>
    <w:rsid w:val="008E68CE"/>
    <w:rsid w:val="008F04AA"/>
    <w:rsid w:val="008F04B1"/>
    <w:rsid w:val="008F1A18"/>
    <w:rsid w:val="008F1C2C"/>
    <w:rsid w:val="008F22A4"/>
    <w:rsid w:val="008F235C"/>
    <w:rsid w:val="008F4BA7"/>
    <w:rsid w:val="008F7B98"/>
    <w:rsid w:val="008F7E53"/>
    <w:rsid w:val="00900BBC"/>
    <w:rsid w:val="00900BDF"/>
    <w:rsid w:val="009014FD"/>
    <w:rsid w:val="0090212F"/>
    <w:rsid w:val="00902293"/>
    <w:rsid w:val="009046BF"/>
    <w:rsid w:val="00905C2A"/>
    <w:rsid w:val="009101B0"/>
    <w:rsid w:val="00910955"/>
    <w:rsid w:val="0091148A"/>
    <w:rsid w:val="0091447A"/>
    <w:rsid w:val="00916F37"/>
    <w:rsid w:val="00917A48"/>
    <w:rsid w:val="00917D24"/>
    <w:rsid w:val="0092000E"/>
    <w:rsid w:val="00921207"/>
    <w:rsid w:val="009219D1"/>
    <w:rsid w:val="00923A40"/>
    <w:rsid w:val="00930399"/>
    <w:rsid w:val="009310F8"/>
    <w:rsid w:val="0093238F"/>
    <w:rsid w:val="0093305A"/>
    <w:rsid w:val="00933749"/>
    <w:rsid w:val="00934589"/>
    <w:rsid w:val="0093574C"/>
    <w:rsid w:val="00936C68"/>
    <w:rsid w:val="009402BA"/>
    <w:rsid w:val="009408E9"/>
    <w:rsid w:val="00942B4D"/>
    <w:rsid w:val="00944F62"/>
    <w:rsid w:val="00945195"/>
    <w:rsid w:val="009457F4"/>
    <w:rsid w:val="00947AD6"/>
    <w:rsid w:val="00951F99"/>
    <w:rsid w:val="009524C5"/>
    <w:rsid w:val="00953149"/>
    <w:rsid w:val="00957019"/>
    <w:rsid w:val="00962E4B"/>
    <w:rsid w:val="00963DEB"/>
    <w:rsid w:val="00964E97"/>
    <w:rsid w:val="00965B3C"/>
    <w:rsid w:val="009670DA"/>
    <w:rsid w:val="009671EF"/>
    <w:rsid w:val="00967782"/>
    <w:rsid w:val="00967A09"/>
    <w:rsid w:val="00967C0D"/>
    <w:rsid w:val="009713C3"/>
    <w:rsid w:val="009713F5"/>
    <w:rsid w:val="009742CC"/>
    <w:rsid w:val="009765F6"/>
    <w:rsid w:val="00976633"/>
    <w:rsid w:val="009771AF"/>
    <w:rsid w:val="00980A68"/>
    <w:rsid w:val="00980E24"/>
    <w:rsid w:val="00981AA4"/>
    <w:rsid w:val="00982347"/>
    <w:rsid w:val="00982ABB"/>
    <w:rsid w:val="00986A0F"/>
    <w:rsid w:val="009924E5"/>
    <w:rsid w:val="00992AFB"/>
    <w:rsid w:val="0099438F"/>
    <w:rsid w:val="0099474C"/>
    <w:rsid w:val="009A0E2F"/>
    <w:rsid w:val="009A286F"/>
    <w:rsid w:val="009A4C99"/>
    <w:rsid w:val="009A5345"/>
    <w:rsid w:val="009B1409"/>
    <w:rsid w:val="009B2B1E"/>
    <w:rsid w:val="009B2F87"/>
    <w:rsid w:val="009B3330"/>
    <w:rsid w:val="009B3B8B"/>
    <w:rsid w:val="009B5325"/>
    <w:rsid w:val="009B5C37"/>
    <w:rsid w:val="009B5FCE"/>
    <w:rsid w:val="009B6849"/>
    <w:rsid w:val="009C0781"/>
    <w:rsid w:val="009C2103"/>
    <w:rsid w:val="009C37DC"/>
    <w:rsid w:val="009C56AF"/>
    <w:rsid w:val="009C6179"/>
    <w:rsid w:val="009C73CA"/>
    <w:rsid w:val="009D05FA"/>
    <w:rsid w:val="009D35DF"/>
    <w:rsid w:val="009D3C5A"/>
    <w:rsid w:val="009D3D83"/>
    <w:rsid w:val="009D4925"/>
    <w:rsid w:val="009E1ED7"/>
    <w:rsid w:val="009E1FF1"/>
    <w:rsid w:val="009E2042"/>
    <w:rsid w:val="009E4ECC"/>
    <w:rsid w:val="009E7710"/>
    <w:rsid w:val="009F2FA7"/>
    <w:rsid w:val="009F3053"/>
    <w:rsid w:val="009F4903"/>
    <w:rsid w:val="009F56C8"/>
    <w:rsid w:val="00A00D73"/>
    <w:rsid w:val="00A0187D"/>
    <w:rsid w:val="00A01B1A"/>
    <w:rsid w:val="00A13425"/>
    <w:rsid w:val="00A13811"/>
    <w:rsid w:val="00A13F8D"/>
    <w:rsid w:val="00A16210"/>
    <w:rsid w:val="00A16A2E"/>
    <w:rsid w:val="00A20A03"/>
    <w:rsid w:val="00A22B2C"/>
    <w:rsid w:val="00A22FB3"/>
    <w:rsid w:val="00A238BC"/>
    <w:rsid w:val="00A24A0C"/>
    <w:rsid w:val="00A25581"/>
    <w:rsid w:val="00A26F5E"/>
    <w:rsid w:val="00A270E8"/>
    <w:rsid w:val="00A27B23"/>
    <w:rsid w:val="00A27E84"/>
    <w:rsid w:val="00A31C84"/>
    <w:rsid w:val="00A359D4"/>
    <w:rsid w:val="00A44E6E"/>
    <w:rsid w:val="00A541ED"/>
    <w:rsid w:val="00A57639"/>
    <w:rsid w:val="00A64F2E"/>
    <w:rsid w:val="00A65453"/>
    <w:rsid w:val="00A65D9F"/>
    <w:rsid w:val="00A66251"/>
    <w:rsid w:val="00A6709E"/>
    <w:rsid w:val="00A70219"/>
    <w:rsid w:val="00A70824"/>
    <w:rsid w:val="00A71B74"/>
    <w:rsid w:val="00A7279C"/>
    <w:rsid w:val="00A74314"/>
    <w:rsid w:val="00A753B2"/>
    <w:rsid w:val="00A77492"/>
    <w:rsid w:val="00A80183"/>
    <w:rsid w:val="00A8045B"/>
    <w:rsid w:val="00A857E0"/>
    <w:rsid w:val="00A8582B"/>
    <w:rsid w:val="00A86478"/>
    <w:rsid w:val="00A870B0"/>
    <w:rsid w:val="00A9064C"/>
    <w:rsid w:val="00A90E83"/>
    <w:rsid w:val="00A91C81"/>
    <w:rsid w:val="00A93702"/>
    <w:rsid w:val="00A93A91"/>
    <w:rsid w:val="00A94139"/>
    <w:rsid w:val="00A96EE2"/>
    <w:rsid w:val="00AA3853"/>
    <w:rsid w:val="00AA7237"/>
    <w:rsid w:val="00AA72B4"/>
    <w:rsid w:val="00AB124C"/>
    <w:rsid w:val="00AB1317"/>
    <w:rsid w:val="00AB225A"/>
    <w:rsid w:val="00AB390B"/>
    <w:rsid w:val="00AB3E90"/>
    <w:rsid w:val="00AB4BB2"/>
    <w:rsid w:val="00AB55B6"/>
    <w:rsid w:val="00AB723E"/>
    <w:rsid w:val="00AC125E"/>
    <w:rsid w:val="00AC3DC1"/>
    <w:rsid w:val="00AC4E6D"/>
    <w:rsid w:val="00AC6E4E"/>
    <w:rsid w:val="00AC6E85"/>
    <w:rsid w:val="00AD1BC6"/>
    <w:rsid w:val="00AD1EDE"/>
    <w:rsid w:val="00AE0520"/>
    <w:rsid w:val="00AE2CC7"/>
    <w:rsid w:val="00AE2FAA"/>
    <w:rsid w:val="00AE4752"/>
    <w:rsid w:val="00AE65EA"/>
    <w:rsid w:val="00AE6AD3"/>
    <w:rsid w:val="00AE6DE6"/>
    <w:rsid w:val="00AE7FD9"/>
    <w:rsid w:val="00AF00BC"/>
    <w:rsid w:val="00AF0A32"/>
    <w:rsid w:val="00AF22C1"/>
    <w:rsid w:val="00AF3011"/>
    <w:rsid w:val="00AF388F"/>
    <w:rsid w:val="00AF407F"/>
    <w:rsid w:val="00AF4600"/>
    <w:rsid w:val="00AF7776"/>
    <w:rsid w:val="00B0010B"/>
    <w:rsid w:val="00B001C7"/>
    <w:rsid w:val="00B0336A"/>
    <w:rsid w:val="00B034A7"/>
    <w:rsid w:val="00B044BA"/>
    <w:rsid w:val="00B05424"/>
    <w:rsid w:val="00B066A2"/>
    <w:rsid w:val="00B1143B"/>
    <w:rsid w:val="00B11F73"/>
    <w:rsid w:val="00B128D0"/>
    <w:rsid w:val="00B14FCE"/>
    <w:rsid w:val="00B150E1"/>
    <w:rsid w:val="00B170D3"/>
    <w:rsid w:val="00B2053E"/>
    <w:rsid w:val="00B21DD1"/>
    <w:rsid w:val="00B24145"/>
    <w:rsid w:val="00B25982"/>
    <w:rsid w:val="00B30B37"/>
    <w:rsid w:val="00B314D9"/>
    <w:rsid w:val="00B31685"/>
    <w:rsid w:val="00B31EDC"/>
    <w:rsid w:val="00B33092"/>
    <w:rsid w:val="00B34292"/>
    <w:rsid w:val="00B34651"/>
    <w:rsid w:val="00B35502"/>
    <w:rsid w:val="00B37F45"/>
    <w:rsid w:val="00B458E6"/>
    <w:rsid w:val="00B46B12"/>
    <w:rsid w:val="00B473B5"/>
    <w:rsid w:val="00B474BA"/>
    <w:rsid w:val="00B47FC3"/>
    <w:rsid w:val="00B51C5E"/>
    <w:rsid w:val="00B52B08"/>
    <w:rsid w:val="00B56969"/>
    <w:rsid w:val="00B56F8C"/>
    <w:rsid w:val="00B579DF"/>
    <w:rsid w:val="00B60BAC"/>
    <w:rsid w:val="00B615BB"/>
    <w:rsid w:val="00B62AFA"/>
    <w:rsid w:val="00B638CF"/>
    <w:rsid w:val="00B639FB"/>
    <w:rsid w:val="00B650D4"/>
    <w:rsid w:val="00B67221"/>
    <w:rsid w:val="00B6745F"/>
    <w:rsid w:val="00B73CCC"/>
    <w:rsid w:val="00B73EB2"/>
    <w:rsid w:val="00B73ED1"/>
    <w:rsid w:val="00B7624A"/>
    <w:rsid w:val="00B80ACD"/>
    <w:rsid w:val="00B80F51"/>
    <w:rsid w:val="00B81EA6"/>
    <w:rsid w:val="00B828AB"/>
    <w:rsid w:val="00B843E0"/>
    <w:rsid w:val="00B84AEE"/>
    <w:rsid w:val="00B8602C"/>
    <w:rsid w:val="00B86C13"/>
    <w:rsid w:val="00B907DB"/>
    <w:rsid w:val="00B92808"/>
    <w:rsid w:val="00B94B16"/>
    <w:rsid w:val="00B96A39"/>
    <w:rsid w:val="00BA02E9"/>
    <w:rsid w:val="00BA03FA"/>
    <w:rsid w:val="00BA263A"/>
    <w:rsid w:val="00BA5328"/>
    <w:rsid w:val="00BA6333"/>
    <w:rsid w:val="00BA63AB"/>
    <w:rsid w:val="00BB2030"/>
    <w:rsid w:val="00BB6E1E"/>
    <w:rsid w:val="00BB70F3"/>
    <w:rsid w:val="00BB75FF"/>
    <w:rsid w:val="00BB7F6B"/>
    <w:rsid w:val="00BC160A"/>
    <w:rsid w:val="00BC2ADF"/>
    <w:rsid w:val="00BC39EC"/>
    <w:rsid w:val="00BC4B70"/>
    <w:rsid w:val="00BC4D3E"/>
    <w:rsid w:val="00BD057A"/>
    <w:rsid w:val="00BD1485"/>
    <w:rsid w:val="00BD1835"/>
    <w:rsid w:val="00BD2063"/>
    <w:rsid w:val="00BD39D0"/>
    <w:rsid w:val="00BD4590"/>
    <w:rsid w:val="00BD50AE"/>
    <w:rsid w:val="00BD5AA1"/>
    <w:rsid w:val="00BD69FF"/>
    <w:rsid w:val="00BE0A06"/>
    <w:rsid w:val="00BE0CCA"/>
    <w:rsid w:val="00BE10CA"/>
    <w:rsid w:val="00BE3C62"/>
    <w:rsid w:val="00BE4CC9"/>
    <w:rsid w:val="00BE502E"/>
    <w:rsid w:val="00BF1247"/>
    <w:rsid w:val="00BF1DA1"/>
    <w:rsid w:val="00BF2C63"/>
    <w:rsid w:val="00BF505F"/>
    <w:rsid w:val="00BF51D6"/>
    <w:rsid w:val="00C02420"/>
    <w:rsid w:val="00C029B3"/>
    <w:rsid w:val="00C02E7C"/>
    <w:rsid w:val="00C03D8C"/>
    <w:rsid w:val="00C051A4"/>
    <w:rsid w:val="00C05618"/>
    <w:rsid w:val="00C13937"/>
    <w:rsid w:val="00C14A53"/>
    <w:rsid w:val="00C156A0"/>
    <w:rsid w:val="00C15AD5"/>
    <w:rsid w:val="00C16146"/>
    <w:rsid w:val="00C16417"/>
    <w:rsid w:val="00C16773"/>
    <w:rsid w:val="00C16D38"/>
    <w:rsid w:val="00C20B08"/>
    <w:rsid w:val="00C21DE3"/>
    <w:rsid w:val="00C26814"/>
    <w:rsid w:val="00C272F9"/>
    <w:rsid w:val="00C31F21"/>
    <w:rsid w:val="00C3499E"/>
    <w:rsid w:val="00C35694"/>
    <w:rsid w:val="00C41497"/>
    <w:rsid w:val="00C4439B"/>
    <w:rsid w:val="00C465E0"/>
    <w:rsid w:val="00C46F7D"/>
    <w:rsid w:val="00C50414"/>
    <w:rsid w:val="00C5189A"/>
    <w:rsid w:val="00C51E90"/>
    <w:rsid w:val="00C52071"/>
    <w:rsid w:val="00C52834"/>
    <w:rsid w:val="00C52F67"/>
    <w:rsid w:val="00C54739"/>
    <w:rsid w:val="00C55516"/>
    <w:rsid w:val="00C55FBD"/>
    <w:rsid w:val="00C62231"/>
    <w:rsid w:val="00C62D96"/>
    <w:rsid w:val="00C63036"/>
    <w:rsid w:val="00C633E2"/>
    <w:rsid w:val="00C64B78"/>
    <w:rsid w:val="00C65888"/>
    <w:rsid w:val="00C6681D"/>
    <w:rsid w:val="00C720EB"/>
    <w:rsid w:val="00C72F86"/>
    <w:rsid w:val="00C73BA2"/>
    <w:rsid w:val="00C7547B"/>
    <w:rsid w:val="00C770EA"/>
    <w:rsid w:val="00C7784E"/>
    <w:rsid w:val="00C82309"/>
    <w:rsid w:val="00C82753"/>
    <w:rsid w:val="00C85065"/>
    <w:rsid w:val="00C852F9"/>
    <w:rsid w:val="00C86990"/>
    <w:rsid w:val="00C879FE"/>
    <w:rsid w:val="00CA0B1A"/>
    <w:rsid w:val="00CA1C0D"/>
    <w:rsid w:val="00CA46F9"/>
    <w:rsid w:val="00CA4A83"/>
    <w:rsid w:val="00CA53F3"/>
    <w:rsid w:val="00CA7CA7"/>
    <w:rsid w:val="00CB01B5"/>
    <w:rsid w:val="00CB44FD"/>
    <w:rsid w:val="00CB69CB"/>
    <w:rsid w:val="00CC0414"/>
    <w:rsid w:val="00CC3B53"/>
    <w:rsid w:val="00CC476E"/>
    <w:rsid w:val="00CC583B"/>
    <w:rsid w:val="00CC6CC5"/>
    <w:rsid w:val="00CD5656"/>
    <w:rsid w:val="00CD6962"/>
    <w:rsid w:val="00CE193F"/>
    <w:rsid w:val="00CE21FA"/>
    <w:rsid w:val="00CE5782"/>
    <w:rsid w:val="00CE59CB"/>
    <w:rsid w:val="00CF0A38"/>
    <w:rsid w:val="00CF0DAB"/>
    <w:rsid w:val="00CF2F36"/>
    <w:rsid w:val="00D010C8"/>
    <w:rsid w:val="00D01559"/>
    <w:rsid w:val="00D02171"/>
    <w:rsid w:val="00D03BE3"/>
    <w:rsid w:val="00D050A4"/>
    <w:rsid w:val="00D06817"/>
    <w:rsid w:val="00D12E32"/>
    <w:rsid w:val="00D13F57"/>
    <w:rsid w:val="00D146A8"/>
    <w:rsid w:val="00D147EC"/>
    <w:rsid w:val="00D166F9"/>
    <w:rsid w:val="00D16C7E"/>
    <w:rsid w:val="00D21386"/>
    <w:rsid w:val="00D22526"/>
    <w:rsid w:val="00D23343"/>
    <w:rsid w:val="00D261C3"/>
    <w:rsid w:val="00D265C8"/>
    <w:rsid w:val="00D30593"/>
    <w:rsid w:val="00D30B0C"/>
    <w:rsid w:val="00D3421B"/>
    <w:rsid w:val="00D36C0C"/>
    <w:rsid w:val="00D36DA3"/>
    <w:rsid w:val="00D376B2"/>
    <w:rsid w:val="00D42E91"/>
    <w:rsid w:val="00D43B29"/>
    <w:rsid w:val="00D45E25"/>
    <w:rsid w:val="00D51F80"/>
    <w:rsid w:val="00D544C2"/>
    <w:rsid w:val="00D546A6"/>
    <w:rsid w:val="00D55322"/>
    <w:rsid w:val="00D55907"/>
    <w:rsid w:val="00D6068C"/>
    <w:rsid w:val="00D61BC8"/>
    <w:rsid w:val="00D65A21"/>
    <w:rsid w:val="00D6696A"/>
    <w:rsid w:val="00D67CDB"/>
    <w:rsid w:val="00D713AF"/>
    <w:rsid w:val="00D7256A"/>
    <w:rsid w:val="00D72949"/>
    <w:rsid w:val="00D72ABE"/>
    <w:rsid w:val="00D73A9A"/>
    <w:rsid w:val="00D73AA0"/>
    <w:rsid w:val="00D73CB5"/>
    <w:rsid w:val="00D74816"/>
    <w:rsid w:val="00D771E6"/>
    <w:rsid w:val="00D80B99"/>
    <w:rsid w:val="00D814C6"/>
    <w:rsid w:val="00D81AB0"/>
    <w:rsid w:val="00D832BD"/>
    <w:rsid w:val="00D83815"/>
    <w:rsid w:val="00D83B9C"/>
    <w:rsid w:val="00D8716F"/>
    <w:rsid w:val="00D87E92"/>
    <w:rsid w:val="00D90E12"/>
    <w:rsid w:val="00D90F83"/>
    <w:rsid w:val="00D91E96"/>
    <w:rsid w:val="00D964BC"/>
    <w:rsid w:val="00D96E29"/>
    <w:rsid w:val="00D976CF"/>
    <w:rsid w:val="00DA28B0"/>
    <w:rsid w:val="00DA3B9F"/>
    <w:rsid w:val="00DA6A24"/>
    <w:rsid w:val="00DB0B67"/>
    <w:rsid w:val="00DB105A"/>
    <w:rsid w:val="00DB29E7"/>
    <w:rsid w:val="00DB2F49"/>
    <w:rsid w:val="00DB3149"/>
    <w:rsid w:val="00DB4DA2"/>
    <w:rsid w:val="00DC117D"/>
    <w:rsid w:val="00DC2A36"/>
    <w:rsid w:val="00DC30D3"/>
    <w:rsid w:val="00DC5757"/>
    <w:rsid w:val="00DC5A08"/>
    <w:rsid w:val="00DC7F8E"/>
    <w:rsid w:val="00DD23E8"/>
    <w:rsid w:val="00DD2B69"/>
    <w:rsid w:val="00DD2E52"/>
    <w:rsid w:val="00DD3F1E"/>
    <w:rsid w:val="00DD4393"/>
    <w:rsid w:val="00DD47F2"/>
    <w:rsid w:val="00DD595B"/>
    <w:rsid w:val="00DD653A"/>
    <w:rsid w:val="00DE10FE"/>
    <w:rsid w:val="00DE1339"/>
    <w:rsid w:val="00DE1A2B"/>
    <w:rsid w:val="00DE26FA"/>
    <w:rsid w:val="00DE6117"/>
    <w:rsid w:val="00DE62CB"/>
    <w:rsid w:val="00DE7254"/>
    <w:rsid w:val="00DE741F"/>
    <w:rsid w:val="00DE7508"/>
    <w:rsid w:val="00DE7BF8"/>
    <w:rsid w:val="00DF1159"/>
    <w:rsid w:val="00DF13A7"/>
    <w:rsid w:val="00DF1456"/>
    <w:rsid w:val="00DF5DF3"/>
    <w:rsid w:val="00DF68F2"/>
    <w:rsid w:val="00DF74BF"/>
    <w:rsid w:val="00E0137B"/>
    <w:rsid w:val="00E017D4"/>
    <w:rsid w:val="00E02CFA"/>
    <w:rsid w:val="00E02D57"/>
    <w:rsid w:val="00E02F62"/>
    <w:rsid w:val="00E03B1D"/>
    <w:rsid w:val="00E03DB6"/>
    <w:rsid w:val="00E04522"/>
    <w:rsid w:val="00E05BFF"/>
    <w:rsid w:val="00E12740"/>
    <w:rsid w:val="00E1362A"/>
    <w:rsid w:val="00E137A2"/>
    <w:rsid w:val="00E15D7E"/>
    <w:rsid w:val="00E17572"/>
    <w:rsid w:val="00E17DA5"/>
    <w:rsid w:val="00E256DA"/>
    <w:rsid w:val="00E30B87"/>
    <w:rsid w:val="00E37C67"/>
    <w:rsid w:val="00E37CD3"/>
    <w:rsid w:val="00E4245F"/>
    <w:rsid w:val="00E44B3D"/>
    <w:rsid w:val="00E451C1"/>
    <w:rsid w:val="00E4604B"/>
    <w:rsid w:val="00E47FD4"/>
    <w:rsid w:val="00E572F6"/>
    <w:rsid w:val="00E6246F"/>
    <w:rsid w:val="00E6481C"/>
    <w:rsid w:val="00E65021"/>
    <w:rsid w:val="00E674B9"/>
    <w:rsid w:val="00E7115B"/>
    <w:rsid w:val="00E73BFB"/>
    <w:rsid w:val="00E745B7"/>
    <w:rsid w:val="00E746F2"/>
    <w:rsid w:val="00E76B54"/>
    <w:rsid w:val="00E80E82"/>
    <w:rsid w:val="00E822A9"/>
    <w:rsid w:val="00E82BE0"/>
    <w:rsid w:val="00E82F61"/>
    <w:rsid w:val="00E834FA"/>
    <w:rsid w:val="00E841BA"/>
    <w:rsid w:val="00E84453"/>
    <w:rsid w:val="00E84969"/>
    <w:rsid w:val="00E85112"/>
    <w:rsid w:val="00E85D35"/>
    <w:rsid w:val="00E85F18"/>
    <w:rsid w:val="00E86745"/>
    <w:rsid w:val="00E90B47"/>
    <w:rsid w:val="00E9354C"/>
    <w:rsid w:val="00E93916"/>
    <w:rsid w:val="00E949F7"/>
    <w:rsid w:val="00E94F7C"/>
    <w:rsid w:val="00EA0AF9"/>
    <w:rsid w:val="00EA10E4"/>
    <w:rsid w:val="00EA2A46"/>
    <w:rsid w:val="00EA4908"/>
    <w:rsid w:val="00EA5820"/>
    <w:rsid w:val="00EA733C"/>
    <w:rsid w:val="00EA7A42"/>
    <w:rsid w:val="00EB69DE"/>
    <w:rsid w:val="00EB72D6"/>
    <w:rsid w:val="00EB7560"/>
    <w:rsid w:val="00EB7D35"/>
    <w:rsid w:val="00EB7E7E"/>
    <w:rsid w:val="00EC386B"/>
    <w:rsid w:val="00ED0A78"/>
    <w:rsid w:val="00ED2186"/>
    <w:rsid w:val="00ED2346"/>
    <w:rsid w:val="00ED2361"/>
    <w:rsid w:val="00ED284C"/>
    <w:rsid w:val="00ED2E22"/>
    <w:rsid w:val="00ED3207"/>
    <w:rsid w:val="00ED427F"/>
    <w:rsid w:val="00ED6084"/>
    <w:rsid w:val="00ED71D6"/>
    <w:rsid w:val="00ED7229"/>
    <w:rsid w:val="00EE2208"/>
    <w:rsid w:val="00EE2296"/>
    <w:rsid w:val="00EE2E46"/>
    <w:rsid w:val="00EE5147"/>
    <w:rsid w:val="00EE597F"/>
    <w:rsid w:val="00EE7251"/>
    <w:rsid w:val="00EE7C69"/>
    <w:rsid w:val="00EF36F8"/>
    <w:rsid w:val="00EF446A"/>
    <w:rsid w:val="00EF6040"/>
    <w:rsid w:val="00EF63DB"/>
    <w:rsid w:val="00EF7622"/>
    <w:rsid w:val="00F006AA"/>
    <w:rsid w:val="00F03BB0"/>
    <w:rsid w:val="00F03C0B"/>
    <w:rsid w:val="00F03C3E"/>
    <w:rsid w:val="00F056F3"/>
    <w:rsid w:val="00F07BC7"/>
    <w:rsid w:val="00F07C7C"/>
    <w:rsid w:val="00F10FF1"/>
    <w:rsid w:val="00F12598"/>
    <w:rsid w:val="00F13085"/>
    <w:rsid w:val="00F13397"/>
    <w:rsid w:val="00F15715"/>
    <w:rsid w:val="00F17E27"/>
    <w:rsid w:val="00F2020B"/>
    <w:rsid w:val="00F20F19"/>
    <w:rsid w:val="00F21F15"/>
    <w:rsid w:val="00F23146"/>
    <w:rsid w:val="00F23D50"/>
    <w:rsid w:val="00F24E93"/>
    <w:rsid w:val="00F271CC"/>
    <w:rsid w:val="00F27302"/>
    <w:rsid w:val="00F31E24"/>
    <w:rsid w:val="00F3333C"/>
    <w:rsid w:val="00F35128"/>
    <w:rsid w:val="00F35B70"/>
    <w:rsid w:val="00F37E57"/>
    <w:rsid w:val="00F4148F"/>
    <w:rsid w:val="00F420B6"/>
    <w:rsid w:val="00F425BE"/>
    <w:rsid w:val="00F432FF"/>
    <w:rsid w:val="00F447E7"/>
    <w:rsid w:val="00F45AAF"/>
    <w:rsid w:val="00F52FBA"/>
    <w:rsid w:val="00F60203"/>
    <w:rsid w:val="00F66937"/>
    <w:rsid w:val="00F67F4D"/>
    <w:rsid w:val="00F73FBD"/>
    <w:rsid w:val="00F75D9E"/>
    <w:rsid w:val="00F81977"/>
    <w:rsid w:val="00F81DC2"/>
    <w:rsid w:val="00F836AB"/>
    <w:rsid w:val="00F86D83"/>
    <w:rsid w:val="00F86DB8"/>
    <w:rsid w:val="00F86EB9"/>
    <w:rsid w:val="00F90A67"/>
    <w:rsid w:val="00F928A8"/>
    <w:rsid w:val="00F92F52"/>
    <w:rsid w:val="00F94043"/>
    <w:rsid w:val="00F9577B"/>
    <w:rsid w:val="00F9734C"/>
    <w:rsid w:val="00F9740F"/>
    <w:rsid w:val="00F97BAD"/>
    <w:rsid w:val="00FA35D4"/>
    <w:rsid w:val="00FA35EB"/>
    <w:rsid w:val="00FA3E04"/>
    <w:rsid w:val="00FA5206"/>
    <w:rsid w:val="00FA6AD0"/>
    <w:rsid w:val="00FB096E"/>
    <w:rsid w:val="00FB1407"/>
    <w:rsid w:val="00FB364F"/>
    <w:rsid w:val="00FB55CC"/>
    <w:rsid w:val="00FB7260"/>
    <w:rsid w:val="00FB74FC"/>
    <w:rsid w:val="00FC061C"/>
    <w:rsid w:val="00FC5C51"/>
    <w:rsid w:val="00FD1871"/>
    <w:rsid w:val="00FD19ED"/>
    <w:rsid w:val="00FD30C1"/>
    <w:rsid w:val="00FD4B42"/>
    <w:rsid w:val="00FD5F48"/>
    <w:rsid w:val="00FD6913"/>
    <w:rsid w:val="00FD7341"/>
    <w:rsid w:val="00FE30BC"/>
    <w:rsid w:val="00FE38FF"/>
    <w:rsid w:val="00FE3B90"/>
    <w:rsid w:val="00FF4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CDF93"/>
  <w15:chartTrackingRefBased/>
  <w15:docId w15:val="{83C5E0FB-57EA-5A4E-9217-2575DBC62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2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0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0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0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0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0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0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0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F3644"/>
    <w:pPr>
      <w:ind w:left="720" w:hanging="720"/>
    </w:pPr>
    <w:rPr>
      <w:rFonts w:ascii="Times New Roman" w:hAnsi="Times New Roman"/>
      <w:szCs w:val="22"/>
    </w:rPr>
  </w:style>
  <w:style w:type="character" w:customStyle="1" w:styleId="Heading1Char">
    <w:name w:val="Heading 1 Char"/>
    <w:basedOn w:val="DefaultParagraphFont"/>
    <w:link w:val="Heading1"/>
    <w:uiPriority w:val="9"/>
    <w:rsid w:val="00BB20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20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0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0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0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030"/>
    <w:rPr>
      <w:rFonts w:eastAsiaTheme="majorEastAsia" w:cstheme="majorBidi"/>
      <w:color w:val="272727" w:themeColor="text1" w:themeTint="D8"/>
    </w:rPr>
  </w:style>
  <w:style w:type="paragraph" w:styleId="Title">
    <w:name w:val="Title"/>
    <w:basedOn w:val="Normal"/>
    <w:next w:val="Normal"/>
    <w:link w:val="TitleChar"/>
    <w:uiPriority w:val="10"/>
    <w:qFormat/>
    <w:rsid w:val="00BB20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0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0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2030"/>
    <w:rPr>
      <w:i/>
      <w:iCs/>
      <w:color w:val="404040" w:themeColor="text1" w:themeTint="BF"/>
    </w:rPr>
  </w:style>
  <w:style w:type="paragraph" w:styleId="ListParagraph">
    <w:name w:val="List Paragraph"/>
    <w:basedOn w:val="Normal"/>
    <w:uiPriority w:val="34"/>
    <w:qFormat/>
    <w:rsid w:val="00BB2030"/>
    <w:pPr>
      <w:ind w:left="720"/>
      <w:contextualSpacing/>
    </w:pPr>
  </w:style>
  <w:style w:type="character" w:styleId="IntenseEmphasis">
    <w:name w:val="Intense Emphasis"/>
    <w:basedOn w:val="DefaultParagraphFont"/>
    <w:uiPriority w:val="21"/>
    <w:qFormat/>
    <w:rsid w:val="00BB2030"/>
    <w:rPr>
      <w:i/>
      <w:iCs/>
      <w:color w:val="0F4761" w:themeColor="accent1" w:themeShade="BF"/>
    </w:rPr>
  </w:style>
  <w:style w:type="paragraph" w:styleId="IntenseQuote">
    <w:name w:val="Intense Quote"/>
    <w:basedOn w:val="Normal"/>
    <w:next w:val="Normal"/>
    <w:link w:val="IntenseQuoteChar"/>
    <w:uiPriority w:val="30"/>
    <w:qFormat/>
    <w:rsid w:val="00BB2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030"/>
    <w:rPr>
      <w:i/>
      <w:iCs/>
      <w:color w:val="0F4761" w:themeColor="accent1" w:themeShade="BF"/>
    </w:rPr>
  </w:style>
  <w:style w:type="character" w:styleId="IntenseReference">
    <w:name w:val="Intense Reference"/>
    <w:basedOn w:val="DefaultParagraphFont"/>
    <w:uiPriority w:val="32"/>
    <w:qFormat/>
    <w:rsid w:val="00BB2030"/>
    <w:rPr>
      <w:b/>
      <w:bCs/>
      <w:smallCaps/>
      <w:color w:val="0F4761" w:themeColor="accent1" w:themeShade="BF"/>
      <w:spacing w:val="5"/>
    </w:rPr>
  </w:style>
  <w:style w:type="paragraph" w:styleId="Header">
    <w:name w:val="header"/>
    <w:basedOn w:val="Normal"/>
    <w:link w:val="HeaderChar"/>
    <w:uiPriority w:val="99"/>
    <w:unhideWhenUsed/>
    <w:rsid w:val="00045B8C"/>
    <w:pPr>
      <w:tabs>
        <w:tab w:val="center" w:pos="4680"/>
        <w:tab w:val="right" w:pos="9360"/>
      </w:tabs>
    </w:pPr>
  </w:style>
  <w:style w:type="character" w:customStyle="1" w:styleId="HeaderChar">
    <w:name w:val="Header Char"/>
    <w:basedOn w:val="DefaultParagraphFont"/>
    <w:link w:val="Header"/>
    <w:uiPriority w:val="99"/>
    <w:rsid w:val="00045B8C"/>
  </w:style>
  <w:style w:type="paragraph" w:styleId="Footer">
    <w:name w:val="footer"/>
    <w:basedOn w:val="Normal"/>
    <w:link w:val="FooterChar"/>
    <w:uiPriority w:val="99"/>
    <w:unhideWhenUsed/>
    <w:rsid w:val="00045B8C"/>
    <w:pPr>
      <w:tabs>
        <w:tab w:val="center" w:pos="4680"/>
        <w:tab w:val="right" w:pos="9360"/>
      </w:tabs>
    </w:pPr>
  </w:style>
  <w:style w:type="character" w:customStyle="1" w:styleId="FooterChar">
    <w:name w:val="Footer Char"/>
    <w:basedOn w:val="DefaultParagraphFont"/>
    <w:link w:val="Footer"/>
    <w:uiPriority w:val="99"/>
    <w:rsid w:val="00045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16</Pages>
  <Words>31425</Words>
  <Characters>179128</Characters>
  <Application>Microsoft Office Word</Application>
  <DocSecurity>0</DocSecurity>
  <Lines>1492</Lines>
  <Paragraphs>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Cheng</dc:creator>
  <cp:keywords/>
  <dc:description/>
  <cp:lastModifiedBy>Matt Cheng</cp:lastModifiedBy>
  <cp:revision>1510</cp:revision>
  <dcterms:created xsi:type="dcterms:W3CDTF">2024-04-05T15:48:00Z</dcterms:created>
  <dcterms:modified xsi:type="dcterms:W3CDTF">2024-04-06T01:45:00Z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id="9pw65hwJ"/&gt;&lt;style id="http://www.zotero.org/styles/canadian-journal-of-fisheries-and-aquatic-sciences" hasBibliography="1" bibliographyStyleHasBeenSet="1"/&gt;&lt;prefs&gt;&lt;pref name="fieldType" value="Fi</vt:lpwstr>
  </property>
  <property fmtid="{D5CDD505-2E9C-101B-9397-08002B2CF9AE}" pid="3" name="ZOTERO_PREF_2">
    <vt:lpwstr>eld"/&gt;&lt;/prefs&gt;&lt;/data&gt;</vt:lpwstr>
  </property>
</Properties>
</file>