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623C61" w14:textId="77777777" w:rsidR="006115BB" w:rsidRPr="00536464" w:rsidRDefault="00000000">
      <w:pPr>
        <w:spacing w:after="120"/>
        <w:rPr>
          <w:rFonts w:ascii="Times New Roman" w:hAnsi="Times New Roman" w:cs="Times New Roman"/>
          <w:sz w:val="24"/>
          <w:szCs w:val="24"/>
        </w:rPr>
      </w:pPr>
      <w:r w:rsidRPr="00536464">
        <w:rPr>
          <w:rFonts w:ascii="Times New Roman" w:hAnsi="Times New Roman" w:cs="Times New Roman"/>
          <w:b/>
          <w:bCs/>
          <w:sz w:val="24"/>
          <w:szCs w:val="24"/>
        </w:rPr>
        <w:t>NSEI Sablefish MSE — Stakeholder Update</w:t>
      </w:r>
    </w:p>
    <w:p w14:paraId="3A64837E" w14:textId="4F4CCDF3" w:rsidR="006115BB" w:rsidRPr="00536464" w:rsidRDefault="00000000" w:rsidP="005F4D57">
      <w:pPr>
        <w:spacing w:after="320"/>
        <w:rPr>
          <w:rFonts w:ascii="Times New Roman" w:hAnsi="Times New Roman" w:cs="Times New Roman"/>
          <w:sz w:val="24"/>
          <w:szCs w:val="24"/>
        </w:rPr>
      </w:pPr>
      <w:r w:rsidRPr="00536464">
        <w:rPr>
          <w:rFonts w:ascii="Times New Roman" w:hAnsi="Times New Roman" w:cs="Times New Roman"/>
          <w:color w:val="666666"/>
          <w:sz w:val="24"/>
          <w:szCs w:val="24"/>
        </w:rPr>
        <w:t>August 2026</w:t>
      </w:r>
    </w:p>
    <w:p w14:paraId="3D155A41" w14:textId="77777777" w:rsidR="006115BB" w:rsidRPr="00536464" w:rsidRDefault="00000000">
      <w:pPr>
        <w:spacing w:before="160" w:after="160"/>
        <w:rPr>
          <w:rFonts w:ascii="Times New Roman" w:hAnsi="Times New Roman" w:cs="Times New Roman"/>
          <w:sz w:val="24"/>
          <w:szCs w:val="24"/>
        </w:rPr>
      </w:pPr>
      <w:r w:rsidRPr="00536464">
        <w:rPr>
          <w:rFonts w:ascii="Times New Roman" w:hAnsi="Times New Roman" w:cs="Times New Roman"/>
          <w:b/>
          <w:bCs/>
          <w:sz w:val="24"/>
          <w:szCs w:val="24"/>
        </w:rPr>
        <w:t>Status</w:t>
      </w:r>
    </w:p>
    <w:p w14:paraId="77345583" w14:textId="77777777" w:rsidR="006115BB" w:rsidRPr="00536464" w:rsidRDefault="00000000">
      <w:pPr>
        <w:spacing w:after="240"/>
        <w:rPr>
          <w:rFonts w:ascii="Times New Roman" w:hAnsi="Times New Roman" w:cs="Times New Roman"/>
          <w:sz w:val="24"/>
          <w:szCs w:val="24"/>
        </w:rPr>
      </w:pPr>
      <w:r w:rsidRPr="00536464">
        <w:rPr>
          <w:rFonts w:ascii="Times New Roman" w:hAnsi="Times New Roman" w:cs="Times New Roman"/>
          <w:sz w:val="24"/>
          <w:szCs w:val="24"/>
        </w:rPr>
        <w:t>Analytical work on the NSEI sablefish Management Strategy Evaluation (MSE) is progressing well. Two major milestones have been completed.</w:t>
      </w:r>
    </w:p>
    <w:p w14:paraId="2DC183FE" w14:textId="77777777" w:rsidR="006115BB" w:rsidRPr="00536464" w:rsidRDefault="00000000">
      <w:pPr>
        <w:spacing w:after="240"/>
        <w:rPr>
          <w:rFonts w:ascii="Times New Roman" w:hAnsi="Times New Roman" w:cs="Times New Roman"/>
          <w:sz w:val="24"/>
          <w:szCs w:val="24"/>
        </w:rPr>
      </w:pPr>
      <w:r w:rsidRPr="00536464">
        <w:rPr>
          <w:rFonts w:ascii="Times New Roman" w:hAnsi="Times New Roman" w:cs="Times New Roman"/>
          <w:b/>
          <w:bCs/>
          <w:sz w:val="24"/>
          <w:szCs w:val="24"/>
        </w:rPr>
        <w:t xml:space="preserve">Operating model conditioning is complete. </w:t>
      </w:r>
      <w:r w:rsidRPr="00536464">
        <w:rPr>
          <w:rFonts w:ascii="Times New Roman" w:hAnsi="Times New Roman" w:cs="Times New Roman"/>
          <w:sz w:val="24"/>
          <w:szCs w:val="24"/>
        </w:rPr>
        <w:t>The operating model has been conditioned on historical NSEI sablefish data and includes three scenarios representing plausible future states of the stock: a Baseline OM, a productivity regime shift OM, and a stock crash OM. These three OMs bracket the key uncertainties we want management to be robust to.</w:t>
      </w:r>
    </w:p>
    <w:p w14:paraId="73F1756C" w14:textId="77777777" w:rsidR="006115BB" w:rsidRPr="00536464" w:rsidRDefault="00000000">
      <w:pPr>
        <w:spacing w:after="320"/>
        <w:rPr>
          <w:rFonts w:ascii="Times New Roman" w:hAnsi="Times New Roman" w:cs="Times New Roman"/>
          <w:sz w:val="24"/>
          <w:szCs w:val="24"/>
        </w:rPr>
      </w:pPr>
      <w:r w:rsidRPr="00536464">
        <w:rPr>
          <w:rFonts w:ascii="Times New Roman" w:hAnsi="Times New Roman" w:cs="Times New Roman"/>
          <w:b/>
          <w:bCs/>
          <w:sz w:val="24"/>
          <w:szCs w:val="24"/>
        </w:rPr>
        <w:t xml:space="preserve">Preliminary harvest control rules (HCRs) have been evaluated. </w:t>
      </w:r>
      <w:r w:rsidRPr="00536464">
        <w:rPr>
          <w:rFonts w:ascii="Times New Roman" w:hAnsi="Times New Roman" w:cs="Times New Roman"/>
          <w:sz w:val="24"/>
          <w:szCs w:val="24"/>
        </w:rPr>
        <w:t>A grid of candidate HCRs has been screened across all three operating models, providing an initial picture of how different management approaches perform under each scenario. These results will serve as the basis for discussion with ADF&amp;G and stakeholders.</w:t>
      </w:r>
    </w:p>
    <w:p w14:paraId="5D7FCEB3" w14:textId="77777777" w:rsidR="006115BB" w:rsidRPr="00536464" w:rsidRDefault="00000000">
      <w:pPr>
        <w:spacing w:before="160" w:after="160"/>
        <w:rPr>
          <w:rFonts w:ascii="Times New Roman" w:hAnsi="Times New Roman" w:cs="Times New Roman"/>
          <w:sz w:val="24"/>
          <w:szCs w:val="24"/>
        </w:rPr>
      </w:pPr>
      <w:r w:rsidRPr="00536464">
        <w:rPr>
          <w:rFonts w:ascii="Times New Roman" w:hAnsi="Times New Roman" w:cs="Times New Roman"/>
          <w:b/>
          <w:bCs/>
          <w:sz w:val="24"/>
          <w:szCs w:val="24"/>
        </w:rPr>
        <w:t>Next Steps</w:t>
      </w:r>
    </w:p>
    <w:p w14:paraId="0B29898A" w14:textId="77777777" w:rsidR="006115BB" w:rsidRPr="00536464" w:rsidRDefault="00000000">
      <w:pPr>
        <w:spacing w:after="160"/>
        <w:rPr>
          <w:rFonts w:ascii="Times New Roman" w:hAnsi="Times New Roman" w:cs="Times New Roman"/>
          <w:sz w:val="24"/>
          <w:szCs w:val="24"/>
        </w:rPr>
      </w:pPr>
      <w:r w:rsidRPr="00536464">
        <w:rPr>
          <w:rFonts w:ascii="Times New Roman" w:hAnsi="Times New Roman" w:cs="Times New Roman"/>
          <w:sz w:val="24"/>
          <w:szCs w:val="24"/>
        </w:rPr>
        <w:t>To move forward, we need to convene a meeting with ADF&amp;G and stakeholders to review the operating model scenarios and agree on the final set of HCR candidates to carry into the full MSE analysis. The meeting should address:</w:t>
      </w:r>
    </w:p>
    <w:p w14:paraId="538E24CF" w14:textId="77777777" w:rsidR="006115BB" w:rsidRPr="00536464" w:rsidRDefault="00000000">
      <w:pPr>
        <w:pStyle w:val="ListParagraph"/>
        <w:numPr>
          <w:ilvl w:val="0"/>
          <w:numId w:val="1"/>
        </w:numPr>
        <w:spacing w:after="80"/>
        <w:rPr>
          <w:rFonts w:ascii="Times New Roman" w:hAnsi="Times New Roman" w:cs="Times New Roman"/>
          <w:sz w:val="24"/>
          <w:szCs w:val="24"/>
        </w:rPr>
      </w:pPr>
      <w:r w:rsidRPr="00536464">
        <w:rPr>
          <w:rFonts w:ascii="Times New Roman" w:hAnsi="Times New Roman" w:cs="Times New Roman"/>
          <w:sz w:val="24"/>
          <w:szCs w:val="24"/>
        </w:rPr>
        <w:t>Review and sign-off on the three operating model scenarios</w:t>
      </w:r>
    </w:p>
    <w:p w14:paraId="0F270373" w14:textId="77777777" w:rsidR="006115BB" w:rsidRPr="00536464" w:rsidRDefault="00000000">
      <w:pPr>
        <w:pStyle w:val="ListParagraph"/>
        <w:numPr>
          <w:ilvl w:val="0"/>
          <w:numId w:val="1"/>
        </w:numPr>
        <w:spacing w:after="80"/>
        <w:rPr>
          <w:rFonts w:ascii="Times New Roman" w:hAnsi="Times New Roman" w:cs="Times New Roman"/>
          <w:sz w:val="24"/>
          <w:szCs w:val="24"/>
        </w:rPr>
      </w:pPr>
      <w:r w:rsidRPr="00536464">
        <w:rPr>
          <w:rFonts w:ascii="Times New Roman" w:hAnsi="Times New Roman" w:cs="Times New Roman"/>
          <w:sz w:val="24"/>
          <w:szCs w:val="24"/>
        </w:rPr>
        <w:t>Discussion of performance metrics and stakeholder priorities (e.g., yield, stability, risk tolerance)</w:t>
      </w:r>
    </w:p>
    <w:p w14:paraId="66BC1BFB" w14:textId="77777777" w:rsidR="006115BB" w:rsidRPr="00536464" w:rsidRDefault="00000000">
      <w:pPr>
        <w:pStyle w:val="ListParagraph"/>
        <w:numPr>
          <w:ilvl w:val="0"/>
          <w:numId w:val="1"/>
        </w:numPr>
        <w:spacing w:after="240"/>
        <w:rPr>
          <w:rFonts w:ascii="Times New Roman" w:hAnsi="Times New Roman" w:cs="Times New Roman"/>
          <w:sz w:val="24"/>
          <w:szCs w:val="24"/>
        </w:rPr>
      </w:pPr>
      <w:r w:rsidRPr="00536464">
        <w:rPr>
          <w:rFonts w:ascii="Times New Roman" w:hAnsi="Times New Roman" w:cs="Times New Roman"/>
          <w:sz w:val="24"/>
          <w:szCs w:val="24"/>
        </w:rPr>
        <w:t>Selection of HCR candidates to evaluate in detail</w:t>
      </w:r>
    </w:p>
    <w:p w14:paraId="598A57C8" w14:textId="553EC732" w:rsidR="006115BB" w:rsidRPr="00536464" w:rsidRDefault="006115BB">
      <w:pPr>
        <w:spacing w:after="200"/>
        <w:rPr>
          <w:rFonts w:ascii="Times New Roman" w:hAnsi="Times New Roman" w:cs="Times New Roman"/>
          <w:sz w:val="24"/>
          <w:szCs w:val="24"/>
        </w:rPr>
      </w:pPr>
    </w:p>
    <w:sectPr w:rsidR="006115BB" w:rsidRPr="005364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05670A"/>
    <w:multiLevelType w:val="hybridMultilevel"/>
    <w:tmpl w:val="650AB564"/>
    <w:lvl w:ilvl="0" w:tplc="3FB20528">
      <w:start w:val="1"/>
      <w:numFmt w:val="bullet"/>
      <w:lvlText w:val="●"/>
      <w:lvlJc w:val="left"/>
      <w:pPr>
        <w:ind w:left="720" w:hanging="360"/>
      </w:pPr>
    </w:lvl>
    <w:lvl w:ilvl="1" w:tplc="4A561588">
      <w:start w:val="1"/>
      <w:numFmt w:val="bullet"/>
      <w:lvlText w:val="○"/>
      <w:lvlJc w:val="left"/>
      <w:pPr>
        <w:ind w:left="1440" w:hanging="360"/>
      </w:pPr>
    </w:lvl>
    <w:lvl w:ilvl="2" w:tplc="4B60FDB6">
      <w:start w:val="1"/>
      <w:numFmt w:val="bullet"/>
      <w:lvlText w:val="■"/>
      <w:lvlJc w:val="left"/>
      <w:pPr>
        <w:ind w:left="2160" w:hanging="360"/>
      </w:pPr>
    </w:lvl>
    <w:lvl w:ilvl="3" w:tplc="D728A558">
      <w:start w:val="1"/>
      <w:numFmt w:val="bullet"/>
      <w:lvlText w:val="●"/>
      <w:lvlJc w:val="left"/>
      <w:pPr>
        <w:ind w:left="2880" w:hanging="360"/>
      </w:pPr>
    </w:lvl>
    <w:lvl w:ilvl="4" w:tplc="CB9E09D0">
      <w:start w:val="1"/>
      <w:numFmt w:val="bullet"/>
      <w:lvlText w:val="○"/>
      <w:lvlJc w:val="left"/>
      <w:pPr>
        <w:ind w:left="3600" w:hanging="360"/>
      </w:pPr>
    </w:lvl>
    <w:lvl w:ilvl="5" w:tplc="D7CE9538">
      <w:start w:val="1"/>
      <w:numFmt w:val="bullet"/>
      <w:lvlText w:val="■"/>
      <w:lvlJc w:val="left"/>
      <w:pPr>
        <w:ind w:left="4320" w:hanging="360"/>
      </w:pPr>
    </w:lvl>
    <w:lvl w:ilvl="6" w:tplc="2102B1AE">
      <w:start w:val="1"/>
      <w:numFmt w:val="bullet"/>
      <w:lvlText w:val="●"/>
      <w:lvlJc w:val="left"/>
      <w:pPr>
        <w:ind w:left="5040" w:hanging="360"/>
      </w:pPr>
    </w:lvl>
    <w:lvl w:ilvl="7" w:tplc="D3DAFD76">
      <w:start w:val="1"/>
      <w:numFmt w:val="bullet"/>
      <w:lvlText w:val="●"/>
      <w:lvlJc w:val="left"/>
      <w:pPr>
        <w:ind w:left="5760" w:hanging="360"/>
      </w:pPr>
    </w:lvl>
    <w:lvl w:ilvl="8" w:tplc="32A06B3C">
      <w:start w:val="1"/>
      <w:numFmt w:val="bullet"/>
      <w:lvlText w:val="●"/>
      <w:lvlJc w:val="left"/>
      <w:pPr>
        <w:ind w:left="6480" w:hanging="360"/>
      </w:pPr>
    </w:lvl>
  </w:abstractNum>
  <w:num w:numId="1" w16cid:durableId="88194649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5BB"/>
    <w:rsid w:val="002B5EFB"/>
    <w:rsid w:val="00536464"/>
    <w:rsid w:val="005F4D57"/>
    <w:rsid w:val="006115BB"/>
    <w:rsid w:val="00A4308B"/>
    <w:rsid w:val="00AE191E"/>
    <w:rsid w:val="00C54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0B460C"/>
  <w15:docId w15:val="{E8CE0856-AE52-2345-B132-373F8B6BE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sz w:val="22"/>
      <w:szCs w:val="22"/>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195</Words>
  <Characters>1116</Characters>
  <Application>Microsoft Office Word</Application>
  <DocSecurity>0</DocSecurity>
  <Lines>9</Lines>
  <Paragraphs>2</Paragraphs>
  <ScaleCrop>false</ScaleCrop>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Cheng</cp:lastModifiedBy>
  <cp:revision>5</cp:revision>
  <dcterms:created xsi:type="dcterms:W3CDTF">2026-08-12T00:26:00Z</dcterms:created>
  <dcterms:modified xsi:type="dcterms:W3CDTF">2026-08-12T00:27:00Z</dcterms:modified>
</cp:coreProperties>
</file>