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Ind w:w="0" w:type="dxa"/>
      </w:tblPr>
      <w:tblGrid>
        <w:gridCol w:w="10080"/>
      </w:tblGrid>
      <w:tr>
        <w:tc>
          <w:tcPr>
            <w:tcW w:type="dxa" w:w="10080"/>
            <w:shd w:fill="0A192F"/>
            <w:tcMar>
              <w:top w:w="500" w:type="dxa"/>
              <w:start w:w="420" w:type="dxa"/>
              <w:bottom w:w="480" w:type="dxa"/>
              <w:end w:w="420" w:type="dxa"/>
            </w:tcMar>
            <w:vAlign w:val="center"/>
          </w:tcPr>
          <w:p>
            <w:pPr>
              <w:spacing w:after="520"/>
            </w:pPr>
            <w:r>
              <w:rPr>
                <w:rFonts w:ascii="Arial" w:hAnsi="Arial"/>
                <w:b/>
                <w:color w:val="21C7D9"/>
                <w:sz w:val="18"/>
              </w:rPr>
              <w:t>DEEP RESEARCH REPORT  /  2026</w:t>
            </w:r>
          </w:p>
          <w:p>
            <w:pPr>
              <w:pStyle w:val="Title"/>
              <w:spacing w:after="200"/>
            </w:pPr>
            <w:r>
              <w:t>Local Human</w:t>
              <w:br/>
              <w:t>Intent Controller</w:t>
            </w:r>
          </w:p>
          <w:p>
            <w:pPr>
              <w:spacing w:after="480"/>
            </w:pPr>
            <w:r>
              <w:rPr>
                <w:rFonts w:ascii="Arial" w:hAnsi="Arial"/>
                <w:color w:val="C9D6E8"/>
                <w:sz w:val="30"/>
              </w:rPr>
              <w:t>What is in the project, why it matters, and where the evidence is strongest</w:t>
            </w:r>
          </w:p>
          <w:p>
            <w:pPr>
              <w:spacing w:after="80"/>
            </w:pPr>
            <w:r>
              <w:rPr>
                <w:b/>
                <w:color w:val="B8F34A"/>
                <w:sz w:val="16"/>
              </w:rPr>
              <w:t>THE THESIS</w:t>
            </w:r>
          </w:p>
          <w:p>
            <w:pPr>
              <w:spacing w:after="600"/>
            </w:pPr>
            <w:r>
              <w:rPr>
                <w:b/>
                <w:color w:val="FFFFFF"/>
                <w:sz w:val="32"/>
              </w:rPr>
              <w:t>Keep routine execution local and deterministic. Make every success prove itself.</w:t>
            </w:r>
          </w:p>
          <w:p>
            <w:pPr>
              <w:spacing w:after="0"/>
            </w:pPr>
            <w:r>
              <w:rPr>
                <w:color w:val="94A7C0"/>
                <w:sz w:val="16"/>
              </w:rPr>
              <w:t>Prepared from the current working tree, project documentation, source code, tests, local benchmarks, and selected official public ecosystem sources.</w:t>
            </w:r>
          </w:p>
        </w:tc>
      </w:tr>
    </w:tbl>
    <w:p>
      <w:pPr>
        <w:spacing w:before="160"/>
        <w:jc w:val="right"/>
      </w:pPr>
      <w:r>
        <w:rPr>
          <w:color w:val="657184"/>
          <w:sz w:val="15"/>
        </w:rPr>
        <w:t>20 July 2026  •  Evidence-scoped assessment</w:t>
      </w:r>
    </w:p>
    <w:p>
      <w:r>
        <w:br w:type="page"/>
      </w:r>
    </w:p>
    <w:p>
      <w:pPr>
        <w:spacing w:before="40" w:after="80"/>
        <w:keepNext w:val="1"/>
      </w:pPr>
      <w:r>
        <w:rPr>
          <w:rFonts w:ascii="Arial" w:hAnsi="Arial"/>
          <w:b/>
          <w:color w:val="21C7D9"/>
          <w:sz w:val="16"/>
        </w:rPr>
        <w:t>EXECUTIVE BRIEF</w:t>
      </w:r>
    </w:p>
    <w:p>
      <w:pPr>
        <w:pStyle w:val="Heading1"/>
        <w:spacing w:before="0" w:after="100"/>
        <w:keepNext w:val="1"/>
      </w:pPr>
      <w:r>
        <w:t>The project in one page</w:t>
      </w:r>
    </w:p>
    <w:p>
      <w:pPr>
        <w:pStyle w:val="Subtitle"/>
        <w:spacing w:after="240"/>
        <w:keepNext w:val="1"/>
      </w:pPr>
      <w:r>
        <w:t>LHIC is a local-first control runtime—not another unconstrained “computer-use” agent.</w:t>
      </w:r>
    </w:p>
    <w:tbl>
      <w:tblPr>
        <w:tblW w:type="dxa" w:w="9360"/>
        <w:tblLayout w:type="fixed"/>
        <w:tblLook w:firstColumn="1" w:firstRow="1" w:lastColumn="0" w:lastRow="0" w:noHBand="0" w:noVBand="1" w:val="04A0"/>
        <w:tblInd w:w="0" w:type="dxa"/>
      </w:tblPr>
      <w:tblGrid>
        <w:gridCol w:w="10080"/>
      </w:tblGrid>
      <w:tr>
        <w:tc>
          <w:tcPr>
            <w:tcW w:type="dxa" w:w="10080"/>
            <w:shd w:fill="E8F8FA"/>
            <w:tcMar>
              <w:top w:w="140" w:type="dxa"/>
              <w:start w:w="180" w:type="dxa"/>
              <w:bottom w:w="140" w:type="dxa"/>
              <w:end w:w="180" w:type="dxa"/>
            </w:tcMar>
            <w:tcBorders>
              <w:start w:val="single" w:sz="30" w:color="21C7D9"/>
            </w:tcBorders>
          </w:tcPr>
          <w:p>
            <w:pPr>
              <w:spacing w:after="40"/>
            </w:pPr>
            <w:r>
              <w:rPr>
                <w:b/>
                <w:color w:val="21C7D9"/>
                <w:sz w:val="16"/>
              </w:rPr>
              <w:t>BOTTOM LINE</w:t>
            </w:r>
          </w:p>
          <w:p>
            <w:pPr>
              <w:spacing w:after="0" w:line="252" w:lineRule="auto"/>
            </w:pPr>
            <w:r>
              <w:rPr>
                <w:sz w:val="21"/>
              </w:rPr>
              <w:t>LHIC’s strongest and most defensible advantage is architectural: it separates model reasoning from execution, requires verifier evidence for every action plan, and keeps routine browser work on a model-free Fast Path. The current working tree is broad, tested, and unusually explicit about safety boundaries; its remaining challenge is external proof and release hardening, not conceptual completeness.</w:t>
            </w:r>
          </w:p>
        </w:tc>
      </w:tr>
    </w:tbl>
    <w:p>
      <w:pPr>
        <w:spacing w:after="0"/>
      </w:pPr>
    </w:p>
    <w:tbl>
      <w:tblPr>
        <w:tblW w:type="dxa" w:w="9360"/>
        <w:jc w:val="center"/>
        <w:tblLayout w:type="fixed"/>
        <w:tblLook w:firstColumn="1" w:firstRow="1" w:lastColumn="0" w:lastRow="0" w:noHBand="0" w:noVBand="1" w:val="04A0"/>
        <w:tblInd w:w="0" w:type="dxa"/>
      </w:tblPr>
      <w:tblGrid>
        <w:gridCol w:w="2520"/>
        <w:gridCol w:w="2520"/>
        <w:gridCol w:w="2520"/>
        <w:gridCol w:w="2520"/>
      </w:tblGrid>
      <w:tr>
        <w:tc>
          <w:tcPr>
            <w:tcW w:type="dxa" w:w="2340"/>
            <w:tcBorders>
              <w:top w:val="nil"/>
              <w:start w:val="nil"/>
              <w:bottom w:val="nil"/>
              <w:end w:val="nil"/>
              <w:insideH w:val="nil"/>
              <w:insideV w:val="nil"/>
            </w:tcBorders>
            <w:shd w:fill="0A192F"/>
            <w:tcMar>
              <w:top w:w="160" w:type="dxa"/>
              <w:start w:w="170" w:type="dxa"/>
              <w:bottom w:w="150" w:type="dxa"/>
              <w:end w:w="170" w:type="dxa"/>
            </w:tcMar>
          </w:tcPr>
          <w:p>
            <w:pPr>
              <w:spacing w:after="40"/>
              <w:jc w:val="left"/>
            </w:pPr>
            <w:r>
              <w:rPr>
                <w:rFonts w:ascii="Arial" w:hAnsi="Arial"/>
                <w:b/>
                <w:color w:val="B8F34A"/>
                <w:sz w:val="40"/>
              </w:rPr>
              <w:t>12</w:t>
            </w:r>
          </w:p>
          <w:p>
            <w:pPr>
              <w:spacing w:after="40"/>
            </w:pPr>
            <w:r>
              <w:rPr>
                <w:b/>
                <w:color w:val="FFFFFF"/>
                <w:sz w:val="16"/>
              </w:rPr>
              <w:t>PACKAGES</w:t>
            </w:r>
          </w:p>
          <w:p>
            <w:pPr>
              <w:spacing w:after="0"/>
            </w:pPr>
            <w:r>
              <w:rPr>
                <w:color w:val="C8D2E1"/>
                <w:sz w:val="15"/>
              </w:rPr>
              <w:t>Core runtime, memory, security, traces, skills, training</w:t>
            </w:r>
          </w:p>
        </w:tc>
        <w:tc>
          <w:tcPr>
            <w:tcW w:type="dxa" w:w="2340"/>
            <w:tcBorders>
              <w:top w:val="nil"/>
              <w:start w:val="nil"/>
              <w:bottom w:val="nil"/>
              <w:end w:val="nil"/>
              <w:insideH w:val="nil"/>
              <w:insideV w:val="nil"/>
            </w:tcBorders>
            <w:shd w:fill="10243E"/>
            <w:tcMar>
              <w:top w:w="160" w:type="dxa"/>
              <w:start w:w="170" w:type="dxa"/>
              <w:bottom w:w="150" w:type="dxa"/>
              <w:end w:w="170" w:type="dxa"/>
            </w:tcMar>
          </w:tcPr>
          <w:p>
            <w:pPr>
              <w:spacing w:after="40"/>
              <w:jc w:val="left"/>
            </w:pPr>
            <w:r>
              <w:rPr>
                <w:rFonts w:ascii="Arial" w:hAnsi="Arial"/>
                <w:b/>
                <w:color w:val="21C7D9"/>
                <w:sz w:val="40"/>
              </w:rPr>
              <w:t>4</w:t>
            </w:r>
          </w:p>
          <w:p>
            <w:pPr>
              <w:spacing w:after="40"/>
            </w:pPr>
            <w:r>
              <w:rPr>
                <w:b/>
                <w:color w:val="FFFFFF"/>
                <w:sz w:val="16"/>
              </w:rPr>
              <w:t>APPLICATIONS</w:t>
            </w:r>
          </w:p>
          <w:p>
            <w:pPr>
              <w:spacing w:after="0"/>
            </w:pPr>
            <w:r>
              <w:rPr>
                <w:color w:val="C8D2E1"/>
                <w:sz w:val="15"/>
              </w:rPr>
              <w:t>CLI, desktop, compatibility CLI, MCP server</w:t>
            </w:r>
          </w:p>
        </w:tc>
        <w:tc>
          <w:tcPr>
            <w:tcW w:type="dxa" w:w="2340"/>
            <w:tcBorders>
              <w:top w:val="nil"/>
              <w:start w:val="nil"/>
              <w:bottom w:val="nil"/>
              <w:end w:val="nil"/>
              <w:insideH w:val="nil"/>
              <w:insideV w:val="nil"/>
            </w:tcBorders>
            <w:shd w:fill="0A192F"/>
            <w:tcMar>
              <w:top w:w="160" w:type="dxa"/>
              <w:start w:w="170" w:type="dxa"/>
              <w:bottom w:w="150" w:type="dxa"/>
              <w:end w:w="170" w:type="dxa"/>
            </w:tcMar>
          </w:tcPr>
          <w:p>
            <w:pPr>
              <w:spacing w:after="40"/>
              <w:jc w:val="left"/>
            </w:pPr>
            <w:r>
              <w:rPr>
                <w:rFonts w:ascii="Arial" w:hAnsi="Arial"/>
                <w:b/>
                <w:color w:val="21C7D9"/>
                <w:sz w:val="40"/>
              </w:rPr>
              <w:t>93</w:t>
            </w:r>
          </w:p>
          <w:p>
            <w:pPr>
              <w:spacing w:after="40"/>
            </w:pPr>
            <w:r>
              <w:rPr>
                <w:b/>
                <w:color w:val="FFFFFF"/>
                <w:sz w:val="16"/>
              </w:rPr>
              <w:t>TEST FILES</w:t>
            </w:r>
          </w:p>
          <w:p>
            <w:pPr>
              <w:spacing w:after="0"/>
            </w:pPr>
            <w:r>
              <w:rPr>
                <w:color w:val="C8D2E1"/>
                <w:sz w:val="15"/>
              </w:rPr>
              <w:t>341 tests passed in this review</w:t>
            </w:r>
          </w:p>
        </w:tc>
        <w:tc>
          <w:tcPr>
            <w:tcW w:type="dxa" w:w="2340"/>
            <w:tcBorders>
              <w:top w:val="nil"/>
              <w:start w:val="nil"/>
              <w:bottom w:val="nil"/>
              <w:end w:val="nil"/>
              <w:insideH w:val="nil"/>
              <w:insideV w:val="nil"/>
            </w:tcBorders>
            <w:shd w:fill="10243E"/>
            <w:tcMar>
              <w:top w:w="160" w:type="dxa"/>
              <w:start w:w="170" w:type="dxa"/>
              <w:bottom w:w="150" w:type="dxa"/>
              <w:end w:w="170" w:type="dxa"/>
            </w:tcMar>
          </w:tcPr>
          <w:p>
            <w:pPr>
              <w:spacing w:after="40"/>
              <w:jc w:val="left"/>
            </w:pPr>
            <w:r>
              <w:rPr>
                <w:rFonts w:ascii="Arial" w:hAnsi="Arial"/>
                <w:b/>
                <w:color w:val="21C7D9"/>
                <w:sz w:val="40"/>
              </w:rPr>
              <w:t>~57k</w:t>
            </w:r>
          </w:p>
          <w:p>
            <w:pPr>
              <w:spacing w:after="40"/>
            </w:pPr>
            <w:r>
              <w:rPr>
                <w:b/>
                <w:color w:val="FFFFFF"/>
                <w:sz w:val="16"/>
              </w:rPr>
              <w:t>LINES</w:t>
            </w:r>
          </w:p>
          <w:p>
            <w:pPr>
              <w:spacing w:after="0"/>
            </w:pPr>
            <w:r>
              <w:rPr>
                <w:color w:val="C8D2E1"/>
                <w:sz w:val="15"/>
              </w:rPr>
              <w:t>Source, tests, tools; generated output excluded</w:t>
            </w:r>
          </w:p>
        </w:tc>
      </w:tr>
    </w:tbl>
    <w:p>
      <w:pPr>
        <w:spacing w:after="0"/>
      </w:pPr>
    </w:p>
    <w:p>
      <w:pPr>
        <w:pStyle w:val="Heading2"/>
        <w:keepNext w:val="1"/>
      </w:pPr>
      <w:r>
        <w:t>What it does</w:t>
      </w:r>
    </w:p>
    <w:p>
      <w:pPr>
        <w:pStyle w:val="BodyText"/>
        <w:keepLines w:val="1"/>
      </w:pPr>
      <w:r>
        <w:rPr>
          <w:i w:val="0"/>
        </w:rPr>
        <w:t>LHIC converts human intent into typed browser or desktop actions, executes those actions through direct local automation, verifies the declared postcondition, records a redacted trace, and can promote only independently verified behavior into reusable local skills. Optional model assistance is a bounded planner, not the executor of record.</w:t>
      </w:r>
    </w:p>
    <w:p>
      <w:pPr>
        <w:pStyle w:val="Heading2"/>
        <w:keepNext w:val="1"/>
      </w:pPr>
      <w:r>
        <w:t>Why it stands out</w:t>
      </w:r>
    </w:p>
    <w:p>
      <w:pPr>
        <w:pStyle w:val="ListBullet"/>
        <w:spacing w:after="80"/>
        <w:keepLines w:val="1"/>
      </w:pPr>
      <w:r>
        <w:t>A hard Fast Path boundary: no LLM calls, no MCP calls, and no raw-coordinate browser actions.</w:t>
      </w:r>
    </w:p>
    <w:p>
      <w:pPr>
        <w:pStyle w:val="ListBullet"/>
        <w:spacing w:after="80"/>
        <w:keepLines w:val="1"/>
      </w:pPr>
      <w:r>
        <w:t>Verifier-first plans: every step carries success evidence, and missing evidence fails closed.</w:t>
      </w:r>
    </w:p>
    <w:p>
      <w:pPr>
        <w:pStyle w:val="ListBullet"/>
        <w:spacing w:after="80"/>
        <w:keepLines w:val="1"/>
      </w:pPr>
      <w:r>
        <w:t>Human authority is cryptographically bound to the exact action, short-lived, and one-time-use.</w:t>
      </w:r>
    </w:p>
    <w:p>
      <w:pPr>
        <w:pStyle w:val="ListBullet"/>
        <w:spacing w:after="80"/>
        <w:keepLines w:val="1"/>
      </w:pPr>
      <w:r>
        <w:t>Learning is evidence-gated: three independent verified task IDs plus an unseen-UI holdout are required before promotion.</w:t>
      </w:r>
    </w:p>
    <w:p>
      <w:pPr>
        <w:pStyle w:val="ListBullet"/>
        <w:spacing w:after="80"/>
        <w:keepLines w:val="1"/>
      </w:pPr>
      <w:r>
        <w:t>The repository is not a single demo: it includes a desktop operator console, CLI, MCP adapter, browser pool, trace/security layers, shared-skill service, and training contracts.</w:t>
      </w:r>
    </w:p>
    <w:p>
      <w:pPr>
        <w:pStyle w:val="Heading2"/>
        <w:keepNext w:val="1"/>
      </w:pPr>
      <w:r>
        <w:t>Evidence posture</w:t>
      </w:r>
    </w:p>
    <w:p>
      <w:pPr>
        <w:pStyle w:val="BodyText"/>
        <w:keepLines w:val="1"/>
      </w:pPr>
      <w:r>
        <w:rPr>
          <w:i w:val="0"/>
        </w:rPr>
        <w:t>This report distinguishes local controlled evidence from external validation. The repository’s internal benchmark passed all configured gates, but no external BrowserGym/WorkArena result is published in the reviewed working tree. Accordingly, this report makes no state-of-the-art claim.</w:t>
      </w:r>
    </w:p>
    <w:p>
      <w:r>
        <w:br w:type="page"/>
      </w:r>
    </w:p>
    <w:p>
      <w:pPr>
        <w:spacing w:before="40" w:after="80"/>
        <w:keepNext w:val="1"/>
      </w:pPr>
      <w:r>
        <w:rPr>
          <w:rFonts w:ascii="Arial" w:hAnsi="Arial"/>
          <w:b/>
          <w:color w:val="21C7D9"/>
          <w:sz w:val="16"/>
        </w:rPr>
        <w:t>SCOPE &amp; METHOD</w:t>
      </w:r>
    </w:p>
    <w:p>
      <w:pPr>
        <w:pStyle w:val="Heading1"/>
        <w:spacing w:before="0" w:after="100"/>
        <w:keepNext w:val="1"/>
      </w:pPr>
      <w:r>
        <w:t>How this assessment was built</w:t>
      </w:r>
    </w:p>
    <w:p>
      <w:pPr>
        <w:pStyle w:val="Subtitle"/>
        <w:spacing w:after="240"/>
        <w:keepNext w:val="1"/>
      </w:pPr>
      <w:r>
        <w:t>Repository evidence was treated as primary; marketing claims were accepted only when the code or tests supported them.</w:t>
      </w:r>
    </w:p>
    <w:tbl>
      <w:tblPr>
        <w:tblStyle w:val="TableGrid"/>
        <w:tblW w:type="dxa" w:w="9360"/>
        <w:jc w:val="center"/>
        <w:tblLayout w:type="fixed"/>
        <w:tblLook w:firstColumn="1" w:firstRow="1" w:lastColumn="0" w:lastRow="0" w:noHBand="0" w:noVBand="1" w:val="04A0"/>
        <w:tblInd w:w="0" w:type="dxa"/>
      </w:tblPr>
      <w:tblGrid>
        <w:gridCol w:w="3360"/>
        <w:gridCol w:w="3360"/>
        <w:gridCol w:w="3360"/>
      </w:tblGrid>
      <w:tr>
        <w:trPr>
          <w:tblHeader w:val="true"/>
        </w:trPr>
        <w:tc>
          <w:tcPr>
            <w:tcW w:type="dxa" w:w="1700"/>
            <w:shd w:fill="0A192F"/>
            <w:tcMar>
              <w:top w:w="100" w:type="dxa"/>
              <w:start w:w="110" w:type="dxa"/>
              <w:bottom w:w="100" w:type="dxa"/>
              <w:end w:w="110" w:type="dxa"/>
            </w:tcMar>
          </w:tcPr>
          <w:p>
            <w:pPr>
              <w:spacing w:after="0"/>
            </w:pPr>
            <w:r>
              <w:rPr>
                <w:b/>
                <w:color w:val="FFFFFF"/>
                <w:sz w:val="17"/>
              </w:rPr>
              <w:t>Evidence layer</w:t>
            </w:r>
          </w:p>
        </w:tc>
        <w:tc>
          <w:tcPr>
            <w:tcW w:type="dxa" w:w="3300"/>
            <w:shd w:fill="0A192F"/>
            <w:tcMar>
              <w:top w:w="100" w:type="dxa"/>
              <w:start w:w="110" w:type="dxa"/>
              <w:bottom w:w="100" w:type="dxa"/>
              <w:end w:w="110" w:type="dxa"/>
            </w:tcMar>
          </w:tcPr>
          <w:p>
            <w:pPr>
              <w:spacing w:after="0"/>
            </w:pPr>
            <w:r>
              <w:rPr>
                <w:b/>
                <w:color w:val="FFFFFF"/>
                <w:sz w:val="17"/>
              </w:rPr>
              <w:t>Reviewed material</w:t>
            </w:r>
          </w:p>
        </w:tc>
        <w:tc>
          <w:tcPr>
            <w:tcW w:type="dxa" w:w="4360"/>
            <w:shd w:fill="0A192F"/>
            <w:tcMar>
              <w:top w:w="100" w:type="dxa"/>
              <w:start w:w="110" w:type="dxa"/>
              <w:bottom w:w="100" w:type="dxa"/>
              <w:end w:w="110" w:type="dxa"/>
            </w:tcMar>
          </w:tcPr>
          <w:p>
            <w:pPr>
              <w:spacing w:after="0"/>
            </w:pPr>
            <w:r>
              <w:rPr>
                <w:b/>
                <w:color w:val="FFFFFF"/>
                <w:sz w:val="17"/>
              </w:rPr>
              <w:t>How it is used</w:t>
            </w:r>
          </w:p>
        </w:tc>
      </w:tr>
      <w:tr>
        <w:tc>
          <w:tcPr>
            <w:tcW w:type="dxa" w:w="1700"/>
            <w:tcMar>
              <w:top w:w="85" w:type="dxa"/>
              <w:start w:w="110" w:type="dxa"/>
              <w:bottom w:w="85" w:type="dxa"/>
              <w:end w:w="110" w:type="dxa"/>
            </w:tcMar>
            <w:vAlign w:val="center"/>
          </w:tcPr>
          <w:p>
            <w:pPr>
              <w:spacing w:after="0" w:line="240" w:lineRule="auto"/>
            </w:pPr>
            <w:r>
              <w:rPr>
                <w:color w:val="273142"/>
                <w:sz w:val="16"/>
              </w:rPr>
              <w:t>Architecture &amp; intent</w:t>
            </w:r>
          </w:p>
        </w:tc>
        <w:tc>
          <w:tcPr>
            <w:tcW w:type="dxa" w:w="3300"/>
            <w:tcMar>
              <w:top w:w="85" w:type="dxa"/>
              <w:start w:w="110" w:type="dxa"/>
              <w:bottom w:w="85" w:type="dxa"/>
              <w:end w:w="110" w:type="dxa"/>
            </w:tcMar>
            <w:vAlign w:val="center"/>
          </w:tcPr>
          <w:p>
            <w:pPr>
              <w:spacing w:after="0" w:line="240" w:lineRule="auto"/>
            </w:pPr>
            <w:r>
              <w:rPr>
                <w:color w:val="273142"/>
                <w:sz w:val="16"/>
              </w:rPr>
              <w:t>README, architecture, execution plan, control/global-control docs</w:t>
            </w:r>
          </w:p>
        </w:tc>
        <w:tc>
          <w:tcPr>
            <w:tcW w:type="dxa" w:w="4360"/>
            <w:tcMar>
              <w:top w:w="85" w:type="dxa"/>
              <w:start w:w="110" w:type="dxa"/>
              <w:bottom w:w="85" w:type="dxa"/>
              <w:end w:w="110" w:type="dxa"/>
            </w:tcMar>
            <w:vAlign w:val="center"/>
          </w:tcPr>
          <w:p>
            <w:pPr>
              <w:spacing w:after="0" w:line="240" w:lineRule="auto"/>
            </w:pPr>
            <w:r>
              <w:rPr>
                <w:color w:val="273142"/>
                <w:sz w:val="16"/>
              </w:rPr>
              <w:t>Defines product thesis, boundaries, and declared operating model.</w:t>
            </w:r>
          </w:p>
        </w:tc>
      </w:tr>
      <w:tr>
        <w:tc>
          <w:tcPr>
            <w:tcW w:type="dxa" w:w="1700"/>
            <w:tcMar>
              <w:top w:w="85" w:type="dxa"/>
              <w:start w:w="110" w:type="dxa"/>
              <w:bottom w:w="85" w:type="dxa"/>
              <w:end w:w="110" w:type="dxa"/>
            </w:tcMar>
            <w:shd w:fill="F3F5F7"/>
            <w:vAlign w:val="center"/>
          </w:tcPr>
          <w:p>
            <w:pPr>
              <w:spacing w:after="0" w:line="240" w:lineRule="auto"/>
            </w:pPr>
            <w:r>
              <w:rPr>
                <w:color w:val="273142"/>
                <w:sz w:val="16"/>
              </w:rPr>
              <w:t>Implementation</w:t>
            </w:r>
          </w:p>
        </w:tc>
        <w:tc>
          <w:tcPr>
            <w:tcW w:type="dxa" w:w="3300"/>
            <w:tcMar>
              <w:top w:w="85" w:type="dxa"/>
              <w:start w:w="110" w:type="dxa"/>
              <w:bottom w:w="85" w:type="dxa"/>
              <w:end w:w="110" w:type="dxa"/>
            </w:tcMar>
            <w:shd w:fill="F3F5F7"/>
            <w:vAlign w:val="center"/>
          </w:tcPr>
          <w:p>
            <w:pPr>
              <w:spacing w:after="0" w:line="240" w:lineRule="auto"/>
            </w:pPr>
            <w:r>
              <w:rPr>
                <w:color w:val="273142"/>
                <w:sz w:val="16"/>
              </w:rPr>
              <w:t>Core schemas, controller/router, browser executor, verifier, memory, security, traces, skills, desktop and MCP code</w:t>
            </w:r>
          </w:p>
        </w:tc>
        <w:tc>
          <w:tcPr>
            <w:tcW w:type="dxa" w:w="4360"/>
            <w:tcMar>
              <w:top w:w="85" w:type="dxa"/>
              <w:start w:w="110" w:type="dxa"/>
              <w:bottom w:w="85" w:type="dxa"/>
              <w:end w:w="110" w:type="dxa"/>
            </w:tcMar>
            <w:shd w:fill="F3F5F7"/>
            <w:vAlign w:val="center"/>
          </w:tcPr>
          <w:p>
            <w:pPr>
              <w:spacing w:after="0" w:line="240" w:lineRule="auto"/>
            </w:pPr>
            <w:r>
              <w:rPr>
                <w:color w:val="273142"/>
                <w:sz w:val="16"/>
              </w:rPr>
              <w:t>Confirms that stated constraints exist in executable code.</w:t>
            </w:r>
          </w:p>
        </w:tc>
      </w:tr>
      <w:tr>
        <w:tc>
          <w:tcPr>
            <w:tcW w:type="dxa" w:w="1700"/>
            <w:tcMar>
              <w:top w:w="85" w:type="dxa"/>
              <w:start w:w="110" w:type="dxa"/>
              <w:bottom w:w="85" w:type="dxa"/>
              <w:end w:w="110" w:type="dxa"/>
            </w:tcMar>
            <w:vAlign w:val="center"/>
          </w:tcPr>
          <w:p>
            <w:pPr>
              <w:spacing w:after="0" w:line="240" w:lineRule="auto"/>
            </w:pPr>
            <w:r>
              <w:rPr>
                <w:color w:val="273142"/>
                <w:sz w:val="16"/>
              </w:rPr>
              <w:t>Verification</w:t>
            </w:r>
          </w:p>
        </w:tc>
        <w:tc>
          <w:tcPr>
            <w:tcW w:type="dxa" w:w="3300"/>
            <w:tcMar>
              <w:top w:w="85" w:type="dxa"/>
              <w:start w:w="110" w:type="dxa"/>
              <w:bottom w:w="85" w:type="dxa"/>
              <w:end w:w="110" w:type="dxa"/>
            </w:tcMar>
            <w:vAlign w:val="center"/>
          </w:tcPr>
          <w:p>
            <w:pPr>
              <w:spacing w:after="0" w:line="240" w:lineRule="auto"/>
            </w:pPr>
            <w:r>
              <w:rPr>
                <w:color w:val="273142"/>
                <w:sz w:val="16"/>
              </w:rPr>
              <w:t>Typecheck, 341 tests, lint, build, preflight, internal benchmark, controlled selector ablation</w:t>
            </w:r>
          </w:p>
        </w:tc>
        <w:tc>
          <w:tcPr>
            <w:tcW w:type="dxa" w:w="4360"/>
            <w:tcMar>
              <w:top w:w="85" w:type="dxa"/>
              <w:start w:w="110" w:type="dxa"/>
              <w:bottom w:w="85" w:type="dxa"/>
              <w:end w:w="110" w:type="dxa"/>
            </w:tcMar>
            <w:vAlign w:val="center"/>
          </w:tcPr>
          <w:p>
            <w:pPr>
              <w:spacing w:after="0" w:line="240" w:lineRule="auto"/>
            </w:pPr>
            <w:r>
              <w:rPr>
                <w:color w:val="273142"/>
                <w:sz w:val="16"/>
              </w:rPr>
              <w:t>Measures the current checkout, not a public release.</w:t>
            </w:r>
          </w:p>
        </w:tc>
      </w:tr>
      <w:tr>
        <w:tc>
          <w:tcPr>
            <w:tcW w:type="dxa" w:w="1700"/>
            <w:tcMar>
              <w:top w:w="85" w:type="dxa"/>
              <w:start w:w="110" w:type="dxa"/>
              <w:bottom w:w="85" w:type="dxa"/>
              <w:end w:w="110" w:type="dxa"/>
            </w:tcMar>
            <w:shd w:fill="F3F5F7"/>
            <w:vAlign w:val="center"/>
          </w:tcPr>
          <w:p>
            <w:pPr>
              <w:spacing w:after="0" w:line="240" w:lineRule="auto"/>
            </w:pPr>
            <w:r>
              <w:rPr>
                <w:color w:val="273142"/>
                <w:sz w:val="16"/>
              </w:rPr>
              <w:t>Release/public</w:t>
            </w:r>
          </w:p>
        </w:tc>
        <w:tc>
          <w:tcPr>
            <w:tcW w:type="dxa" w:w="3300"/>
            <w:tcMar>
              <w:top w:w="85" w:type="dxa"/>
              <w:start w:w="110" w:type="dxa"/>
              <w:bottom w:w="85" w:type="dxa"/>
              <w:end w:w="110" w:type="dxa"/>
            </w:tcMar>
            <w:shd w:fill="F3F5F7"/>
            <w:vAlign w:val="center"/>
          </w:tcPr>
          <w:p>
            <w:pPr>
              <w:spacing w:after="0" w:line="240" w:lineRule="auto"/>
            </w:pPr>
            <w:r>
              <w:rPr>
                <w:color w:val="273142"/>
                <w:sz w:val="16"/>
              </w:rPr>
              <w:t>Release status, npm registry metadata, official GitHub repository</w:t>
            </w:r>
          </w:p>
        </w:tc>
        <w:tc>
          <w:tcPr>
            <w:tcW w:type="dxa" w:w="4360"/>
            <w:tcMar>
              <w:top w:w="85" w:type="dxa"/>
              <w:start w:w="110" w:type="dxa"/>
              <w:bottom w:w="85" w:type="dxa"/>
              <w:end w:w="110" w:type="dxa"/>
            </w:tcMar>
            <w:shd w:fill="F3F5F7"/>
            <w:vAlign w:val="center"/>
          </w:tcPr>
          <w:p>
            <w:pPr>
              <w:spacing w:after="0" w:line="240" w:lineRule="auto"/>
            </w:pPr>
            <w:r>
              <w:rPr>
                <w:color w:val="273142"/>
                <w:sz w:val="16"/>
              </w:rPr>
              <w:t>Separates working-tree maturity from distributed artifacts.</w:t>
            </w:r>
          </w:p>
        </w:tc>
      </w:tr>
      <w:tr>
        <w:tc>
          <w:tcPr>
            <w:tcW w:type="dxa" w:w="1700"/>
            <w:tcMar>
              <w:top w:w="85" w:type="dxa"/>
              <w:start w:w="110" w:type="dxa"/>
              <w:bottom w:w="85" w:type="dxa"/>
              <w:end w:w="110" w:type="dxa"/>
            </w:tcMar>
            <w:vAlign w:val="center"/>
          </w:tcPr>
          <w:p>
            <w:pPr>
              <w:spacing w:after="0" w:line="240" w:lineRule="auto"/>
            </w:pPr>
            <w:r>
              <w:rPr>
                <w:color w:val="273142"/>
                <w:sz w:val="16"/>
              </w:rPr>
              <w:t>External context</w:t>
            </w:r>
          </w:p>
        </w:tc>
        <w:tc>
          <w:tcPr>
            <w:tcW w:type="dxa" w:w="3300"/>
            <w:tcMar>
              <w:top w:w="85" w:type="dxa"/>
              <w:start w:w="110" w:type="dxa"/>
              <w:bottom w:w="85" w:type="dxa"/>
              <w:end w:w="110" w:type="dxa"/>
            </w:tcMar>
            <w:vAlign w:val="center"/>
          </w:tcPr>
          <w:p>
            <w:pPr>
              <w:spacing w:after="0" w:line="240" w:lineRule="auto"/>
            </w:pPr>
            <w:r>
              <w:rPr>
                <w:color w:val="273142"/>
                <w:sz w:val="16"/>
              </w:rPr>
              <w:t>Official BrowserGym, WorkArena, and AgentLab repositories</w:t>
            </w:r>
          </w:p>
        </w:tc>
        <w:tc>
          <w:tcPr>
            <w:tcW w:type="dxa" w:w="4360"/>
            <w:tcMar>
              <w:top w:w="85" w:type="dxa"/>
              <w:start w:w="110" w:type="dxa"/>
              <w:bottom w:w="85" w:type="dxa"/>
              <w:end w:w="110" w:type="dxa"/>
            </w:tcMar>
            <w:vAlign w:val="center"/>
          </w:tcPr>
          <w:p>
            <w:pPr>
              <w:spacing w:after="0" w:line="240" w:lineRule="auto"/>
            </w:pPr>
            <w:r>
              <w:rPr>
                <w:color w:val="273142"/>
                <w:sz w:val="16"/>
              </w:rPr>
              <w:t>Frames a credible next evaluation path; not used as proof of LHIC performance.</w:t>
            </w:r>
          </w:p>
        </w:tc>
      </w:tr>
    </w:tbl>
    <w:p>
      <w:pPr>
        <w:spacing w:after="0"/>
      </w:pPr>
    </w:p>
    <w:p>
      <w:pPr>
        <w:pStyle w:val="Heading2"/>
        <w:keepNext w:val="1"/>
      </w:pPr>
      <w:r>
        <w:t>Snapshot under review</w:t>
      </w:r>
    </w:p>
    <w:p>
      <w:pPr>
        <w:pStyle w:val="ListBullet"/>
        <w:spacing w:after="80"/>
        <w:keepLines w:val="1"/>
      </w:pPr>
      <w:r>
        <w:t>Working tree date: 20 July 2026; current commit: d24d65589c2ab3c2ff50e64ba573f00cde4991a5.</w:t>
      </w:r>
    </w:p>
    <w:p>
      <w:pPr>
        <w:pStyle w:val="ListBullet"/>
        <w:spacing w:after="80"/>
        <w:keepLines w:val="1"/>
      </w:pPr>
      <w:r>
        <w:t>Local history: 60 commits; tags present: v0.1.1 and v0.1.4.</w:t>
      </w:r>
    </w:p>
    <w:p>
      <w:pPr>
        <w:pStyle w:val="ListBullet"/>
        <w:spacing w:after="80"/>
        <w:keepLines w:val="1"/>
      </w:pPr>
      <w:r>
        <w:t>The checkout contains uncommitted project updates. Findings describe this working tree unless explicitly labeled public/released.</w:t>
      </w:r>
    </w:p>
    <w:p>
      <w:pPr>
        <w:pStyle w:val="ListBullet"/>
        <w:spacing w:after="80"/>
        <w:keepLines w:val="1"/>
      </w:pPr>
      <w:r>
        <w:t>Public npm latest observed during research: @pinyencheng/lhic 0.1.1. Local release documentation describes 0.1.2 release-candidate CLI artifacts and a 0.1.4 desktop development build.</w:t>
      </w:r>
    </w:p>
    <w:p>
      <w:pPr>
        <w:pStyle w:val="Heading2"/>
        <w:keepNext w:val="1"/>
      </w:pPr>
      <w:r>
        <w:t>Claim discipline</w:t>
      </w:r>
    </w:p>
    <w:tbl>
      <w:tblPr>
        <w:tblStyle w:val="TableGrid"/>
        <w:tblW w:type="dxa" w:w="9360"/>
        <w:jc w:val="center"/>
        <w:tblLayout w:type="fixed"/>
        <w:tblLook w:firstColumn="1" w:firstRow="1" w:lastColumn="0" w:lastRow="0" w:noHBand="0" w:noVBand="1" w:val="04A0"/>
        <w:tblInd w:w="0" w:type="dxa"/>
      </w:tblPr>
      <w:tblGrid>
        <w:gridCol w:w="5040"/>
        <w:gridCol w:w="5040"/>
      </w:tblGrid>
      <w:tr>
        <w:trPr>
          <w:tblHeader w:val="true"/>
        </w:trPr>
        <w:tc>
          <w:tcPr>
            <w:tcW w:type="dxa" w:w="2300"/>
            <w:shd w:fill="0A192F"/>
            <w:tcMar>
              <w:top w:w="100" w:type="dxa"/>
              <w:start w:w="110" w:type="dxa"/>
              <w:bottom w:w="100" w:type="dxa"/>
              <w:end w:w="110" w:type="dxa"/>
            </w:tcMar>
          </w:tcPr>
          <w:p>
            <w:pPr>
              <w:spacing w:after="0"/>
            </w:pPr>
            <w:r>
              <w:rPr>
                <w:b/>
                <w:color w:val="FFFFFF"/>
                <w:sz w:val="17"/>
              </w:rPr>
              <w:t>Label</w:t>
            </w:r>
          </w:p>
        </w:tc>
        <w:tc>
          <w:tcPr>
            <w:tcW w:type="dxa" w:w="7060"/>
            <w:shd w:fill="0A192F"/>
            <w:tcMar>
              <w:top w:w="100" w:type="dxa"/>
              <w:start w:w="110" w:type="dxa"/>
              <w:bottom w:w="100" w:type="dxa"/>
              <w:end w:w="110" w:type="dxa"/>
            </w:tcMar>
          </w:tcPr>
          <w:p>
            <w:pPr>
              <w:spacing w:after="0"/>
            </w:pPr>
            <w:r>
              <w:rPr>
                <w:b/>
                <w:color w:val="FFFFFF"/>
                <w:sz w:val="17"/>
              </w:rPr>
              <w:t>Meaning in this report</w:t>
            </w:r>
          </w:p>
        </w:tc>
      </w:tr>
      <w:tr>
        <w:tc>
          <w:tcPr>
            <w:tcW w:type="dxa" w:w="2300"/>
            <w:tcMar>
              <w:top w:w="85" w:type="dxa"/>
              <w:start w:w="110" w:type="dxa"/>
              <w:bottom w:w="85" w:type="dxa"/>
              <w:end w:w="110" w:type="dxa"/>
            </w:tcMar>
            <w:vAlign w:val="center"/>
          </w:tcPr>
          <w:p>
            <w:pPr>
              <w:spacing w:after="0" w:line="240" w:lineRule="auto"/>
            </w:pPr>
            <w:r>
              <w:rPr>
                <w:color w:val="273142"/>
                <w:sz w:val="16"/>
              </w:rPr>
              <w:t>Implemented</w:t>
            </w:r>
          </w:p>
        </w:tc>
        <w:tc>
          <w:tcPr>
            <w:tcW w:type="dxa" w:w="7060"/>
            <w:tcMar>
              <w:top w:w="85" w:type="dxa"/>
              <w:start w:w="110" w:type="dxa"/>
              <w:bottom w:w="85" w:type="dxa"/>
              <w:end w:w="110" w:type="dxa"/>
            </w:tcMar>
            <w:vAlign w:val="center"/>
          </w:tcPr>
          <w:p>
            <w:pPr>
              <w:spacing w:after="0" w:line="240" w:lineRule="auto"/>
            </w:pPr>
            <w:r>
              <w:rPr>
                <w:color w:val="273142"/>
                <w:sz w:val="16"/>
              </w:rPr>
              <w:t>Directly observed in source and covered by tests or build validation.</w:t>
            </w:r>
          </w:p>
        </w:tc>
      </w:tr>
      <w:tr>
        <w:tc>
          <w:tcPr>
            <w:tcW w:type="dxa" w:w="2300"/>
            <w:tcMar>
              <w:top w:w="85" w:type="dxa"/>
              <w:start w:w="110" w:type="dxa"/>
              <w:bottom w:w="85" w:type="dxa"/>
              <w:end w:w="110" w:type="dxa"/>
            </w:tcMar>
            <w:shd w:fill="F3F5F7"/>
            <w:vAlign w:val="center"/>
          </w:tcPr>
          <w:p>
            <w:pPr>
              <w:spacing w:after="0" w:line="240" w:lineRule="auto"/>
            </w:pPr>
            <w:r>
              <w:rPr>
                <w:color w:val="273142"/>
                <w:sz w:val="16"/>
              </w:rPr>
              <w:t>Production-capable utility</w:t>
            </w:r>
          </w:p>
        </w:tc>
        <w:tc>
          <w:tcPr>
            <w:tcW w:type="dxa" w:w="7060"/>
            <w:tcMar>
              <w:top w:w="85" w:type="dxa"/>
              <w:start w:w="110" w:type="dxa"/>
              <w:bottom w:w="85" w:type="dxa"/>
              <w:end w:w="110" w:type="dxa"/>
            </w:tcMar>
            <w:shd w:fill="F3F5F7"/>
            <w:vAlign w:val="center"/>
          </w:tcPr>
          <w:p>
            <w:pPr>
              <w:spacing w:after="0" w:line="240" w:lineRule="auto"/>
            </w:pPr>
            <w:r>
              <w:rPr>
                <w:color w:val="273142"/>
                <w:sz w:val="16"/>
              </w:rPr>
              <w:t>Robust implementation exists, but the caller must still integrate lifecycle/configuration.</w:t>
            </w:r>
          </w:p>
        </w:tc>
      </w:tr>
      <w:tr>
        <w:tc>
          <w:tcPr>
            <w:tcW w:type="dxa" w:w="2300"/>
            <w:tcMar>
              <w:top w:w="85" w:type="dxa"/>
              <w:start w:w="110" w:type="dxa"/>
              <w:bottom w:w="85" w:type="dxa"/>
              <w:end w:w="110" w:type="dxa"/>
            </w:tcMar>
            <w:vAlign w:val="center"/>
          </w:tcPr>
          <w:p>
            <w:pPr>
              <w:spacing w:after="0" w:line="240" w:lineRule="auto"/>
            </w:pPr>
            <w:r>
              <w:rPr>
                <w:color w:val="273142"/>
                <w:sz w:val="16"/>
              </w:rPr>
              <w:t>Integration-ready</w:t>
            </w:r>
          </w:p>
        </w:tc>
        <w:tc>
          <w:tcPr>
            <w:tcW w:type="dxa" w:w="7060"/>
            <w:tcMar>
              <w:top w:w="85" w:type="dxa"/>
              <w:start w:w="110" w:type="dxa"/>
              <w:bottom w:w="85" w:type="dxa"/>
              <w:end w:w="110" w:type="dxa"/>
            </w:tcMar>
            <w:vAlign w:val="center"/>
          </w:tcPr>
          <w:p>
            <w:pPr>
              <w:spacing w:after="0" w:line="240" w:lineRule="auto"/>
            </w:pPr>
            <w:r>
              <w:rPr>
                <w:color w:val="273142"/>
                <w:sz w:val="16"/>
              </w:rPr>
              <w:t>Interfaces and core mechanisms exist; deployment wiring or secrets remain.</w:t>
            </w:r>
          </w:p>
        </w:tc>
      </w:tr>
      <w:tr>
        <w:tc>
          <w:tcPr>
            <w:tcW w:type="dxa" w:w="2300"/>
            <w:tcMar>
              <w:top w:w="85" w:type="dxa"/>
              <w:start w:w="110" w:type="dxa"/>
              <w:bottom w:w="85" w:type="dxa"/>
              <w:end w:w="110" w:type="dxa"/>
            </w:tcMar>
            <w:shd w:fill="F3F5F7"/>
            <w:vAlign w:val="center"/>
          </w:tcPr>
          <w:p>
            <w:pPr>
              <w:spacing w:after="0" w:line="240" w:lineRule="auto"/>
            </w:pPr>
            <w:r>
              <w:rPr>
                <w:color w:val="273142"/>
                <w:sz w:val="16"/>
              </w:rPr>
              <w:t>Experimental / gated</w:t>
            </w:r>
          </w:p>
        </w:tc>
        <w:tc>
          <w:tcPr>
            <w:tcW w:type="dxa" w:w="7060"/>
            <w:tcMar>
              <w:top w:w="85" w:type="dxa"/>
              <w:start w:w="110" w:type="dxa"/>
              <w:bottom w:w="85" w:type="dxa"/>
              <w:end w:w="110" w:type="dxa"/>
            </w:tcMar>
            <w:shd w:fill="F3F5F7"/>
            <w:vAlign w:val="center"/>
          </w:tcPr>
          <w:p>
            <w:pPr>
              <w:spacing w:after="0" w:line="240" w:lineRule="auto"/>
            </w:pPr>
            <w:r>
              <w:rPr>
                <w:color w:val="273142"/>
                <w:sz w:val="16"/>
              </w:rPr>
              <w:t>Useful evidence or adapter exists, but publication or external validation is not complete.</w:t>
            </w:r>
          </w:p>
        </w:tc>
      </w:tr>
    </w:tbl>
    <w:p>
      <w:pPr>
        <w:spacing w:after="0"/>
      </w:pPr>
    </w:p>
    <w:p>
      <w:pPr>
        <w:spacing w:before="40" w:after="80"/>
      </w:pPr>
      <w:r>
        <w:rPr>
          <w:i/>
          <w:color w:val="657184"/>
          <w:sz w:val="14"/>
        </w:rPr>
        <w:t>Method note: line counts exclude node_modules, dist, coverage, artifact bundles, benchmark results, and other generated/package outputs.</w:t>
      </w:r>
    </w:p>
    <w:p>
      <w:r>
        <w:br w:type="page"/>
      </w:r>
    </w:p>
    <w:p>
      <w:pPr>
        <w:spacing w:before="40" w:after="80"/>
        <w:keepNext w:val="1"/>
      </w:pPr>
      <w:r>
        <w:rPr>
          <w:rFonts w:ascii="Arial" w:hAnsi="Arial"/>
          <w:b/>
          <w:color w:val="21C7D9"/>
          <w:sz w:val="16"/>
        </w:rPr>
        <w:t>SYSTEM MODEL</w:t>
      </w:r>
    </w:p>
    <w:p>
      <w:pPr>
        <w:pStyle w:val="Heading1"/>
        <w:spacing w:before="0" w:after="100"/>
        <w:keepNext w:val="1"/>
      </w:pPr>
      <w:r>
        <w:t>A deterministic control loop with proof</w:t>
      </w:r>
    </w:p>
    <w:p>
      <w:pPr>
        <w:pStyle w:val="Subtitle"/>
        <w:spacing w:after="240"/>
        <w:keepNext w:val="1"/>
      </w:pPr>
      <w:r>
        <w:t>The architecture makes execution, verification, policy, and human approval first-class runtime concerns.</w:t>
      </w:r>
    </w:p>
    <w:tbl>
      <w:tblPr>
        <w:tblW w:type="dxa" w:w="9360"/>
        <w:tblLayout w:type="fixed"/>
        <w:tblLook w:firstColumn="1" w:firstRow="1" w:lastColumn="0" w:lastRow="0" w:noHBand="0" w:noVBand="1" w:val="04A0"/>
        <w:tblInd w:w="0" w:type="dxa"/>
      </w:tblPr>
      <w:tblGrid>
        <w:gridCol w:w="916"/>
        <w:gridCol w:w="916"/>
        <w:gridCol w:w="916"/>
        <w:gridCol w:w="916"/>
        <w:gridCol w:w="916"/>
        <w:gridCol w:w="916"/>
        <w:gridCol w:w="916"/>
        <w:gridCol w:w="916"/>
        <w:gridCol w:w="916"/>
        <w:gridCol w:w="916"/>
        <w:gridCol w:w="916"/>
      </w:tblGrid>
      <w:tr>
        <w:tc>
          <w:tcPr>
            <w:tcW w:type="dxa" w:w="1451"/>
            <w:tcBorders>
              <w:top w:val="nil"/>
              <w:start w:val="nil"/>
              <w:bottom w:val="nil"/>
              <w:end w:val="nil"/>
              <w:insideH w:val="nil"/>
              <w:insideV w:val="nil"/>
            </w:tcBorders>
            <w:shd w:fill="0A192F"/>
            <w:tcMar>
              <w:top w:w="110" w:type="dxa"/>
              <w:start w:w="100" w:type="dxa"/>
              <w:bottom w:w="110" w:type="dxa"/>
              <w:end w:w="100" w:type="dxa"/>
            </w:tcMar>
          </w:tcPr>
          <w:p>
            <w:pPr>
              <w:jc w:val="center"/>
            </w:pPr>
            <w:r>
              <w:rPr>
                <w:b/>
                <w:color w:val="FFFFFF"/>
                <w:sz w:val="17"/>
              </w:rPr>
              <w:t>INTENT</w:t>
            </w:r>
          </w:p>
          <w:p>
            <w:pPr>
              <w:spacing w:after="0"/>
              <w:jc w:val="center"/>
            </w:pPr>
            <w:r>
              <w:rPr>
                <w:color w:val="D5DEEA"/>
                <w:sz w:val="13"/>
              </w:rPr>
              <w:t>User goal</w:t>
            </w:r>
          </w:p>
        </w:tc>
        <w:tc>
          <w:tcPr>
            <w:tcW w:type="dxa" w:w="130"/>
            <w:tcBorders>
              <w:top w:val="nil"/>
              <w:start w:val="nil"/>
              <w:bottom w:val="nil"/>
              <w:end w:val="nil"/>
              <w:insideH w:val="nil"/>
              <w:insideV w:val="nil"/>
            </w:tcBorders>
          </w:tcPr>
          <w:p>
            <w:pPr>
              <w:spacing w:before="240"/>
              <w:jc w:val="center"/>
            </w:pPr>
            <w:r>
              <w:rPr>
                <w:b/>
                <w:color w:val="21C7D9"/>
                <w:sz w:val="24"/>
              </w:rPr>
              <w:t>→</w:t>
            </w:r>
          </w:p>
        </w:tc>
        <w:tc>
          <w:tcPr>
            <w:tcW w:type="dxa" w:w="1451"/>
            <w:tcBorders>
              <w:top w:val="nil"/>
              <w:start w:val="nil"/>
              <w:bottom w:val="nil"/>
              <w:end w:val="nil"/>
              <w:insideH w:val="nil"/>
              <w:insideV w:val="nil"/>
            </w:tcBorders>
            <w:shd w:fill="EAF4FA"/>
            <w:tcMar>
              <w:top w:w="110" w:type="dxa"/>
              <w:start w:w="100" w:type="dxa"/>
              <w:bottom w:w="110" w:type="dxa"/>
              <w:end w:w="100" w:type="dxa"/>
            </w:tcMar>
          </w:tcPr>
          <w:p>
            <w:pPr>
              <w:jc w:val="center"/>
            </w:pPr>
            <w:r>
              <w:rPr>
                <w:b/>
                <w:color w:val="172033"/>
                <w:sz w:val="17"/>
              </w:rPr>
              <w:t>SENSE</w:t>
            </w:r>
          </w:p>
          <w:p>
            <w:pPr>
              <w:spacing w:after="0"/>
              <w:jc w:val="center"/>
            </w:pPr>
            <w:r>
              <w:rPr>
                <w:color w:val="657184"/>
                <w:sz w:val="13"/>
              </w:rPr>
              <w:t>DOM + AX</w:t>
            </w:r>
          </w:p>
        </w:tc>
        <w:tc>
          <w:tcPr>
            <w:tcW w:type="dxa" w:w="130"/>
            <w:tcBorders>
              <w:top w:val="nil"/>
              <w:start w:val="nil"/>
              <w:bottom w:val="nil"/>
              <w:end w:val="nil"/>
              <w:insideH w:val="nil"/>
              <w:insideV w:val="nil"/>
            </w:tcBorders>
          </w:tcPr>
          <w:p>
            <w:pPr>
              <w:spacing w:before="240"/>
              <w:jc w:val="center"/>
            </w:pPr>
            <w:r>
              <w:rPr>
                <w:b/>
                <w:color w:val="21C7D9"/>
                <w:sz w:val="24"/>
              </w:rPr>
              <w:t>→</w:t>
            </w:r>
          </w:p>
        </w:tc>
        <w:tc>
          <w:tcPr>
            <w:tcW w:type="dxa" w:w="1451"/>
            <w:tcBorders>
              <w:top w:val="nil"/>
              <w:start w:val="nil"/>
              <w:bottom w:val="nil"/>
              <w:end w:val="nil"/>
              <w:insideH w:val="nil"/>
              <w:insideV w:val="nil"/>
            </w:tcBorders>
            <w:shd w:fill="EAF4FA"/>
            <w:tcMar>
              <w:top w:w="110" w:type="dxa"/>
              <w:start w:w="100" w:type="dxa"/>
              <w:bottom w:w="110" w:type="dxa"/>
              <w:end w:w="100" w:type="dxa"/>
            </w:tcMar>
          </w:tcPr>
          <w:p>
            <w:pPr>
              <w:jc w:val="center"/>
            </w:pPr>
            <w:r>
              <w:rPr>
                <w:b/>
                <w:color w:val="172033"/>
                <w:sz w:val="17"/>
              </w:rPr>
              <w:t>PLAN</w:t>
            </w:r>
          </w:p>
          <w:p>
            <w:pPr>
              <w:spacing w:after="0"/>
              <w:jc w:val="center"/>
            </w:pPr>
            <w:r>
              <w:rPr>
                <w:color w:val="657184"/>
                <w:sz w:val="13"/>
              </w:rPr>
              <w:t>Typed steps</w:t>
            </w:r>
          </w:p>
        </w:tc>
        <w:tc>
          <w:tcPr>
            <w:tcW w:type="dxa" w:w="130"/>
            <w:tcBorders>
              <w:top w:val="nil"/>
              <w:start w:val="nil"/>
              <w:bottom w:val="nil"/>
              <w:end w:val="nil"/>
              <w:insideH w:val="nil"/>
              <w:insideV w:val="nil"/>
            </w:tcBorders>
          </w:tcPr>
          <w:p>
            <w:pPr>
              <w:spacing w:before="240"/>
              <w:jc w:val="center"/>
            </w:pPr>
            <w:r>
              <w:rPr>
                <w:b/>
                <w:color w:val="21C7D9"/>
                <w:sz w:val="24"/>
              </w:rPr>
              <w:t>→</w:t>
            </w:r>
          </w:p>
        </w:tc>
        <w:tc>
          <w:tcPr>
            <w:tcW w:type="dxa" w:w="1451"/>
            <w:tcBorders>
              <w:top w:val="nil"/>
              <w:start w:val="nil"/>
              <w:bottom w:val="nil"/>
              <w:end w:val="nil"/>
              <w:insideH w:val="nil"/>
              <w:insideV w:val="nil"/>
            </w:tcBorders>
            <w:shd w:fill="EAF4FA"/>
            <w:tcMar>
              <w:top w:w="110" w:type="dxa"/>
              <w:start w:w="100" w:type="dxa"/>
              <w:bottom w:w="110" w:type="dxa"/>
              <w:end w:w="100" w:type="dxa"/>
            </w:tcMar>
          </w:tcPr>
          <w:p>
            <w:pPr>
              <w:jc w:val="center"/>
            </w:pPr>
            <w:r>
              <w:rPr>
                <w:b/>
                <w:color w:val="172033"/>
                <w:sz w:val="17"/>
              </w:rPr>
              <w:t>ACT</w:t>
            </w:r>
          </w:p>
          <w:p>
            <w:pPr>
              <w:spacing w:after="0"/>
              <w:jc w:val="center"/>
            </w:pPr>
            <w:r>
              <w:rPr>
                <w:color w:val="657184"/>
                <w:sz w:val="13"/>
              </w:rPr>
              <w:t>Local SDK</w:t>
            </w:r>
          </w:p>
        </w:tc>
        <w:tc>
          <w:tcPr>
            <w:tcW w:type="dxa" w:w="130"/>
            <w:tcBorders>
              <w:top w:val="nil"/>
              <w:start w:val="nil"/>
              <w:bottom w:val="nil"/>
              <w:end w:val="nil"/>
              <w:insideH w:val="nil"/>
              <w:insideV w:val="nil"/>
            </w:tcBorders>
          </w:tcPr>
          <w:p>
            <w:pPr>
              <w:spacing w:before="240"/>
              <w:jc w:val="center"/>
            </w:pPr>
            <w:r>
              <w:rPr>
                <w:b/>
                <w:color w:val="21C7D9"/>
                <w:sz w:val="24"/>
              </w:rPr>
              <w:t>→</w:t>
            </w:r>
          </w:p>
        </w:tc>
        <w:tc>
          <w:tcPr>
            <w:tcW w:type="dxa" w:w="1451"/>
            <w:tcBorders>
              <w:top w:val="nil"/>
              <w:start w:val="nil"/>
              <w:bottom w:val="nil"/>
              <w:end w:val="nil"/>
              <w:insideH w:val="nil"/>
              <w:insideV w:val="nil"/>
            </w:tcBorders>
            <w:shd w:fill="EAF4FA"/>
            <w:tcMar>
              <w:top w:w="110" w:type="dxa"/>
              <w:start w:w="100" w:type="dxa"/>
              <w:bottom w:w="110" w:type="dxa"/>
              <w:end w:w="100" w:type="dxa"/>
            </w:tcMar>
          </w:tcPr>
          <w:p>
            <w:pPr>
              <w:jc w:val="center"/>
            </w:pPr>
            <w:r>
              <w:rPr>
                <w:b/>
                <w:color w:val="172033"/>
                <w:sz w:val="17"/>
              </w:rPr>
              <w:t>PROVE</w:t>
            </w:r>
          </w:p>
          <w:p>
            <w:pPr>
              <w:spacing w:after="0"/>
              <w:jc w:val="center"/>
            </w:pPr>
            <w:r>
              <w:rPr>
                <w:color w:val="657184"/>
                <w:sz w:val="13"/>
              </w:rPr>
              <w:t>Evidence</w:t>
            </w:r>
          </w:p>
        </w:tc>
        <w:tc>
          <w:tcPr>
            <w:tcW w:type="dxa" w:w="130"/>
            <w:tcBorders>
              <w:top w:val="nil"/>
              <w:start w:val="nil"/>
              <w:bottom w:val="nil"/>
              <w:end w:val="nil"/>
              <w:insideH w:val="nil"/>
              <w:insideV w:val="nil"/>
            </w:tcBorders>
          </w:tcPr>
          <w:p>
            <w:pPr>
              <w:spacing w:before="240"/>
              <w:jc w:val="center"/>
            </w:pPr>
            <w:r>
              <w:rPr>
                <w:b/>
                <w:color w:val="21C7D9"/>
                <w:sz w:val="24"/>
              </w:rPr>
              <w:t>→</w:t>
            </w:r>
          </w:p>
        </w:tc>
        <w:tc>
          <w:tcPr>
            <w:tcW w:type="dxa" w:w="1451"/>
            <w:tcBorders>
              <w:top w:val="nil"/>
              <w:start w:val="nil"/>
              <w:bottom w:val="nil"/>
              <w:end w:val="nil"/>
              <w:insideH w:val="nil"/>
              <w:insideV w:val="nil"/>
            </w:tcBorders>
            <w:shd w:fill="0A192F"/>
            <w:tcMar>
              <w:top w:w="110" w:type="dxa"/>
              <w:start w:w="100" w:type="dxa"/>
              <w:bottom w:w="110" w:type="dxa"/>
              <w:end w:w="100" w:type="dxa"/>
            </w:tcMar>
          </w:tcPr>
          <w:p>
            <w:pPr>
              <w:jc w:val="center"/>
            </w:pPr>
            <w:r>
              <w:rPr>
                <w:b/>
                <w:color w:val="FFFFFF"/>
                <w:sz w:val="17"/>
              </w:rPr>
              <w:t>TRACE</w:t>
            </w:r>
          </w:p>
          <w:p>
            <w:pPr>
              <w:spacing w:after="0"/>
              <w:jc w:val="center"/>
            </w:pPr>
            <w:r>
              <w:rPr>
                <w:color w:val="D5DEEA"/>
                <w:sz w:val="13"/>
              </w:rPr>
              <w:t>Redacted</w:t>
            </w:r>
          </w:p>
        </w:tc>
      </w:tr>
    </w:tbl>
    <w:p>
      <w:pPr>
        <w:spacing w:after="0"/>
      </w:pPr>
    </w:p>
    <w:p>
      <w:pPr>
        <w:pStyle w:val="Heading2"/>
        <w:keepNext w:val="1"/>
      </w:pPr>
      <w:r>
        <w:t>The core contract</w:t>
      </w:r>
    </w:p>
    <w:p>
      <w:pPr>
        <w:pStyle w:val="BodyText"/>
        <w:keepLines w:val="1"/>
      </w:pPr>
      <w:r>
        <w:rPr>
          <w:i w:val="0"/>
        </w:rPr>
        <w:t>The browser-plan-v1 schema binds each action to a verifier. A plan is rejected if its action or postcondition is invalid, if policy disallows it, if a target resolves ambiguously, or if the declared success evidence cannot be established. This creates a stronger success definition than “the click completed.”</w:t>
      </w:r>
    </w:p>
    <w:tbl>
      <w:tblPr>
        <w:tblStyle w:val="TableGrid"/>
        <w:tblW w:type="dxa" w:w="9360"/>
        <w:jc w:val="center"/>
        <w:tblLayout w:type="fixed"/>
        <w:tblLook w:firstColumn="1" w:firstRow="1" w:lastColumn="0" w:lastRow="0" w:noHBand="0" w:noVBand="1" w:val="04A0"/>
        <w:tblInd w:w="0" w:type="dxa"/>
      </w:tblPr>
      <w:tblGrid>
        <w:gridCol w:w="3360"/>
        <w:gridCol w:w="3360"/>
        <w:gridCol w:w="3360"/>
      </w:tblGrid>
      <w:tr>
        <w:trPr>
          <w:tblHeader w:val="true"/>
        </w:trPr>
        <w:tc>
          <w:tcPr>
            <w:tcW w:type="dxa" w:w="1300"/>
            <w:shd w:fill="0A192F"/>
            <w:tcMar>
              <w:top w:w="100" w:type="dxa"/>
              <w:start w:w="110" w:type="dxa"/>
              <w:bottom w:w="100" w:type="dxa"/>
              <w:end w:w="110" w:type="dxa"/>
            </w:tcMar>
          </w:tcPr>
          <w:p>
            <w:pPr>
              <w:spacing w:after="0"/>
            </w:pPr>
            <w:r>
              <w:rPr>
                <w:b/>
                <w:color w:val="FFFFFF"/>
                <w:sz w:val="16"/>
              </w:rPr>
              <w:t>Stage</w:t>
            </w:r>
          </w:p>
        </w:tc>
        <w:tc>
          <w:tcPr>
            <w:tcW w:type="dxa" w:w="3400"/>
            <w:shd w:fill="0A192F"/>
            <w:tcMar>
              <w:top w:w="100" w:type="dxa"/>
              <w:start w:w="110" w:type="dxa"/>
              <w:bottom w:w="100" w:type="dxa"/>
              <w:end w:w="110" w:type="dxa"/>
            </w:tcMar>
          </w:tcPr>
          <w:p>
            <w:pPr>
              <w:spacing w:after="0"/>
            </w:pPr>
            <w:r>
              <w:rPr>
                <w:b/>
                <w:color w:val="FFFFFF"/>
                <w:sz w:val="16"/>
              </w:rPr>
              <w:t>Primary mechanism</w:t>
            </w:r>
          </w:p>
        </w:tc>
        <w:tc>
          <w:tcPr>
            <w:tcW w:type="dxa" w:w="4660"/>
            <w:shd w:fill="0A192F"/>
            <w:tcMar>
              <w:top w:w="100" w:type="dxa"/>
              <w:start w:w="110" w:type="dxa"/>
              <w:bottom w:w="100" w:type="dxa"/>
              <w:end w:w="110" w:type="dxa"/>
            </w:tcMar>
          </w:tcPr>
          <w:p>
            <w:pPr>
              <w:spacing w:after="0"/>
            </w:pPr>
            <w:r>
              <w:rPr>
                <w:b/>
                <w:color w:val="FFFFFF"/>
                <w:sz w:val="16"/>
              </w:rPr>
              <w:t>Key invariant</w:t>
            </w:r>
          </w:p>
        </w:tc>
      </w:tr>
      <w:tr>
        <w:tc>
          <w:tcPr>
            <w:tcW w:type="dxa" w:w="1300"/>
            <w:tcMar>
              <w:top w:w="85" w:type="dxa"/>
              <w:start w:w="110" w:type="dxa"/>
              <w:bottom w:w="85" w:type="dxa"/>
              <w:end w:w="110" w:type="dxa"/>
            </w:tcMar>
            <w:vAlign w:val="center"/>
          </w:tcPr>
          <w:p>
            <w:pPr>
              <w:spacing w:after="0" w:line="240" w:lineRule="auto"/>
            </w:pPr>
            <w:r>
              <w:rPr>
                <w:color w:val="273142"/>
                <w:sz w:val="15"/>
              </w:rPr>
              <w:t>Observe</w:t>
            </w:r>
          </w:p>
        </w:tc>
        <w:tc>
          <w:tcPr>
            <w:tcW w:type="dxa" w:w="3400"/>
            <w:tcMar>
              <w:top w:w="85" w:type="dxa"/>
              <w:start w:w="110" w:type="dxa"/>
              <w:bottom w:w="85" w:type="dxa"/>
              <w:end w:w="110" w:type="dxa"/>
            </w:tcMar>
            <w:vAlign w:val="center"/>
          </w:tcPr>
          <w:p>
            <w:pPr>
              <w:spacing w:after="0" w:line="240" w:lineRule="auto"/>
            </w:pPr>
            <w:r>
              <w:rPr>
                <w:color w:val="273142"/>
                <w:sz w:val="15"/>
              </w:rPr>
              <w:t>Playwright DOM and accessibility state normalization</w:t>
            </w:r>
          </w:p>
        </w:tc>
        <w:tc>
          <w:tcPr>
            <w:tcW w:type="dxa" w:w="4660"/>
            <w:tcMar>
              <w:top w:w="85" w:type="dxa"/>
              <w:start w:w="110" w:type="dxa"/>
              <w:bottom w:w="85" w:type="dxa"/>
              <w:end w:w="110" w:type="dxa"/>
            </w:tcMar>
            <w:vAlign w:val="center"/>
          </w:tcPr>
          <w:p>
            <w:pPr>
              <w:spacing w:after="0" w:line="240" w:lineRule="auto"/>
            </w:pPr>
            <w:r>
              <w:rPr>
                <w:color w:val="273142"/>
                <w:sz w:val="15"/>
              </w:rPr>
              <w:t>Prefer structured UI state over pixels.</w:t>
            </w:r>
          </w:p>
        </w:tc>
      </w:tr>
      <w:tr>
        <w:tc>
          <w:tcPr>
            <w:tcW w:type="dxa" w:w="1300"/>
            <w:tcMar>
              <w:top w:w="85" w:type="dxa"/>
              <w:start w:w="110" w:type="dxa"/>
              <w:bottom w:w="85" w:type="dxa"/>
              <w:end w:w="110" w:type="dxa"/>
            </w:tcMar>
            <w:shd w:fill="F3F5F7"/>
            <w:vAlign w:val="center"/>
          </w:tcPr>
          <w:p>
            <w:pPr>
              <w:spacing w:after="0" w:line="240" w:lineRule="auto"/>
            </w:pPr>
            <w:r>
              <w:rPr>
                <w:color w:val="273142"/>
                <w:sz w:val="15"/>
              </w:rPr>
              <w:t>Interpret</w:t>
            </w:r>
          </w:p>
        </w:tc>
        <w:tc>
          <w:tcPr>
            <w:tcW w:type="dxa" w:w="3400"/>
            <w:tcMar>
              <w:top w:w="85" w:type="dxa"/>
              <w:start w:w="110" w:type="dxa"/>
              <w:bottom w:w="85" w:type="dxa"/>
              <w:end w:w="110" w:type="dxa"/>
            </w:tcMar>
            <w:shd w:fill="F3F5F7"/>
            <w:vAlign w:val="center"/>
          </w:tcPr>
          <w:p>
            <w:pPr>
              <w:spacing w:after="0" w:line="240" w:lineRule="auto"/>
            </w:pPr>
            <w:r>
              <w:rPr>
                <w:color w:val="273142"/>
                <w:sz w:val="15"/>
              </w:rPr>
              <w:t>Local intent classification; optional bounded provider</w:t>
            </w:r>
          </w:p>
        </w:tc>
        <w:tc>
          <w:tcPr>
            <w:tcW w:type="dxa" w:w="4660"/>
            <w:tcMar>
              <w:top w:w="85" w:type="dxa"/>
              <w:start w:w="110" w:type="dxa"/>
              <w:bottom w:w="85" w:type="dxa"/>
              <w:end w:w="110" w:type="dxa"/>
            </w:tcMar>
            <w:shd w:fill="F3F5F7"/>
            <w:vAlign w:val="center"/>
          </w:tcPr>
          <w:p>
            <w:pPr>
              <w:spacing w:after="0" w:line="240" w:lineRule="auto"/>
            </w:pPr>
            <w:r>
              <w:rPr>
                <w:color w:val="273142"/>
                <w:sz w:val="15"/>
              </w:rPr>
              <w:t>Provider can propose, never expand authority or budget.</w:t>
            </w:r>
          </w:p>
        </w:tc>
      </w:tr>
      <w:tr>
        <w:tc>
          <w:tcPr>
            <w:tcW w:type="dxa" w:w="1300"/>
            <w:tcMar>
              <w:top w:w="85" w:type="dxa"/>
              <w:start w:w="110" w:type="dxa"/>
              <w:bottom w:w="85" w:type="dxa"/>
              <w:end w:w="110" w:type="dxa"/>
            </w:tcMar>
            <w:vAlign w:val="center"/>
          </w:tcPr>
          <w:p>
            <w:pPr>
              <w:spacing w:after="0" w:line="240" w:lineRule="auto"/>
            </w:pPr>
            <w:r>
              <w:rPr>
                <w:color w:val="273142"/>
                <w:sz w:val="15"/>
              </w:rPr>
              <w:t>Plan</w:t>
            </w:r>
          </w:p>
        </w:tc>
        <w:tc>
          <w:tcPr>
            <w:tcW w:type="dxa" w:w="3400"/>
            <w:tcMar>
              <w:top w:w="85" w:type="dxa"/>
              <w:start w:w="110" w:type="dxa"/>
              <w:bottom w:w="85" w:type="dxa"/>
              <w:end w:w="110" w:type="dxa"/>
            </w:tcMar>
            <w:vAlign w:val="center"/>
          </w:tcPr>
          <w:p>
            <w:pPr>
              <w:spacing w:after="0" w:line="240" w:lineRule="auto"/>
            </w:pPr>
            <w:r>
              <w:rPr>
                <w:color w:val="273142"/>
                <w:sz w:val="15"/>
              </w:rPr>
              <w:t>Typed schema and routing profile</w:t>
            </w:r>
          </w:p>
        </w:tc>
        <w:tc>
          <w:tcPr>
            <w:tcW w:type="dxa" w:w="4660"/>
            <w:tcMar>
              <w:top w:w="85" w:type="dxa"/>
              <w:start w:w="110" w:type="dxa"/>
              <w:bottom w:w="85" w:type="dxa"/>
              <w:end w:w="110" w:type="dxa"/>
            </w:tcMar>
            <w:vAlign w:val="center"/>
          </w:tcPr>
          <w:p>
            <w:pPr>
              <w:spacing w:after="0" w:line="240" w:lineRule="auto"/>
            </w:pPr>
            <w:r>
              <w:rPr>
                <w:color w:val="273142"/>
                <w:sz w:val="15"/>
              </w:rPr>
              <w:t>Every step includes a verifier and stays within the route budget.</w:t>
            </w:r>
          </w:p>
        </w:tc>
      </w:tr>
      <w:tr>
        <w:tc>
          <w:tcPr>
            <w:tcW w:type="dxa" w:w="1300"/>
            <w:tcMar>
              <w:top w:w="85" w:type="dxa"/>
              <w:start w:w="110" w:type="dxa"/>
              <w:bottom w:w="85" w:type="dxa"/>
              <w:end w:w="110" w:type="dxa"/>
            </w:tcMar>
            <w:shd w:fill="F3F5F7"/>
            <w:vAlign w:val="center"/>
          </w:tcPr>
          <w:p>
            <w:pPr>
              <w:spacing w:after="0" w:line="240" w:lineRule="auto"/>
            </w:pPr>
            <w:r>
              <w:rPr>
                <w:color w:val="273142"/>
                <w:sz w:val="15"/>
              </w:rPr>
              <w:t>Execute</w:t>
            </w:r>
          </w:p>
        </w:tc>
        <w:tc>
          <w:tcPr>
            <w:tcW w:type="dxa" w:w="3400"/>
            <w:tcMar>
              <w:top w:w="85" w:type="dxa"/>
              <w:start w:w="110" w:type="dxa"/>
              <w:bottom w:w="85" w:type="dxa"/>
              <w:end w:w="110" w:type="dxa"/>
            </w:tcMar>
            <w:shd w:fill="F3F5F7"/>
            <w:vAlign w:val="center"/>
          </w:tcPr>
          <w:p>
            <w:pPr>
              <w:spacing w:after="0" w:line="240" w:lineRule="auto"/>
            </w:pPr>
            <w:r>
              <w:rPr>
                <w:color w:val="273142"/>
                <w:sz w:val="15"/>
              </w:rPr>
              <w:t>Direct Playwright/CDP; native OS APIs for global control</w:t>
            </w:r>
          </w:p>
        </w:tc>
        <w:tc>
          <w:tcPr>
            <w:tcW w:type="dxa" w:w="4660"/>
            <w:tcMar>
              <w:top w:w="85" w:type="dxa"/>
              <w:start w:w="110" w:type="dxa"/>
              <w:bottom w:w="85" w:type="dxa"/>
              <w:end w:w="110" w:type="dxa"/>
            </w:tcMar>
            <w:shd w:fill="F3F5F7"/>
            <w:vAlign w:val="center"/>
          </w:tcPr>
          <w:p>
            <w:pPr>
              <w:spacing w:after="0" w:line="240" w:lineRule="auto"/>
            </w:pPr>
            <w:r>
              <w:rPr>
                <w:color w:val="273142"/>
                <w:sz w:val="15"/>
              </w:rPr>
              <w:t>Fast Path excludes LLMs and MCP.</w:t>
            </w:r>
          </w:p>
        </w:tc>
      </w:tr>
      <w:tr>
        <w:tc>
          <w:tcPr>
            <w:tcW w:type="dxa" w:w="1300"/>
            <w:tcMar>
              <w:top w:w="85" w:type="dxa"/>
              <w:start w:w="110" w:type="dxa"/>
              <w:bottom w:w="85" w:type="dxa"/>
              <w:end w:w="110" w:type="dxa"/>
            </w:tcMar>
            <w:vAlign w:val="center"/>
          </w:tcPr>
          <w:p>
            <w:pPr>
              <w:spacing w:after="0" w:line="240" w:lineRule="auto"/>
            </w:pPr>
            <w:r>
              <w:rPr>
                <w:color w:val="273142"/>
                <w:sz w:val="15"/>
              </w:rPr>
              <w:t>Verify</w:t>
            </w:r>
          </w:p>
        </w:tc>
        <w:tc>
          <w:tcPr>
            <w:tcW w:type="dxa" w:w="3400"/>
            <w:tcMar>
              <w:top w:w="85" w:type="dxa"/>
              <w:start w:w="110" w:type="dxa"/>
              <w:bottom w:w="85" w:type="dxa"/>
              <w:end w:w="110" w:type="dxa"/>
            </w:tcMar>
            <w:vAlign w:val="center"/>
          </w:tcPr>
          <w:p>
            <w:pPr>
              <w:spacing w:after="0" w:line="240" w:lineRule="auto"/>
            </w:pPr>
            <w:r>
              <w:rPr>
                <w:color w:val="273142"/>
                <w:sz w:val="15"/>
              </w:rPr>
              <w:t>URL/title/DOM/text/focus/value/download/process/window evidence</w:t>
            </w:r>
          </w:p>
        </w:tc>
        <w:tc>
          <w:tcPr>
            <w:tcW w:type="dxa" w:w="4660"/>
            <w:tcMar>
              <w:top w:w="85" w:type="dxa"/>
              <w:start w:w="110" w:type="dxa"/>
              <w:bottom w:w="85" w:type="dxa"/>
              <w:end w:w="110" w:type="dxa"/>
            </w:tcMar>
            <w:vAlign w:val="center"/>
          </w:tcPr>
          <w:p>
            <w:pPr>
              <w:spacing w:after="0" w:line="240" w:lineRule="auto"/>
            </w:pPr>
            <w:r>
              <w:rPr>
                <w:color w:val="273142"/>
                <w:sz w:val="15"/>
              </w:rPr>
              <w:t>No verifier evidence means no success.</w:t>
            </w:r>
          </w:p>
        </w:tc>
      </w:tr>
      <w:tr>
        <w:tc>
          <w:tcPr>
            <w:tcW w:type="dxa" w:w="1300"/>
            <w:tcMar>
              <w:top w:w="85" w:type="dxa"/>
              <w:start w:w="110" w:type="dxa"/>
              <w:bottom w:w="85" w:type="dxa"/>
              <w:end w:w="110" w:type="dxa"/>
            </w:tcMar>
            <w:shd w:fill="F3F5F7"/>
            <w:vAlign w:val="center"/>
          </w:tcPr>
          <w:p>
            <w:pPr>
              <w:spacing w:after="0" w:line="240" w:lineRule="auto"/>
            </w:pPr>
            <w:r>
              <w:rPr>
                <w:color w:val="273142"/>
                <w:sz w:val="15"/>
              </w:rPr>
              <w:t>Recover</w:t>
            </w:r>
          </w:p>
        </w:tc>
        <w:tc>
          <w:tcPr>
            <w:tcW w:type="dxa" w:w="3400"/>
            <w:tcMar>
              <w:top w:w="85" w:type="dxa"/>
              <w:start w:w="110" w:type="dxa"/>
              <w:bottom w:w="85" w:type="dxa"/>
              <w:end w:w="110" w:type="dxa"/>
            </w:tcMar>
            <w:shd w:fill="F3F5F7"/>
            <w:vAlign w:val="center"/>
          </w:tcPr>
          <w:p>
            <w:pPr>
              <w:spacing w:after="0" w:line="240" w:lineRule="auto"/>
            </w:pPr>
            <w:r>
              <w:rPr>
                <w:color w:val="273142"/>
                <w:sz w:val="15"/>
              </w:rPr>
              <w:t>One local recovery, then optional slow planner</w:t>
            </w:r>
          </w:p>
        </w:tc>
        <w:tc>
          <w:tcPr>
            <w:tcW w:type="dxa" w:w="4660"/>
            <w:tcMar>
              <w:top w:w="85" w:type="dxa"/>
              <w:start w:w="110" w:type="dxa"/>
              <w:bottom w:w="85" w:type="dxa"/>
              <w:end w:w="110" w:type="dxa"/>
            </w:tcMar>
            <w:shd w:fill="F3F5F7"/>
            <w:vAlign w:val="center"/>
          </w:tcPr>
          <w:p>
            <w:pPr>
              <w:spacing w:after="0" w:line="240" w:lineRule="auto"/>
            </w:pPr>
            <w:r>
              <w:rPr>
                <w:color w:val="273142"/>
                <w:sz w:val="15"/>
              </w:rPr>
              <w:t>Recovery remains budgeted and policy-bound.</w:t>
            </w:r>
          </w:p>
        </w:tc>
      </w:tr>
      <w:tr>
        <w:tc>
          <w:tcPr>
            <w:tcW w:type="dxa" w:w="1300"/>
            <w:tcMar>
              <w:top w:w="85" w:type="dxa"/>
              <w:start w:w="110" w:type="dxa"/>
              <w:bottom w:w="85" w:type="dxa"/>
              <w:end w:w="110" w:type="dxa"/>
            </w:tcMar>
            <w:vAlign w:val="center"/>
          </w:tcPr>
          <w:p>
            <w:pPr>
              <w:spacing w:after="0" w:line="240" w:lineRule="auto"/>
            </w:pPr>
            <w:r>
              <w:rPr>
                <w:color w:val="273142"/>
                <w:sz w:val="15"/>
              </w:rPr>
              <w:t>Learn</w:t>
            </w:r>
          </w:p>
        </w:tc>
        <w:tc>
          <w:tcPr>
            <w:tcW w:type="dxa" w:w="3400"/>
            <w:tcMar>
              <w:top w:w="85" w:type="dxa"/>
              <w:start w:w="110" w:type="dxa"/>
              <w:bottom w:w="85" w:type="dxa"/>
              <w:end w:w="110" w:type="dxa"/>
            </w:tcMar>
            <w:vAlign w:val="center"/>
          </w:tcPr>
          <w:p>
            <w:pPr>
              <w:spacing w:after="0" w:line="240" w:lineRule="auto"/>
            </w:pPr>
            <w:r>
              <w:rPr>
                <w:color w:val="273142"/>
                <w:sz w:val="15"/>
              </w:rPr>
              <w:t>Verified skill memory and selector history</w:t>
            </w:r>
          </w:p>
        </w:tc>
        <w:tc>
          <w:tcPr>
            <w:tcW w:type="dxa" w:w="4660"/>
            <w:tcMar>
              <w:top w:w="85" w:type="dxa"/>
              <w:start w:w="110" w:type="dxa"/>
              <w:bottom w:w="85" w:type="dxa"/>
              <w:end w:w="110" w:type="dxa"/>
            </w:tcMar>
            <w:vAlign w:val="center"/>
          </w:tcPr>
          <w:p>
            <w:pPr>
              <w:spacing w:after="0" w:line="240" w:lineRule="auto"/>
            </w:pPr>
            <w:r>
              <w:rPr>
                <w:color w:val="273142"/>
                <w:sz w:val="15"/>
              </w:rPr>
              <w:t>Only independently verified, held-out behavior is promoted.</w:t>
            </w:r>
          </w:p>
        </w:tc>
      </w:tr>
    </w:tbl>
    <w:p>
      <w:pPr>
        <w:spacing w:after="0"/>
      </w:pPr>
    </w:p>
    <w:p>
      <w:pPr>
        <w:pStyle w:val="Heading2"/>
        <w:keepNext w:val="1"/>
      </w:pPr>
      <w:r>
        <w:t>Three execution lanes</w:t>
      </w:r>
    </w:p>
    <w:tbl>
      <w:tblPr>
        <w:tblStyle w:val="TableGrid"/>
        <w:tblW w:type="dxa" w:w="9360"/>
        <w:jc w:val="center"/>
        <w:tblLayout w:type="fixed"/>
        <w:tblLook w:firstColumn="1" w:firstRow="1" w:lastColumn="0" w:lastRow="0" w:noHBand="0" w:noVBand="1" w:val="04A0"/>
        <w:tblInd w:w="0" w:type="dxa"/>
      </w:tblPr>
      <w:tblGrid>
        <w:gridCol w:w="3360"/>
        <w:gridCol w:w="3360"/>
        <w:gridCol w:w="3360"/>
      </w:tblGrid>
      <w:tr>
        <w:trPr>
          <w:tblHeader w:val="true"/>
        </w:trPr>
        <w:tc>
          <w:tcPr>
            <w:tcW w:type="dxa" w:w="1500"/>
            <w:shd w:fill="0A192F"/>
            <w:tcMar>
              <w:top w:w="100" w:type="dxa"/>
              <w:start w:w="110" w:type="dxa"/>
              <w:bottom w:w="100" w:type="dxa"/>
              <w:end w:w="110" w:type="dxa"/>
            </w:tcMar>
          </w:tcPr>
          <w:p>
            <w:pPr>
              <w:spacing w:after="0"/>
            </w:pPr>
            <w:r>
              <w:rPr>
                <w:b/>
                <w:color w:val="FFFFFF"/>
                <w:sz w:val="17"/>
              </w:rPr>
              <w:t>Lane</w:t>
            </w:r>
          </w:p>
        </w:tc>
        <w:tc>
          <w:tcPr>
            <w:tcW w:type="dxa" w:w="3600"/>
            <w:shd w:fill="0A192F"/>
            <w:tcMar>
              <w:top w:w="100" w:type="dxa"/>
              <w:start w:w="110" w:type="dxa"/>
              <w:bottom w:w="100" w:type="dxa"/>
              <w:end w:w="110" w:type="dxa"/>
            </w:tcMar>
          </w:tcPr>
          <w:p>
            <w:pPr>
              <w:spacing w:after="0"/>
            </w:pPr>
            <w:r>
              <w:rPr>
                <w:b/>
                <w:color w:val="FFFFFF"/>
                <w:sz w:val="17"/>
              </w:rPr>
              <w:t>When it runs</w:t>
            </w:r>
          </w:p>
        </w:tc>
        <w:tc>
          <w:tcPr>
            <w:tcW w:type="dxa" w:w="4260"/>
            <w:shd w:fill="0A192F"/>
            <w:tcMar>
              <w:top w:w="100" w:type="dxa"/>
              <w:start w:w="110" w:type="dxa"/>
              <w:bottom w:w="100" w:type="dxa"/>
              <w:end w:w="110" w:type="dxa"/>
            </w:tcMar>
          </w:tcPr>
          <w:p>
            <w:pPr>
              <w:spacing w:after="0"/>
            </w:pPr>
            <w:r>
              <w:rPr>
                <w:b/>
                <w:color w:val="FFFFFF"/>
                <w:sz w:val="17"/>
              </w:rPr>
              <w:t>Boundary</w:t>
            </w:r>
          </w:p>
        </w:tc>
      </w:tr>
      <w:tr>
        <w:tc>
          <w:tcPr>
            <w:tcW w:type="dxa" w:w="1500"/>
            <w:tcMar>
              <w:top w:w="85" w:type="dxa"/>
              <w:start w:w="110" w:type="dxa"/>
              <w:bottom w:w="85" w:type="dxa"/>
              <w:end w:w="110" w:type="dxa"/>
            </w:tcMar>
            <w:vAlign w:val="center"/>
          </w:tcPr>
          <w:p>
            <w:pPr>
              <w:spacing w:after="0" w:line="240" w:lineRule="auto"/>
            </w:pPr>
            <w:r>
              <w:rPr>
                <w:color w:val="273142"/>
                <w:sz w:val="16"/>
              </w:rPr>
              <w:t>Fast Path</w:t>
            </w:r>
          </w:p>
        </w:tc>
        <w:tc>
          <w:tcPr>
            <w:tcW w:type="dxa" w:w="3600"/>
            <w:tcMar>
              <w:top w:w="85" w:type="dxa"/>
              <w:start w:w="110" w:type="dxa"/>
              <w:bottom w:w="85" w:type="dxa"/>
              <w:end w:w="110" w:type="dxa"/>
            </w:tcMar>
            <w:vAlign w:val="center"/>
          </w:tcPr>
          <w:p>
            <w:pPr>
              <w:spacing w:after="0" w:line="240" w:lineRule="auto"/>
            </w:pPr>
            <w:r>
              <w:rPr>
                <w:color w:val="273142"/>
                <w:sz w:val="16"/>
              </w:rPr>
              <w:t>High-confidence, low-risk semantic browser work</w:t>
            </w:r>
          </w:p>
        </w:tc>
        <w:tc>
          <w:tcPr>
            <w:tcW w:type="dxa" w:w="4260"/>
            <w:tcMar>
              <w:top w:w="85" w:type="dxa"/>
              <w:start w:w="110" w:type="dxa"/>
              <w:bottom w:w="85" w:type="dxa"/>
              <w:end w:w="110" w:type="dxa"/>
            </w:tcMar>
            <w:vAlign w:val="center"/>
          </w:tcPr>
          <w:p>
            <w:pPr>
              <w:spacing w:after="0" w:line="240" w:lineRule="auto"/>
            </w:pPr>
            <w:r>
              <w:rPr>
                <w:color w:val="273142"/>
                <w:sz w:val="16"/>
              </w:rPr>
              <w:t>Direct local SDK only; zero model and MCP calls.</w:t>
            </w:r>
          </w:p>
        </w:tc>
      </w:tr>
      <w:tr>
        <w:tc>
          <w:tcPr>
            <w:tcW w:type="dxa" w:w="1500"/>
            <w:tcMar>
              <w:top w:w="85" w:type="dxa"/>
              <w:start w:w="110" w:type="dxa"/>
              <w:bottom w:w="85" w:type="dxa"/>
              <w:end w:w="110" w:type="dxa"/>
            </w:tcMar>
            <w:shd w:fill="F3F5F7"/>
            <w:vAlign w:val="center"/>
          </w:tcPr>
          <w:p>
            <w:pPr>
              <w:spacing w:after="0" w:line="240" w:lineRule="auto"/>
            </w:pPr>
            <w:r>
              <w:rPr>
                <w:color w:val="273142"/>
                <w:sz w:val="16"/>
              </w:rPr>
              <w:t>Slow Path</w:t>
            </w:r>
          </w:p>
        </w:tc>
        <w:tc>
          <w:tcPr>
            <w:tcW w:type="dxa" w:w="3600"/>
            <w:tcMar>
              <w:top w:w="85" w:type="dxa"/>
              <w:start w:w="110" w:type="dxa"/>
              <w:bottom w:w="85" w:type="dxa"/>
              <w:end w:w="110" w:type="dxa"/>
            </w:tcMar>
            <w:shd w:fill="F3F5F7"/>
            <w:vAlign w:val="center"/>
          </w:tcPr>
          <w:p>
            <w:pPr>
              <w:spacing w:after="0" w:line="240" w:lineRule="auto"/>
            </w:pPr>
            <w:r>
              <w:rPr>
                <w:color w:val="273142"/>
                <w:sz w:val="16"/>
              </w:rPr>
              <w:t>Ambiguous or novel work within provider budget</w:t>
            </w:r>
          </w:p>
        </w:tc>
        <w:tc>
          <w:tcPr>
            <w:tcW w:type="dxa" w:w="4260"/>
            <w:tcMar>
              <w:top w:w="85" w:type="dxa"/>
              <w:start w:w="110" w:type="dxa"/>
              <w:bottom w:w="85" w:type="dxa"/>
              <w:end w:w="110" w:type="dxa"/>
            </w:tcMar>
            <w:shd w:fill="F3F5F7"/>
            <w:vAlign w:val="center"/>
          </w:tcPr>
          <w:p>
            <w:pPr>
              <w:spacing w:after="0" w:line="240" w:lineRule="auto"/>
            </w:pPr>
            <w:r>
              <w:rPr>
                <w:color w:val="273142"/>
                <w:sz w:val="16"/>
              </w:rPr>
              <w:t>Strict structured output, redacted request, store:false, 30-second fail-closed timeout, full revalidation.</w:t>
            </w:r>
          </w:p>
        </w:tc>
      </w:tr>
      <w:tr>
        <w:tc>
          <w:tcPr>
            <w:tcW w:type="dxa" w:w="1500"/>
            <w:tcMar>
              <w:top w:w="85" w:type="dxa"/>
              <w:start w:w="110" w:type="dxa"/>
              <w:bottom w:w="85" w:type="dxa"/>
              <w:end w:w="110" w:type="dxa"/>
            </w:tcMar>
            <w:vAlign w:val="center"/>
          </w:tcPr>
          <w:p>
            <w:pPr>
              <w:spacing w:after="0" w:line="240" w:lineRule="auto"/>
            </w:pPr>
            <w:r>
              <w:rPr>
                <w:color w:val="273142"/>
                <w:sz w:val="16"/>
              </w:rPr>
              <w:t>Human approval / global control</w:t>
            </w:r>
          </w:p>
        </w:tc>
        <w:tc>
          <w:tcPr>
            <w:tcW w:type="dxa" w:w="3600"/>
            <w:tcMar>
              <w:top w:w="85" w:type="dxa"/>
              <w:start w:w="110" w:type="dxa"/>
              <w:bottom w:w="85" w:type="dxa"/>
              <w:end w:w="110" w:type="dxa"/>
            </w:tcMar>
            <w:vAlign w:val="center"/>
          </w:tcPr>
          <w:p>
            <w:pPr>
              <w:spacing w:after="0" w:line="240" w:lineRule="auto"/>
            </w:pPr>
            <w:r>
              <w:rPr>
                <w:color w:val="273142"/>
                <w:sz w:val="16"/>
              </w:rPr>
              <w:t>High/unknown-risk actions and native desktop operations</w:t>
            </w:r>
          </w:p>
        </w:tc>
        <w:tc>
          <w:tcPr>
            <w:tcW w:type="dxa" w:w="4260"/>
            <w:tcMar>
              <w:top w:w="85" w:type="dxa"/>
              <w:start w:w="110" w:type="dxa"/>
              <w:bottom w:w="85" w:type="dxa"/>
              <w:end w:w="110" w:type="dxa"/>
            </w:tcMar>
            <w:vAlign w:val="center"/>
          </w:tcPr>
          <w:p>
            <w:pPr>
              <w:spacing w:after="0" w:line="240" w:lineRule="auto"/>
            </w:pPr>
            <w:r>
              <w:rPr>
                <w:color w:val="273142"/>
                <w:sz w:val="16"/>
              </w:rPr>
              <w:t>Exact-action approval; pre/post process and active-window verification.</w:t>
            </w:r>
          </w:p>
        </w:tc>
      </w:tr>
    </w:tbl>
    <w:p>
      <w:pPr>
        <w:spacing w:after="0"/>
      </w:pPr>
    </w:p>
    <w:p>
      <w:r>
        <w:br w:type="page"/>
      </w:r>
    </w:p>
    <w:p>
      <w:pPr>
        <w:spacing w:before="40" w:after="80"/>
        <w:keepNext w:val="1"/>
      </w:pPr>
      <w:r>
        <w:rPr>
          <w:rFonts w:ascii="Arial" w:hAnsi="Arial"/>
          <w:b/>
          <w:color w:val="21C7D9"/>
          <w:sz w:val="16"/>
        </w:rPr>
        <w:t>REPOSITORY ANATOMY</w:t>
      </w:r>
    </w:p>
    <w:p>
      <w:pPr>
        <w:pStyle w:val="Heading1"/>
        <w:spacing w:before="0" w:after="100"/>
        <w:keepNext w:val="1"/>
      </w:pPr>
      <w:r>
        <w:t>What is actually in the project</w:t>
      </w:r>
    </w:p>
    <w:p>
      <w:pPr>
        <w:pStyle w:val="Subtitle"/>
        <w:spacing w:after="240"/>
        <w:keepNext w:val="1"/>
      </w:pPr>
      <w:r>
        <w:t>A TypeScript monorepo spanning runtime primitives, user-facing applications, a shared-skill service, and specialized training contracts.</w:t>
      </w:r>
    </w:p>
    <w:p>
      <w:pPr>
        <w:pStyle w:val="Heading2"/>
        <w:keepNext w:val="1"/>
      </w:pPr>
      <w:r>
        <w:t>Core packages</w:t>
      </w:r>
    </w:p>
    <w:tbl>
      <w:tblPr>
        <w:tblStyle w:val="TableGrid"/>
        <w:tblW w:type="dxa" w:w="9360"/>
        <w:jc w:val="center"/>
        <w:tblLayout w:type="fixed"/>
        <w:tblLook w:firstColumn="1" w:firstRow="1" w:lastColumn="0" w:lastRow="0" w:noHBand="0" w:noVBand="1" w:val="04A0"/>
        <w:tblInd w:w="0" w:type="dxa"/>
      </w:tblPr>
      <w:tblGrid>
        <w:gridCol w:w="3360"/>
        <w:gridCol w:w="3360"/>
        <w:gridCol w:w="3360"/>
      </w:tblGrid>
      <w:tr>
        <w:trPr>
          <w:tblHeader w:val="true"/>
        </w:trPr>
        <w:tc>
          <w:tcPr>
            <w:tcW w:type="dxa" w:w="1600"/>
            <w:shd w:fill="0A192F"/>
            <w:tcMar>
              <w:top w:w="100" w:type="dxa"/>
              <w:start w:w="110" w:type="dxa"/>
              <w:bottom w:w="100" w:type="dxa"/>
              <w:end w:w="110" w:type="dxa"/>
            </w:tcMar>
          </w:tcPr>
          <w:p>
            <w:pPr>
              <w:spacing w:after="0"/>
            </w:pPr>
            <w:r>
              <w:rPr>
                <w:b/>
                <w:color w:val="FFFFFF"/>
                <w:sz w:val="16"/>
              </w:rPr>
              <w:t>Package</w:t>
            </w:r>
          </w:p>
        </w:tc>
        <w:tc>
          <w:tcPr>
            <w:tcW w:type="dxa" w:w="2200"/>
            <w:shd w:fill="0A192F"/>
            <w:tcMar>
              <w:top w:w="100" w:type="dxa"/>
              <w:start w:w="110" w:type="dxa"/>
              <w:bottom w:w="100" w:type="dxa"/>
              <w:end w:w="110" w:type="dxa"/>
            </w:tcMar>
          </w:tcPr>
          <w:p>
            <w:pPr>
              <w:spacing w:after="0"/>
            </w:pPr>
            <w:r>
              <w:rPr>
                <w:b/>
                <w:color w:val="FFFFFF"/>
                <w:sz w:val="16"/>
              </w:rPr>
              <w:t>Role</w:t>
            </w:r>
          </w:p>
        </w:tc>
        <w:tc>
          <w:tcPr>
            <w:tcW w:type="dxa" w:w="5560"/>
            <w:shd w:fill="0A192F"/>
            <w:tcMar>
              <w:top w:w="100" w:type="dxa"/>
              <w:start w:w="110" w:type="dxa"/>
              <w:bottom w:w="100" w:type="dxa"/>
              <w:end w:w="110" w:type="dxa"/>
            </w:tcMar>
          </w:tcPr>
          <w:p>
            <w:pPr>
              <w:spacing w:after="0"/>
            </w:pPr>
            <w:r>
              <w:rPr>
                <w:b/>
                <w:color w:val="FFFFFF"/>
                <w:sz w:val="16"/>
              </w:rPr>
              <w:t>Selected contents</w:t>
            </w:r>
          </w:p>
        </w:tc>
      </w:tr>
      <w:tr>
        <w:tc>
          <w:tcPr>
            <w:tcW w:type="dxa" w:w="1600"/>
            <w:tcMar>
              <w:top w:w="85" w:type="dxa"/>
              <w:start w:w="110" w:type="dxa"/>
              <w:bottom w:w="85" w:type="dxa"/>
              <w:end w:w="110" w:type="dxa"/>
            </w:tcMar>
            <w:vAlign w:val="center"/>
          </w:tcPr>
          <w:p>
            <w:pPr>
              <w:spacing w:after="0" w:line="240" w:lineRule="auto"/>
            </w:pPr>
            <w:r>
              <w:rPr>
                <w:color w:val="273142"/>
                <w:sz w:val="15"/>
              </w:rPr>
              <w:t>schema</w:t>
            </w:r>
          </w:p>
        </w:tc>
        <w:tc>
          <w:tcPr>
            <w:tcW w:type="dxa" w:w="2200"/>
            <w:tcMar>
              <w:top w:w="85" w:type="dxa"/>
              <w:start w:w="110" w:type="dxa"/>
              <w:bottom w:w="85" w:type="dxa"/>
              <w:end w:w="110" w:type="dxa"/>
            </w:tcMar>
            <w:vAlign w:val="center"/>
          </w:tcPr>
          <w:p>
            <w:pPr>
              <w:spacing w:after="0" w:line="240" w:lineRule="auto"/>
            </w:pPr>
            <w:r>
              <w:rPr>
                <w:color w:val="273142"/>
                <w:sz w:val="15"/>
              </w:rPr>
              <w:t>Typed contracts</w:t>
            </w:r>
          </w:p>
        </w:tc>
        <w:tc>
          <w:tcPr>
            <w:tcW w:type="dxa" w:w="5560"/>
            <w:tcMar>
              <w:top w:w="85" w:type="dxa"/>
              <w:start w:w="110" w:type="dxa"/>
              <w:bottom w:w="85" w:type="dxa"/>
              <w:end w:w="110" w:type="dxa"/>
            </w:tcMar>
            <w:vAlign w:val="center"/>
          </w:tcPr>
          <w:p>
            <w:pPr>
              <w:spacing w:after="0" w:line="240" w:lineRule="auto"/>
            </w:pPr>
            <w:r>
              <w:rPr>
                <w:color w:val="273142"/>
                <w:sz w:val="15"/>
              </w:rPr>
              <w:t>Actions, plans, routing profiles, verifiers, execution results.</w:t>
            </w:r>
          </w:p>
        </w:tc>
      </w:tr>
      <w:tr>
        <w:tc>
          <w:tcPr>
            <w:tcW w:type="dxa" w:w="1600"/>
            <w:tcMar>
              <w:top w:w="85" w:type="dxa"/>
              <w:start w:w="110" w:type="dxa"/>
              <w:bottom w:w="85" w:type="dxa"/>
              <w:end w:w="110" w:type="dxa"/>
            </w:tcMar>
            <w:shd w:fill="F3F5F7"/>
            <w:vAlign w:val="center"/>
          </w:tcPr>
          <w:p>
            <w:pPr>
              <w:spacing w:after="0" w:line="240" w:lineRule="auto"/>
            </w:pPr>
            <w:r>
              <w:rPr>
                <w:color w:val="273142"/>
                <w:sz w:val="15"/>
              </w:rPr>
              <w:t>browser</w:t>
            </w:r>
          </w:p>
        </w:tc>
        <w:tc>
          <w:tcPr>
            <w:tcW w:type="dxa" w:w="2200"/>
            <w:tcMar>
              <w:top w:w="85" w:type="dxa"/>
              <w:start w:w="110" w:type="dxa"/>
              <w:bottom w:w="85" w:type="dxa"/>
              <w:end w:w="110" w:type="dxa"/>
            </w:tcMar>
            <w:shd w:fill="F3F5F7"/>
            <w:vAlign w:val="center"/>
          </w:tcPr>
          <w:p>
            <w:pPr>
              <w:spacing w:after="0" w:line="240" w:lineRule="auto"/>
            </w:pPr>
            <w:r>
              <w:rPr>
                <w:color w:val="273142"/>
                <w:sz w:val="15"/>
              </w:rPr>
              <w:t>Browser control</w:t>
            </w:r>
          </w:p>
        </w:tc>
        <w:tc>
          <w:tcPr>
            <w:tcW w:type="dxa" w:w="5560"/>
            <w:tcMar>
              <w:top w:w="85" w:type="dxa"/>
              <w:start w:w="110" w:type="dxa"/>
              <w:bottom w:w="85" w:type="dxa"/>
              <w:end w:w="110" w:type="dxa"/>
            </w:tcMar>
            <w:shd w:fill="F3F5F7"/>
            <w:vAlign w:val="center"/>
          </w:tcPr>
          <w:p>
            <w:pPr>
              <w:spacing w:after="0" w:line="240" w:lineRule="auto"/>
            </w:pPr>
            <w:r>
              <w:rPr>
                <w:color w:val="273142"/>
                <w:sz w:val="15"/>
              </w:rPr>
              <w:t>Executor, target resolver, BrowserPool, CDP screencast utilities.</w:t>
            </w:r>
          </w:p>
        </w:tc>
      </w:tr>
      <w:tr>
        <w:tc>
          <w:tcPr>
            <w:tcW w:type="dxa" w:w="1600"/>
            <w:tcMar>
              <w:top w:w="85" w:type="dxa"/>
              <w:start w:w="110" w:type="dxa"/>
              <w:bottom w:w="85" w:type="dxa"/>
              <w:end w:w="110" w:type="dxa"/>
            </w:tcMar>
            <w:vAlign w:val="center"/>
          </w:tcPr>
          <w:p>
            <w:pPr>
              <w:spacing w:after="0" w:line="240" w:lineRule="auto"/>
            </w:pPr>
            <w:r>
              <w:rPr>
                <w:color w:val="273142"/>
                <w:sz w:val="15"/>
              </w:rPr>
              <w:t>controller</w:t>
            </w:r>
          </w:p>
        </w:tc>
        <w:tc>
          <w:tcPr>
            <w:tcW w:type="dxa" w:w="2200"/>
            <w:tcMar>
              <w:top w:w="85" w:type="dxa"/>
              <w:start w:w="110" w:type="dxa"/>
              <w:bottom w:w="85" w:type="dxa"/>
              <w:end w:w="110" w:type="dxa"/>
            </w:tcMar>
            <w:vAlign w:val="center"/>
          </w:tcPr>
          <w:p>
            <w:pPr>
              <w:spacing w:after="0" w:line="240" w:lineRule="auto"/>
            </w:pPr>
            <w:r>
              <w:rPr>
                <w:color w:val="273142"/>
                <w:sz w:val="15"/>
              </w:rPr>
              <w:t>Runtime orchestration</w:t>
            </w:r>
          </w:p>
        </w:tc>
        <w:tc>
          <w:tcPr>
            <w:tcW w:type="dxa" w:w="5560"/>
            <w:tcMar>
              <w:top w:w="85" w:type="dxa"/>
              <w:start w:w="110" w:type="dxa"/>
              <w:bottom w:w="85" w:type="dxa"/>
              <w:end w:w="110" w:type="dxa"/>
            </w:tcMar>
            <w:vAlign w:val="center"/>
          </w:tcPr>
          <w:p>
            <w:pPr>
              <w:spacing w:after="0" w:line="240" w:lineRule="auto"/>
            </w:pPr>
            <w:r>
              <w:rPr>
                <w:color w:val="273142"/>
                <w:sz w:val="15"/>
              </w:rPr>
              <w:t>Fast/multipath routing, budgets, recovery, learning, optional OpenAI planner.</w:t>
            </w:r>
          </w:p>
        </w:tc>
      </w:tr>
      <w:tr>
        <w:tc>
          <w:tcPr>
            <w:tcW w:type="dxa" w:w="1600"/>
            <w:tcMar>
              <w:top w:w="85" w:type="dxa"/>
              <w:start w:w="110" w:type="dxa"/>
              <w:bottom w:w="85" w:type="dxa"/>
              <w:end w:w="110" w:type="dxa"/>
            </w:tcMar>
            <w:shd w:fill="F3F5F7"/>
            <w:vAlign w:val="center"/>
          </w:tcPr>
          <w:p>
            <w:pPr>
              <w:spacing w:after="0" w:line="240" w:lineRule="auto"/>
            </w:pPr>
            <w:r>
              <w:rPr>
                <w:color w:val="273142"/>
                <w:sz w:val="15"/>
              </w:rPr>
              <w:t>verifier</w:t>
            </w:r>
          </w:p>
        </w:tc>
        <w:tc>
          <w:tcPr>
            <w:tcW w:type="dxa" w:w="2200"/>
            <w:tcMar>
              <w:top w:w="85" w:type="dxa"/>
              <w:start w:w="110" w:type="dxa"/>
              <w:bottom w:w="85" w:type="dxa"/>
              <w:end w:w="110" w:type="dxa"/>
            </w:tcMar>
            <w:shd w:fill="F3F5F7"/>
            <w:vAlign w:val="center"/>
          </w:tcPr>
          <w:p>
            <w:pPr>
              <w:spacing w:after="0" w:line="240" w:lineRule="auto"/>
            </w:pPr>
            <w:r>
              <w:rPr>
                <w:color w:val="273142"/>
                <w:sz w:val="15"/>
              </w:rPr>
              <w:t>Postcondition engine</w:t>
            </w:r>
          </w:p>
        </w:tc>
        <w:tc>
          <w:tcPr>
            <w:tcW w:type="dxa" w:w="5560"/>
            <w:tcMar>
              <w:top w:w="85" w:type="dxa"/>
              <w:start w:w="110" w:type="dxa"/>
              <w:bottom w:w="85" w:type="dxa"/>
              <w:end w:w="110" w:type="dxa"/>
            </w:tcMar>
            <w:shd w:fill="F3F5F7"/>
            <w:vAlign w:val="center"/>
          </w:tcPr>
          <w:p>
            <w:pPr>
              <w:spacing w:after="0" w:line="240" w:lineRule="auto"/>
            </w:pPr>
            <w:r>
              <w:rPr>
                <w:color w:val="273142"/>
                <w:sz w:val="15"/>
              </w:rPr>
              <w:t>Evidence collection and fail-closed result evaluation.</w:t>
            </w:r>
          </w:p>
        </w:tc>
      </w:tr>
      <w:tr>
        <w:tc>
          <w:tcPr>
            <w:tcW w:type="dxa" w:w="1600"/>
            <w:tcMar>
              <w:top w:w="85" w:type="dxa"/>
              <w:start w:w="110" w:type="dxa"/>
              <w:bottom w:w="85" w:type="dxa"/>
              <w:end w:w="110" w:type="dxa"/>
            </w:tcMar>
            <w:vAlign w:val="center"/>
          </w:tcPr>
          <w:p>
            <w:pPr>
              <w:spacing w:after="0" w:line="240" w:lineRule="auto"/>
            </w:pPr>
            <w:r>
              <w:rPr>
                <w:color w:val="273142"/>
                <w:sz w:val="15"/>
              </w:rPr>
              <w:t>security</w:t>
            </w:r>
          </w:p>
        </w:tc>
        <w:tc>
          <w:tcPr>
            <w:tcW w:type="dxa" w:w="2200"/>
            <w:tcMar>
              <w:top w:w="85" w:type="dxa"/>
              <w:start w:w="110" w:type="dxa"/>
              <w:bottom w:w="85" w:type="dxa"/>
              <w:end w:w="110" w:type="dxa"/>
            </w:tcMar>
            <w:vAlign w:val="center"/>
          </w:tcPr>
          <w:p>
            <w:pPr>
              <w:spacing w:after="0" w:line="240" w:lineRule="auto"/>
            </w:pPr>
            <w:r>
              <w:rPr>
                <w:color w:val="273142"/>
                <w:sz w:val="15"/>
              </w:rPr>
              <w:t>Authority &amp; secrets</w:t>
            </w:r>
          </w:p>
        </w:tc>
        <w:tc>
          <w:tcPr>
            <w:tcW w:type="dxa" w:w="5560"/>
            <w:tcMar>
              <w:top w:w="85" w:type="dxa"/>
              <w:start w:w="110" w:type="dxa"/>
              <w:bottom w:w="85" w:type="dxa"/>
              <w:end w:w="110" w:type="dxa"/>
            </w:tcMar>
            <w:vAlign w:val="center"/>
          </w:tcPr>
          <w:p>
            <w:pPr>
              <w:spacing w:after="0" w:line="240" w:lineRule="auto"/>
            </w:pPr>
            <w:r>
              <w:rPr>
                <w:color w:val="273142"/>
                <w:sz w:val="15"/>
              </w:rPr>
              <w:t>Approval signing/replay, network guards, encryption, KMS integrations.</w:t>
            </w:r>
          </w:p>
        </w:tc>
      </w:tr>
      <w:tr>
        <w:tc>
          <w:tcPr>
            <w:tcW w:type="dxa" w:w="1600"/>
            <w:tcMar>
              <w:top w:w="85" w:type="dxa"/>
              <w:start w:w="110" w:type="dxa"/>
              <w:bottom w:w="85" w:type="dxa"/>
              <w:end w:w="110" w:type="dxa"/>
            </w:tcMar>
            <w:shd w:fill="F3F5F7"/>
            <w:vAlign w:val="center"/>
          </w:tcPr>
          <w:p>
            <w:pPr>
              <w:spacing w:after="0" w:line="240" w:lineRule="auto"/>
            </w:pPr>
            <w:r>
              <w:rPr>
                <w:color w:val="273142"/>
                <w:sz w:val="15"/>
              </w:rPr>
              <w:t>trace</w:t>
            </w:r>
          </w:p>
        </w:tc>
        <w:tc>
          <w:tcPr>
            <w:tcW w:type="dxa" w:w="2200"/>
            <w:tcMar>
              <w:top w:w="85" w:type="dxa"/>
              <w:start w:w="110" w:type="dxa"/>
              <w:bottom w:w="85" w:type="dxa"/>
              <w:end w:w="110" w:type="dxa"/>
            </w:tcMar>
            <w:shd w:fill="F3F5F7"/>
            <w:vAlign w:val="center"/>
          </w:tcPr>
          <w:p>
            <w:pPr>
              <w:spacing w:after="0" w:line="240" w:lineRule="auto"/>
            </w:pPr>
            <w:r>
              <w:rPr>
                <w:color w:val="273142"/>
                <w:sz w:val="15"/>
              </w:rPr>
              <w:t>Auditability</w:t>
            </w:r>
          </w:p>
        </w:tc>
        <w:tc>
          <w:tcPr>
            <w:tcW w:type="dxa" w:w="5560"/>
            <w:tcMar>
              <w:top w:w="85" w:type="dxa"/>
              <w:start w:w="110" w:type="dxa"/>
              <w:bottom w:w="85" w:type="dxa"/>
              <w:end w:w="110" w:type="dxa"/>
            </w:tcMar>
            <w:shd w:fill="F3F5F7"/>
            <w:vAlign w:val="center"/>
          </w:tcPr>
          <w:p>
            <w:pPr>
              <w:spacing w:after="0" w:line="240" w:lineRule="auto"/>
            </w:pPr>
            <w:r>
              <w:rPr>
                <w:color w:val="273142"/>
                <w:sz w:val="15"/>
              </w:rPr>
              <w:t>Redacted event logs, secure filesystem creation, trace validation.</w:t>
            </w:r>
          </w:p>
        </w:tc>
      </w:tr>
      <w:tr>
        <w:tc>
          <w:tcPr>
            <w:tcW w:type="dxa" w:w="1600"/>
            <w:tcMar>
              <w:top w:w="85" w:type="dxa"/>
              <w:start w:w="110" w:type="dxa"/>
              <w:bottom w:w="85" w:type="dxa"/>
              <w:end w:w="110" w:type="dxa"/>
            </w:tcMar>
            <w:vAlign w:val="center"/>
          </w:tcPr>
          <w:p>
            <w:pPr>
              <w:spacing w:after="0" w:line="240" w:lineRule="auto"/>
            </w:pPr>
            <w:r>
              <w:rPr>
                <w:color w:val="273142"/>
                <w:sz w:val="15"/>
              </w:rPr>
              <w:t>memory</w:t>
            </w:r>
          </w:p>
        </w:tc>
        <w:tc>
          <w:tcPr>
            <w:tcW w:type="dxa" w:w="2200"/>
            <w:tcMar>
              <w:top w:w="85" w:type="dxa"/>
              <w:start w:w="110" w:type="dxa"/>
              <w:bottom w:w="85" w:type="dxa"/>
              <w:end w:w="110" w:type="dxa"/>
            </w:tcMar>
            <w:vAlign w:val="center"/>
          </w:tcPr>
          <w:p>
            <w:pPr>
              <w:spacing w:after="0" w:line="240" w:lineRule="auto"/>
            </w:pPr>
            <w:r>
              <w:rPr>
                <w:color w:val="273142"/>
                <w:sz w:val="15"/>
              </w:rPr>
              <w:t>Reusable local behavior</w:t>
            </w:r>
          </w:p>
        </w:tc>
        <w:tc>
          <w:tcPr>
            <w:tcW w:type="dxa" w:w="5560"/>
            <w:tcMar>
              <w:top w:w="85" w:type="dxa"/>
              <w:start w:w="110" w:type="dxa"/>
              <w:bottom w:w="85" w:type="dxa"/>
              <w:end w:w="110" w:type="dxa"/>
            </w:tcMar>
            <w:vAlign w:val="center"/>
          </w:tcPr>
          <w:p>
            <w:pPr>
              <w:spacing w:after="0" w:line="240" w:lineRule="auto"/>
            </w:pPr>
            <w:r>
              <w:rPr>
                <w:color w:val="273142"/>
                <w:sz w:val="15"/>
              </w:rPr>
              <w:t>Skill store, selector history, promotion evidence.</w:t>
            </w:r>
          </w:p>
        </w:tc>
      </w:tr>
      <w:tr>
        <w:tc>
          <w:tcPr>
            <w:tcW w:type="dxa" w:w="1600"/>
            <w:tcMar>
              <w:top w:w="85" w:type="dxa"/>
              <w:start w:w="110" w:type="dxa"/>
              <w:bottom w:w="85" w:type="dxa"/>
              <w:end w:w="110" w:type="dxa"/>
            </w:tcMar>
            <w:shd w:fill="F3F5F7"/>
            <w:vAlign w:val="center"/>
          </w:tcPr>
          <w:p>
            <w:pPr>
              <w:spacing w:after="0" w:line="240" w:lineRule="auto"/>
            </w:pPr>
            <w:r>
              <w:rPr>
                <w:color w:val="273142"/>
                <w:sz w:val="15"/>
              </w:rPr>
              <w:t>skills</w:t>
            </w:r>
          </w:p>
        </w:tc>
        <w:tc>
          <w:tcPr>
            <w:tcW w:type="dxa" w:w="2200"/>
            <w:tcMar>
              <w:top w:w="85" w:type="dxa"/>
              <w:start w:w="110" w:type="dxa"/>
              <w:bottom w:w="85" w:type="dxa"/>
              <w:end w:w="110" w:type="dxa"/>
            </w:tcMar>
            <w:shd w:fill="F3F5F7"/>
            <w:vAlign w:val="center"/>
          </w:tcPr>
          <w:p>
            <w:pPr>
              <w:spacing w:after="0" w:line="240" w:lineRule="auto"/>
            </w:pPr>
            <w:r>
              <w:rPr>
                <w:color w:val="273142"/>
                <w:sz w:val="15"/>
              </w:rPr>
              <w:t>Action compilation</w:t>
            </w:r>
          </w:p>
        </w:tc>
        <w:tc>
          <w:tcPr>
            <w:tcW w:type="dxa" w:w="5560"/>
            <w:tcMar>
              <w:top w:w="85" w:type="dxa"/>
              <w:start w:w="110" w:type="dxa"/>
              <w:bottom w:w="85" w:type="dxa"/>
              <w:end w:w="110" w:type="dxa"/>
            </w:tcMar>
            <w:shd w:fill="F3F5F7"/>
            <w:vAlign w:val="center"/>
          </w:tcPr>
          <w:p>
            <w:pPr>
              <w:spacing w:after="0" w:line="240" w:lineRule="auto"/>
            </w:pPr>
            <w:r>
              <w:rPr>
                <w:color w:val="273142"/>
                <w:sz w:val="15"/>
              </w:rPr>
              <w:t>Built-ins and pure compilation from intent to typed actions.</w:t>
            </w:r>
          </w:p>
        </w:tc>
      </w:tr>
      <w:tr>
        <w:tc>
          <w:tcPr>
            <w:tcW w:type="dxa" w:w="1600"/>
            <w:tcMar>
              <w:top w:w="85" w:type="dxa"/>
              <w:start w:w="110" w:type="dxa"/>
              <w:bottom w:w="85" w:type="dxa"/>
              <w:end w:w="110" w:type="dxa"/>
            </w:tcMar>
            <w:vAlign w:val="center"/>
          </w:tcPr>
          <w:p>
            <w:pPr>
              <w:spacing w:after="0" w:line="240" w:lineRule="auto"/>
            </w:pPr>
            <w:r>
              <w:rPr>
                <w:color w:val="273142"/>
                <w:sz w:val="15"/>
              </w:rPr>
              <w:t>shared-skills</w:t>
            </w:r>
          </w:p>
        </w:tc>
        <w:tc>
          <w:tcPr>
            <w:tcW w:type="dxa" w:w="2200"/>
            <w:tcMar>
              <w:top w:w="85" w:type="dxa"/>
              <w:start w:w="110" w:type="dxa"/>
              <w:bottom w:w="85" w:type="dxa"/>
              <w:end w:w="110" w:type="dxa"/>
            </w:tcMar>
            <w:vAlign w:val="center"/>
          </w:tcPr>
          <w:p>
            <w:pPr>
              <w:spacing w:after="0" w:line="240" w:lineRule="auto"/>
            </w:pPr>
            <w:r>
              <w:rPr>
                <w:color w:val="273142"/>
                <w:sz w:val="15"/>
              </w:rPr>
              <w:t>Controlled sync</w:t>
            </w:r>
          </w:p>
        </w:tc>
        <w:tc>
          <w:tcPr>
            <w:tcW w:type="dxa" w:w="5560"/>
            <w:tcMar>
              <w:top w:w="85" w:type="dxa"/>
              <w:start w:w="110" w:type="dxa"/>
              <w:bottom w:w="85" w:type="dxa"/>
              <w:end w:w="110" w:type="dxa"/>
            </w:tcMar>
            <w:vAlign w:val="center"/>
          </w:tcPr>
          <w:p>
            <w:pPr>
              <w:spacing w:after="0" w:line="240" w:lineRule="auto"/>
            </w:pPr>
            <w:r>
              <w:rPr>
                <w:color w:val="273142"/>
                <w:sz w:val="15"/>
              </w:rPr>
              <w:t>Local cache, manifest validation, Fast Path eligibility checks.</w:t>
            </w:r>
          </w:p>
        </w:tc>
      </w:tr>
      <w:tr>
        <w:tc>
          <w:tcPr>
            <w:tcW w:type="dxa" w:w="1600"/>
            <w:tcMar>
              <w:top w:w="85" w:type="dxa"/>
              <w:start w:w="110" w:type="dxa"/>
              <w:bottom w:w="85" w:type="dxa"/>
              <w:end w:w="110" w:type="dxa"/>
            </w:tcMar>
            <w:shd w:fill="F3F5F7"/>
            <w:vAlign w:val="center"/>
          </w:tcPr>
          <w:p>
            <w:pPr>
              <w:spacing w:after="0" w:line="240" w:lineRule="auto"/>
            </w:pPr>
            <w:r>
              <w:rPr>
                <w:color w:val="273142"/>
                <w:sz w:val="15"/>
              </w:rPr>
              <w:t>game-training*</w:t>
            </w:r>
          </w:p>
        </w:tc>
        <w:tc>
          <w:tcPr>
            <w:tcW w:type="dxa" w:w="2200"/>
            <w:tcMar>
              <w:top w:w="85" w:type="dxa"/>
              <w:start w:w="110" w:type="dxa"/>
              <w:bottom w:w="85" w:type="dxa"/>
              <w:end w:w="110" w:type="dxa"/>
            </w:tcMar>
            <w:shd w:fill="F3F5F7"/>
            <w:vAlign w:val="center"/>
          </w:tcPr>
          <w:p>
            <w:pPr>
              <w:spacing w:after="0" w:line="240" w:lineRule="auto"/>
            </w:pPr>
            <w:r>
              <w:rPr>
                <w:color w:val="273142"/>
                <w:sz w:val="15"/>
              </w:rPr>
              <w:t>Local policy research</w:t>
            </w:r>
          </w:p>
        </w:tc>
        <w:tc>
          <w:tcPr>
            <w:tcW w:type="dxa" w:w="5560"/>
            <w:tcMar>
              <w:top w:w="85" w:type="dxa"/>
              <w:start w:w="110" w:type="dxa"/>
              <w:bottom w:w="85" w:type="dxa"/>
              <w:end w:w="110" w:type="dxa"/>
            </w:tcMar>
            <w:shd w:fill="F3F5F7"/>
            <w:vAlign w:val="center"/>
          </w:tcPr>
          <w:p>
            <w:pPr>
              <w:spacing w:after="0" w:line="240" w:lineRule="auto"/>
            </w:pPr>
            <w:r>
              <w:rPr>
                <w:color w:val="273142"/>
                <w:sz w:val="15"/>
              </w:rPr>
              <w:t>Behavior-cloning contracts for bounded 2D/3D control.</w:t>
            </w:r>
          </w:p>
        </w:tc>
      </w:tr>
    </w:tbl>
    <w:p>
      <w:pPr>
        <w:spacing w:after="0"/>
      </w:pPr>
    </w:p>
    <w:p>
      <w:pPr>
        <w:pStyle w:val="Heading2"/>
        <w:keepNext w:val="1"/>
      </w:pPr>
      <w:r>
        <w:t>Applications and service</w:t>
      </w:r>
    </w:p>
    <w:tbl>
      <w:tblPr>
        <w:tblStyle w:val="TableGrid"/>
        <w:tblW w:type="dxa" w:w="9360"/>
        <w:jc w:val="center"/>
        <w:tblLayout w:type="fixed"/>
        <w:tblLook w:firstColumn="1" w:firstRow="1" w:lastColumn="0" w:lastRow="0" w:noHBand="0" w:noVBand="1" w:val="04A0"/>
        <w:tblInd w:w="0" w:type="dxa"/>
      </w:tblPr>
      <w:tblGrid>
        <w:gridCol w:w="3360"/>
        <w:gridCol w:w="3360"/>
        <w:gridCol w:w="3360"/>
      </w:tblGrid>
      <w:tr>
        <w:trPr>
          <w:tblHeader w:val="true"/>
        </w:trPr>
        <w:tc>
          <w:tcPr>
            <w:tcW w:type="dxa" w:w="1800"/>
            <w:shd w:fill="0A192F"/>
            <w:tcMar>
              <w:top w:w="100" w:type="dxa"/>
              <w:start w:w="110" w:type="dxa"/>
              <w:bottom w:w="100" w:type="dxa"/>
              <w:end w:w="110" w:type="dxa"/>
            </w:tcMar>
          </w:tcPr>
          <w:p>
            <w:pPr>
              <w:spacing w:after="0"/>
            </w:pPr>
            <w:r>
              <w:rPr>
                <w:b/>
                <w:color w:val="FFFFFF"/>
                <w:sz w:val="17"/>
              </w:rPr>
              <w:t>Surface</w:t>
            </w:r>
          </w:p>
        </w:tc>
        <w:tc>
          <w:tcPr>
            <w:tcW w:type="dxa" w:w="5560"/>
            <w:shd w:fill="0A192F"/>
            <w:tcMar>
              <w:top w:w="100" w:type="dxa"/>
              <w:start w:w="110" w:type="dxa"/>
              <w:bottom w:w="100" w:type="dxa"/>
              <w:end w:w="110" w:type="dxa"/>
            </w:tcMar>
          </w:tcPr>
          <w:p>
            <w:pPr>
              <w:spacing w:after="0"/>
            </w:pPr>
            <w:r>
              <w:rPr>
                <w:b/>
                <w:color w:val="FFFFFF"/>
                <w:sz w:val="17"/>
              </w:rPr>
              <w:t>Purpose</w:t>
            </w:r>
          </w:p>
        </w:tc>
        <w:tc>
          <w:tcPr>
            <w:tcW w:type="dxa" w:w="2000"/>
            <w:shd w:fill="0A192F"/>
            <w:tcMar>
              <w:top w:w="100" w:type="dxa"/>
              <w:start w:w="110" w:type="dxa"/>
              <w:bottom w:w="100" w:type="dxa"/>
              <w:end w:w="110" w:type="dxa"/>
            </w:tcMar>
          </w:tcPr>
          <w:p>
            <w:pPr>
              <w:spacing w:after="0"/>
            </w:pPr>
            <w:r>
              <w:rPr>
                <w:b/>
                <w:color w:val="FFFFFF"/>
                <w:sz w:val="17"/>
              </w:rPr>
              <w:t>Approx. implementation size</w:t>
            </w:r>
          </w:p>
        </w:tc>
      </w:tr>
      <w:tr>
        <w:tc>
          <w:tcPr>
            <w:tcW w:type="dxa" w:w="1800"/>
            <w:tcMar>
              <w:top w:w="85" w:type="dxa"/>
              <w:start w:w="110" w:type="dxa"/>
              <w:bottom w:w="85" w:type="dxa"/>
              <w:end w:w="110" w:type="dxa"/>
            </w:tcMar>
            <w:vAlign w:val="center"/>
          </w:tcPr>
          <w:p>
            <w:pPr>
              <w:spacing w:after="0" w:line="240" w:lineRule="auto"/>
            </w:pPr>
            <w:r>
              <w:rPr>
                <w:color w:val="273142"/>
                <w:sz w:val="16"/>
              </w:rPr>
              <w:t>CLI</w:t>
            </w:r>
          </w:p>
        </w:tc>
        <w:tc>
          <w:tcPr>
            <w:tcW w:type="dxa" w:w="5560"/>
            <w:tcMar>
              <w:top w:w="85" w:type="dxa"/>
              <w:start w:w="110" w:type="dxa"/>
              <w:bottom w:w="85" w:type="dxa"/>
              <w:end w:w="110" w:type="dxa"/>
            </w:tcMar>
            <w:vAlign w:val="center"/>
          </w:tcPr>
          <w:p>
            <w:pPr>
              <w:spacing w:after="0" w:line="240" w:lineRule="auto"/>
            </w:pPr>
            <w:r>
              <w:rPr>
                <w:color w:val="273142"/>
                <w:sz w:val="16"/>
              </w:rPr>
              <w:t>Task execution, inspectability, benchmarks, packaging and operator workflows</w:t>
            </w:r>
          </w:p>
        </w:tc>
        <w:tc>
          <w:tcPr>
            <w:tcW w:type="dxa" w:w="2000"/>
            <w:tcMar>
              <w:top w:w="85" w:type="dxa"/>
              <w:start w:w="110" w:type="dxa"/>
              <w:bottom w:w="85" w:type="dxa"/>
              <w:end w:w="110" w:type="dxa"/>
            </w:tcMar>
            <w:vAlign w:val="center"/>
          </w:tcPr>
          <w:p>
            <w:pPr>
              <w:spacing w:after="0" w:line="240" w:lineRule="auto"/>
            </w:pPr>
            <w:r>
              <w:rPr>
                <w:color w:val="273142"/>
                <w:sz w:val="16"/>
              </w:rPr>
              <w:t>8,908 lines</w:t>
            </w:r>
          </w:p>
        </w:tc>
      </w:tr>
      <w:tr>
        <w:tc>
          <w:tcPr>
            <w:tcW w:type="dxa" w:w="1800"/>
            <w:tcMar>
              <w:top w:w="85" w:type="dxa"/>
              <w:start w:w="110" w:type="dxa"/>
              <w:bottom w:w="85" w:type="dxa"/>
              <w:end w:w="110" w:type="dxa"/>
            </w:tcMar>
            <w:shd w:fill="F3F5F7"/>
            <w:vAlign w:val="center"/>
          </w:tcPr>
          <w:p>
            <w:pPr>
              <w:spacing w:after="0" w:line="240" w:lineRule="auto"/>
            </w:pPr>
            <w:r>
              <w:rPr>
                <w:color w:val="273142"/>
                <w:sz w:val="16"/>
              </w:rPr>
              <w:t>Desktop</w:t>
            </w:r>
          </w:p>
        </w:tc>
        <w:tc>
          <w:tcPr>
            <w:tcW w:type="dxa" w:w="5560"/>
            <w:tcMar>
              <w:top w:w="85" w:type="dxa"/>
              <w:start w:w="110" w:type="dxa"/>
              <w:bottom w:w="85" w:type="dxa"/>
              <w:end w:w="110" w:type="dxa"/>
            </w:tcMar>
            <w:shd w:fill="F3F5F7"/>
            <w:vAlign w:val="center"/>
          </w:tcPr>
          <w:p>
            <w:pPr>
              <w:spacing w:after="0" w:line="240" w:lineRule="auto"/>
            </w:pPr>
            <w:r>
              <w:rPr>
                <w:color w:val="273142"/>
                <w:sz w:val="16"/>
              </w:rPr>
              <w:t>Electron/React control center, task services, approvals, dashboard and release UX</w:t>
            </w:r>
          </w:p>
        </w:tc>
        <w:tc>
          <w:tcPr>
            <w:tcW w:type="dxa" w:w="2000"/>
            <w:tcMar>
              <w:top w:w="85" w:type="dxa"/>
              <w:start w:w="110" w:type="dxa"/>
              <w:bottom w:w="85" w:type="dxa"/>
              <w:end w:w="110" w:type="dxa"/>
            </w:tcMar>
            <w:shd w:fill="F3F5F7"/>
            <w:vAlign w:val="center"/>
          </w:tcPr>
          <w:p>
            <w:pPr>
              <w:spacing w:after="0" w:line="240" w:lineRule="auto"/>
            </w:pPr>
            <w:r>
              <w:rPr>
                <w:color w:val="273142"/>
                <w:sz w:val="16"/>
              </w:rPr>
              <w:t>12,659 lines</w:t>
            </w:r>
          </w:p>
        </w:tc>
      </w:tr>
      <w:tr>
        <w:tc>
          <w:tcPr>
            <w:tcW w:type="dxa" w:w="1800"/>
            <w:tcMar>
              <w:top w:w="85" w:type="dxa"/>
              <w:start w:w="110" w:type="dxa"/>
              <w:bottom w:w="85" w:type="dxa"/>
              <w:end w:w="110" w:type="dxa"/>
            </w:tcMar>
            <w:vAlign w:val="center"/>
          </w:tcPr>
          <w:p>
            <w:pPr>
              <w:spacing w:after="0" w:line="240" w:lineRule="auto"/>
            </w:pPr>
            <w:r>
              <w:rPr>
                <w:color w:val="273142"/>
                <w:sz w:val="16"/>
              </w:rPr>
              <w:t>Compatibility CLI (lhic)</w:t>
            </w:r>
          </w:p>
        </w:tc>
        <w:tc>
          <w:tcPr>
            <w:tcW w:type="dxa" w:w="5560"/>
            <w:tcMar>
              <w:top w:w="85" w:type="dxa"/>
              <w:start w:w="110" w:type="dxa"/>
              <w:bottom w:w="85" w:type="dxa"/>
              <w:end w:w="110" w:type="dxa"/>
            </w:tcMar>
            <w:vAlign w:val="center"/>
          </w:tcPr>
          <w:p>
            <w:pPr>
              <w:spacing w:after="0" w:line="240" w:lineRule="auto"/>
            </w:pPr>
            <w:r>
              <w:rPr>
                <w:color w:val="273142"/>
                <w:sz w:val="16"/>
              </w:rPr>
              <w:t>Distribution-facing compatibility surface</w:t>
            </w:r>
          </w:p>
        </w:tc>
        <w:tc>
          <w:tcPr>
            <w:tcW w:type="dxa" w:w="2000"/>
            <w:tcMar>
              <w:top w:w="85" w:type="dxa"/>
              <w:start w:w="110" w:type="dxa"/>
              <w:bottom w:w="85" w:type="dxa"/>
              <w:end w:w="110" w:type="dxa"/>
            </w:tcMar>
            <w:vAlign w:val="center"/>
          </w:tcPr>
          <w:p>
            <w:pPr>
              <w:spacing w:after="0" w:line="240" w:lineRule="auto"/>
            </w:pPr>
            <w:r>
              <w:rPr>
                <w:color w:val="273142"/>
                <w:sz w:val="16"/>
              </w:rPr>
              <w:t>Included among four apps</w:t>
            </w:r>
          </w:p>
        </w:tc>
      </w:tr>
      <w:tr>
        <w:tc>
          <w:tcPr>
            <w:tcW w:type="dxa" w:w="1800"/>
            <w:tcMar>
              <w:top w:w="85" w:type="dxa"/>
              <w:start w:w="110" w:type="dxa"/>
              <w:bottom w:w="85" w:type="dxa"/>
              <w:end w:w="110" w:type="dxa"/>
            </w:tcMar>
            <w:shd w:fill="F3F5F7"/>
            <w:vAlign w:val="center"/>
          </w:tcPr>
          <w:p>
            <w:pPr>
              <w:spacing w:after="0" w:line="240" w:lineRule="auto"/>
            </w:pPr>
            <w:r>
              <w:rPr>
                <w:color w:val="273142"/>
                <w:sz w:val="16"/>
              </w:rPr>
              <w:t>MCP server</w:t>
            </w:r>
          </w:p>
        </w:tc>
        <w:tc>
          <w:tcPr>
            <w:tcW w:type="dxa" w:w="5560"/>
            <w:tcMar>
              <w:top w:w="85" w:type="dxa"/>
              <w:start w:w="110" w:type="dxa"/>
              <w:bottom w:w="85" w:type="dxa"/>
              <w:end w:w="110" w:type="dxa"/>
            </w:tcMar>
            <w:shd w:fill="F3F5F7"/>
            <w:vAlign w:val="center"/>
          </w:tcPr>
          <w:p>
            <w:pPr>
              <w:spacing w:after="0" w:line="240" w:lineRule="auto"/>
            </w:pPr>
            <w:r>
              <w:rPr>
                <w:color w:val="273142"/>
                <w:sz w:val="16"/>
              </w:rPr>
              <w:t>Slow-path/external-agent integration and runtime introspection</w:t>
            </w:r>
          </w:p>
        </w:tc>
        <w:tc>
          <w:tcPr>
            <w:tcW w:type="dxa" w:w="2000"/>
            <w:tcMar>
              <w:top w:w="85" w:type="dxa"/>
              <w:start w:w="110" w:type="dxa"/>
              <w:bottom w:w="85" w:type="dxa"/>
              <w:end w:w="110" w:type="dxa"/>
            </w:tcMar>
            <w:shd w:fill="F3F5F7"/>
            <w:vAlign w:val="center"/>
          </w:tcPr>
          <w:p>
            <w:pPr>
              <w:spacing w:after="0" w:line="240" w:lineRule="auto"/>
            </w:pPr>
            <w:r>
              <w:rPr>
                <w:color w:val="273142"/>
                <w:sz w:val="16"/>
              </w:rPr>
              <w:t>2,154 lines</w:t>
            </w:r>
          </w:p>
        </w:tc>
      </w:tr>
      <w:tr>
        <w:tc>
          <w:tcPr>
            <w:tcW w:type="dxa" w:w="1800"/>
            <w:tcMar>
              <w:top w:w="85" w:type="dxa"/>
              <w:start w:w="110" w:type="dxa"/>
              <w:bottom w:w="85" w:type="dxa"/>
              <w:end w:w="110" w:type="dxa"/>
            </w:tcMar>
            <w:vAlign w:val="center"/>
          </w:tcPr>
          <w:p>
            <w:pPr>
              <w:spacing w:after="0" w:line="240" w:lineRule="auto"/>
            </w:pPr>
            <w:r>
              <w:rPr>
                <w:color w:val="273142"/>
                <w:sz w:val="16"/>
              </w:rPr>
              <w:t>Appwrite service</w:t>
            </w:r>
          </w:p>
        </w:tc>
        <w:tc>
          <w:tcPr>
            <w:tcW w:type="dxa" w:w="5560"/>
            <w:tcMar>
              <w:top w:w="85" w:type="dxa"/>
              <w:start w:w="110" w:type="dxa"/>
              <w:bottom w:w="85" w:type="dxa"/>
              <w:end w:w="110" w:type="dxa"/>
            </w:tcMar>
            <w:vAlign w:val="center"/>
          </w:tcPr>
          <w:p>
            <w:pPr>
              <w:spacing w:after="0" w:line="240" w:lineRule="auto"/>
            </w:pPr>
            <w:r>
              <w:rPr>
                <w:color w:val="273142"/>
                <w:sz w:val="16"/>
              </w:rPr>
              <w:t>Shared-skill/control-plane service</w:t>
            </w:r>
          </w:p>
        </w:tc>
        <w:tc>
          <w:tcPr>
            <w:tcW w:type="dxa" w:w="2000"/>
            <w:tcMar>
              <w:top w:w="85" w:type="dxa"/>
              <w:start w:w="110" w:type="dxa"/>
              <w:bottom w:w="85" w:type="dxa"/>
              <w:end w:w="110" w:type="dxa"/>
            </w:tcMar>
            <w:vAlign w:val="center"/>
          </w:tcPr>
          <w:p>
            <w:pPr>
              <w:spacing w:after="0" w:line="240" w:lineRule="auto"/>
            </w:pPr>
            <w:r>
              <w:rPr>
                <w:color w:val="273142"/>
                <w:sz w:val="16"/>
              </w:rPr>
              <w:t>1,997 lines</w:t>
            </w:r>
          </w:p>
        </w:tc>
      </w:tr>
    </w:tbl>
    <w:p>
      <w:pPr>
        <w:spacing w:after="0"/>
      </w:pPr>
    </w:p>
    <w:tbl>
      <w:tblPr>
        <w:tblW w:type="dxa" w:w="9360"/>
        <w:tblLayout w:type="fixed"/>
        <w:tblLook w:firstColumn="1" w:firstRow="1" w:lastColumn="0" w:lastRow="0" w:noHBand="0" w:noVBand="1" w:val="04A0"/>
        <w:tblInd w:w="0" w:type="dxa"/>
      </w:tblPr>
      <w:tblGrid>
        <w:gridCol w:w="10080"/>
      </w:tblGrid>
      <w:tr>
        <w:tc>
          <w:tcPr>
            <w:tcW w:type="dxa" w:w="10080"/>
            <w:shd w:fill="EAF4FA"/>
            <w:tcMar>
              <w:top w:w="140" w:type="dxa"/>
              <w:start w:w="180" w:type="dxa"/>
              <w:bottom w:w="140" w:type="dxa"/>
              <w:end w:w="180" w:type="dxa"/>
            </w:tcMar>
            <w:tcBorders>
              <w:start w:val="single" w:sz="30" w:color="2E74B5"/>
            </w:tcBorders>
          </w:tcPr>
          <w:p>
            <w:pPr>
              <w:spacing w:after="40"/>
            </w:pPr>
            <w:r>
              <w:rPr>
                <w:b/>
                <w:color w:val="2E74B5"/>
                <w:sz w:val="16"/>
              </w:rPr>
              <w:t>SCALE WITH CONTEXT</w:t>
            </w:r>
          </w:p>
          <w:p>
            <w:pPr>
              <w:spacing w:after="0" w:line="252" w:lineRule="auto"/>
            </w:pPr>
            <w:r>
              <w:rPr>
                <w:sz w:val="21"/>
              </w:rPr>
              <w:t>The reviewed tree contains 286 source/test/tooling files and about 56,972 lines: approximately 44,481 production/tooling lines plus 12,491 test lines. Size alone is not quality, but it confirms LHIC is a multi-surface system rather than a thin demonstration.</w:t>
            </w:r>
          </w:p>
        </w:tc>
      </w:tr>
    </w:tbl>
    <w:p>
      <w:pPr>
        <w:spacing w:after="0"/>
      </w:pPr>
    </w:p>
    <w:p>
      <w:r>
        <w:br w:type="page"/>
      </w:r>
    </w:p>
    <w:p>
      <w:pPr>
        <w:spacing w:before="40" w:after="80"/>
        <w:keepNext w:val="1"/>
      </w:pPr>
      <w:r>
        <w:rPr>
          <w:rFonts w:ascii="Arial" w:hAnsi="Arial"/>
          <w:b/>
          <w:color w:val="21C7D9"/>
          <w:sz w:val="16"/>
        </w:rPr>
        <w:t>HIGHLIGHTS</w:t>
      </w:r>
    </w:p>
    <w:p>
      <w:pPr>
        <w:pStyle w:val="Heading1"/>
        <w:spacing w:before="0" w:after="100"/>
        <w:keepNext w:val="1"/>
      </w:pPr>
      <w:r>
        <w:t>Seven differentiators worth presenting</w:t>
      </w:r>
    </w:p>
    <w:p>
      <w:pPr>
        <w:pStyle w:val="Subtitle"/>
        <w:spacing w:after="240"/>
        <w:keepNext w:val="1"/>
      </w:pPr>
      <w:r>
        <w:t>The best story is not “more autonomy.” It is controlled autonomy with inspectable evidence.</w:t>
      </w:r>
    </w:p>
    <w:tbl>
      <w:tblPr>
        <w:tblW w:type="dxa" w:w="9360"/>
        <w:tblLayout w:type="fixed"/>
        <w:tblLook w:firstColumn="1" w:firstRow="1" w:lastColumn="0" w:lastRow="0" w:noHBand="0" w:noVBand="1" w:val="04A0"/>
        <w:tblInd w:w="0" w:type="dxa"/>
      </w:tblPr>
      <w:tblGrid>
        <w:gridCol w:w="5040"/>
        <w:gridCol w:w="5040"/>
      </w:tblGrid>
      <w:tr>
        <w:tc>
          <w:tcPr>
            <w:tcW w:type="dxa" w:w="700"/>
            <w:shd w:fill="0A192F"/>
            <w:tcMar>
              <w:top w:w="95" w:type="dxa"/>
              <w:start w:w="110" w:type="dxa"/>
              <w:bottom w:w="95" w:type="dxa"/>
              <w:end w:w="110" w:type="dxa"/>
            </w:tcMar>
          </w:tcPr>
          <w:p>
            <w:pPr>
              <w:jc w:val="center"/>
            </w:pPr>
            <w:r>
              <w:rPr>
                <w:b/>
                <w:color w:val="21C7D9"/>
                <w:sz w:val="22"/>
              </w:rPr>
              <w:t>01</w:t>
            </w:r>
          </w:p>
        </w:tc>
        <w:tc>
          <w:tcPr>
            <w:tcW w:type="dxa" w:w="8660"/>
            <w:shd w:fill="FFFFFF"/>
            <w:tcMar>
              <w:top w:w="95" w:type="dxa"/>
              <w:start w:w="150" w:type="dxa"/>
              <w:bottom w:w="95" w:type="dxa"/>
              <w:end w:w="150" w:type="dxa"/>
            </w:tcMar>
          </w:tcPr>
          <w:p>
            <w:pPr>
              <w:spacing w:after="40"/>
            </w:pPr>
            <w:r>
              <w:rPr>
                <w:b/>
                <w:color w:val="172033"/>
                <w:sz w:val="19"/>
              </w:rPr>
              <w:t>Model-free routine execution</w:t>
            </w:r>
          </w:p>
          <w:p>
            <w:pPr>
              <w:spacing w:after="0"/>
            </w:pPr>
            <w:r>
              <w:rPr>
                <w:color w:val="273142"/>
                <w:sz w:val="17"/>
              </w:rPr>
              <w:t>Fast Path runs directly through Playwright/DOM/accessibility/keyboard primitives. The runtime enforces zero model and zero MCP calls for these tasks.</w:t>
            </w:r>
          </w:p>
        </w:tc>
      </w:tr>
      <w:tr>
        <w:tc>
          <w:tcPr>
            <w:tcW w:type="dxa" w:w="700"/>
            <w:shd w:fill="0A192F"/>
            <w:tcMar>
              <w:top w:w="95" w:type="dxa"/>
              <w:start w:w="110" w:type="dxa"/>
              <w:bottom w:w="95" w:type="dxa"/>
              <w:end w:w="110" w:type="dxa"/>
            </w:tcMar>
          </w:tcPr>
          <w:p>
            <w:pPr>
              <w:jc w:val="center"/>
            </w:pPr>
            <w:r>
              <w:rPr>
                <w:b/>
                <w:color w:val="21C7D9"/>
                <w:sz w:val="22"/>
              </w:rPr>
              <w:t>02</w:t>
            </w:r>
          </w:p>
        </w:tc>
        <w:tc>
          <w:tcPr>
            <w:tcW w:type="dxa" w:w="8660"/>
            <w:shd w:fill="F3F5F7"/>
            <w:tcMar>
              <w:top w:w="95" w:type="dxa"/>
              <w:start w:w="150" w:type="dxa"/>
              <w:bottom w:w="95" w:type="dxa"/>
              <w:end w:w="150" w:type="dxa"/>
            </w:tcMar>
          </w:tcPr>
          <w:p>
            <w:pPr>
              <w:spacing w:after="40"/>
            </w:pPr>
            <w:r>
              <w:rPr>
                <w:b/>
                <w:color w:val="172033"/>
                <w:sz w:val="19"/>
              </w:rPr>
              <w:t>Verifier-first success</w:t>
            </w:r>
          </w:p>
          <w:p>
            <w:pPr>
              <w:spacing w:after="0"/>
            </w:pPr>
            <w:r>
              <w:rPr>
                <w:color w:val="273142"/>
                <w:sz w:val="17"/>
              </w:rPr>
              <w:t>Plans declare postconditions before execution; URL, title, DOM, text, focus, value, download, process, and window evidence are evaluated explicitly.</w:t>
            </w:r>
          </w:p>
        </w:tc>
      </w:tr>
      <w:tr>
        <w:tc>
          <w:tcPr>
            <w:tcW w:type="dxa" w:w="700"/>
            <w:shd w:fill="0A192F"/>
            <w:tcMar>
              <w:top w:w="95" w:type="dxa"/>
              <w:start w:w="110" w:type="dxa"/>
              <w:bottom w:w="95" w:type="dxa"/>
              <w:end w:w="110" w:type="dxa"/>
            </w:tcMar>
          </w:tcPr>
          <w:p>
            <w:pPr>
              <w:jc w:val="center"/>
            </w:pPr>
            <w:r>
              <w:rPr>
                <w:b/>
                <w:color w:val="21C7D9"/>
                <w:sz w:val="22"/>
              </w:rPr>
              <w:t>03</w:t>
            </w:r>
          </w:p>
        </w:tc>
        <w:tc>
          <w:tcPr>
            <w:tcW w:type="dxa" w:w="8660"/>
            <w:shd w:fill="FFFFFF"/>
            <w:tcMar>
              <w:top w:w="95" w:type="dxa"/>
              <w:start w:w="150" w:type="dxa"/>
              <w:bottom w:w="95" w:type="dxa"/>
              <w:end w:w="150" w:type="dxa"/>
            </w:tcMar>
          </w:tcPr>
          <w:p>
            <w:pPr>
              <w:spacing w:after="40"/>
            </w:pPr>
            <w:r>
              <w:rPr>
                <w:b/>
                <w:color w:val="172033"/>
                <w:sz w:val="19"/>
              </w:rPr>
              <w:t>Semantic targeting with ambiguity rejection</w:t>
            </w:r>
          </w:p>
          <w:p>
            <w:pPr>
              <w:spacing w:after="0"/>
            </w:pPr>
            <w:r>
              <w:rPr>
                <w:color w:val="273142"/>
                <w:sz w:val="17"/>
              </w:rPr>
              <w:t>Targets resolve through structured DOM and accessibility state. Exactly one match is required; historical selectors are reused only after verified success.</w:t>
            </w:r>
          </w:p>
        </w:tc>
      </w:tr>
      <w:tr>
        <w:tc>
          <w:tcPr>
            <w:tcW w:type="dxa" w:w="700"/>
            <w:shd w:fill="0A192F"/>
            <w:tcMar>
              <w:top w:w="95" w:type="dxa"/>
              <w:start w:w="110" w:type="dxa"/>
              <w:bottom w:w="95" w:type="dxa"/>
              <w:end w:w="110" w:type="dxa"/>
            </w:tcMar>
          </w:tcPr>
          <w:p>
            <w:pPr>
              <w:jc w:val="center"/>
            </w:pPr>
            <w:r>
              <w:rPr>
                <w:b/>
                <w:color w:val="21C7D9"/>
                <w:sz w:val="22"/>
              </w:rPr>
              <w:t>04</w:t>
            </w:r>
          </w:p>
        </w:tc>
        <w:tc>
          <w:tcPr>
            <w:tcW w:type="dxa" w:w="8660"/>
            <w:shd w:fill="F3F5F7"/>
            <w:tcMar>
              <w:top w:w="95" w:type="dxa"/>
              <w:start w:w="150" w:type="dxa"/>
              <w:bottom w:w="95" w:type="dxa"/>
              <w:end w:w="150" w:type="dxa"/>
            </w:tcMar>
          </w:tcPr>
          <w:p>
            <w:pPr>
              <w:spacing w:after="40"/>
            </w:pPr>
            <w:r>
              <w:rPr>
                <w:b/>
                <w:color w:val="172033"/>
                <w:sz w:val="19"/>
              </w:rPr>
              <w:t>Cryptographically scoped approval</w:t>
            </w:r>
          </w:p>
          <w:p>
            <w:pPr>
              <w:spacing w:after="0"/>
            </w:pPr>
            <w:r>
              <w:rPr>
                <w:color w:val="273142"/>
                <w:sz w:val="17"/>
              </w:rPr>
              <w:t>Approvals bind the entire exact action, expire within five minutes, resist clock skew, and use an atomic one-time replay marker. Production signing is Ed25519.</w:t>
            </w:r>
          </w:p>
        </w:tc>
      </w:tr>
      <w:tr>
        <w:tc>
          <w:tcPr>
            <w:tcW w:type="dxa" w:w="700"/>
            <w:shd w:fill="0A192F"/>
            <w:tcMar>
              <w:top w:w="95" w:type="dxa"/>
              <w:start w:w="110" w:type="dxa"/>
              <w:bottom w:w="95" w:type="dxa"/>
              <w:end w:w="110" w:type="dxa"/>
            </w:tcMar>
          </w:tcPr>
          <w:p>
            <w:pPr>
              <w:jc w:val="center"/>
            </w:pPr>
            <w:r>
              <w:rPr>
                <w:b/>
                <w:color w:val="21C7D9"/>
                <w:sz w:val="22"/>
              </w:rPr>
              <w:t>05</w:t>
            </w:r>
          </w:p>
        </w:tc>
        <w:tc>
          <w:tcPr>
            <w:tcW w:type="dxa" w:w="8660"/>
            <w:shd w:fill="FFFFFF"/>
            <w:tcMar>
              <w:top w:w="95" w:type="dxa"/>
              <w:start w:w="150" w:type="dxa"/>
              <w:bottom w:w="95" w:type="dxa"/>
              <w:end w:w="150" w:type="dxa"/>
            </w:tcMar>
          </w:tcPr>
          <w:p>
            <w:pPr>
              <w:spacing w:after="40"/>
            </w:pPr>
            <w:r>
              <w:rPr>
                <w:b/>
                <w:color w:val="172033"/>
                <w:sz w:val="19"/>
              </w:rPr>
              <w:t>Evidence-gated learning</w:t>
            </w:r>
          </w:p>
          <w:p>
            <w:pPr>
              <w:spacing w:after="0"/>
            </w:pPr>
            <w:r>
              <w:rPr>
                <w:color w:val="273142"/>
                <w:sz w:val="17"/>
              </w:rPr>
              <w:t>A behavior must succeed across three independent verified task IDs and an offline unseen-UI holdout before it can become a reusable skill.</w:t>
            </w:r>
          </w:p>
        </w:tc>
      </w:tr>
      <w:tr>
        <w:tc>
          <w:tcPr>
            <w:tcW w:type="dxa" w:w="700"/>
            <w:shd w:fill="0A192F"/>
            <w:tcMar>
              <w:top w:w="95" w:type="dxa"/>
              <w:start w:w="110" w:type="dxa"/>
              <w:bottom w:w="95" w:type="dxa"/>
              <w:end w:w="110" w:type="dxa"/>
            </w:tcMar>
          </w:tcPr>
          <w:p>
            <w:pPr>
              <w:jc w:val="center"/>
            </w:pPr>
            <w:r>
              <w:rPr>
                <w:b/>
                <w:color w:val="21C7D9"/>
                <w:sz w:val="22"/>
              </w:rPr>
              <w:t>06</w:t>
            </w:r>
          </w:p>
        </w:tc>
        <w:tc>
          <w:tcPr>
            <w:tcW w:type="dxa" w:w="8660"/>
            <w:shd w:fill="F3F5F7"/>
            <w:tcMar>
              <w:top w:w="95" w:type="dxa"/>
              <w:start w:w="150" w:type="dxa"/>
              <w:bottom w:w="95" w:type="dxa"/>
              <w:end w:w="150" w:type="dxa"/>
            </w:tcMar>
          </w:tcPr>
          <w:p>
            <w:pPr>
              <w:spacing w:after="40"/>
            </w:pPr>
            <w:r>
              <w:rPr>
                <w:b/>
                <w:color w:val="172033"/>
                <w:sz w:val="19"/>
              </w:rPr>
              <w:t>Redacted, hardened traces</w:t>
            </w:r>
          </w:p>
          <w:p>
            <w:pPr>
              <w:spacing w:after="0"/>
            </w:pPr>
            <w:r>
              <w:rPr>
                <w:color w:val="273142"/>
                <w:sz w:val="17"/>
              </w:rPr>
              <w:t>Trace files use restrictive directory/file modes, no-follow creation, PII redaction, and unconditional redaction of action values.</w:t>
            </w:r>
          </w:p>
        </w:tc>
      </w:tr>
      <w:tr>
        <w:tc>
          <w:tcPr>
            <w:tcW w:type="dxa" w:w="700"/>
            <w:shd w:fill="0A192F"/>
            <w:tcMar>
              <w:top w:w="95" w:type="dxa"/>
              <w:start w:w="110" w:type="dxa"/>
              <w:bottom w:w="95" w:type="dxa"/>
              <w:end w:w="110" w:type="dxa"/>
            </w:tcMar>
          </w:tcPr>
          <w:p>
            <w:pPr>
              <w:jc w:val="center"/>
            </w:pPr>
            <w:r>
              <w:rPr>
                <w:b/>
                <w:color w:val="21C7D9"/>
                <w:sz w:val="22"/>
              </w:rPr>
              <w:t>07</w:t>
            </w:r>
          </w:p>
        </w:tc>
        <w:tc>
          <w:tcPr>
            <w:tcW w:type="dxa" w:w="8660"/>
            <w:shd w:fill="FFFFFF"/>
            <w:tcMar>
              <w:top w:w="95" w:type="dxa"/>
              <w:start w:w="150" w:type="dxa"/>
              <w:bottom w:w="95" w:type="dxa"/>
              <w:end w:w="150" w:type="dxa"/>
            </w:tcMar>
          </w:tcPr>
          <w:p>
            <w:pPr>
              <w:spacing w:after="40"/>
            </w:pPr>
            <w:r>
              <w:rPr>
                <w:b/>
                <w:color w:val="172033"/>
                <w:sz w:val="19"/>
              </w:rPr>
              <w:t>Multiple operator surfaces</w:t>
            </w:r>
          </w:p>
          <w:p>
            <w:pPr>
              <w:spacing w:after="0"/>
            </w:pPr>
            <w:r>
              <w:rPr>
                <w:color w:val="273142"/>
                <w:sz w:val="17"/>
              </w:rPr>
              <w:t>The same runtime is exposed through CLI, Electron desktop, MCP integration, and shared-skill synchronization—without letting those surfaces bypass policy.</w:t>
            </w:r>
          </w:p>
        </w:tc>
      </w:tr>
    </w:tbl>
    <w:p>
      <w:pPr>
        <w:spacing w:after="0"/>
      </w:pPr>
    </w:p>
    <w:p>
      <w:pPr>
        <w:pStyle w:val="Heading2"/>
        <w:keepNext w:val="1"/>
      </w:pPr>
      <w:r>
        <w:t>The positioning sentence</w:t>
      </w:r>
    </w:p>
    <w:tbl>
      <w:tblPr>
        <w:tblW w:type="dxa" w:w="9360"/>
        <w:tblLayout w:type="fixed"/>
        <w:tblLook w:firstColumn="1" w:firstRow="1" w:lastColumn="0" w:lastRow="0" w:noHBand="0" w:noVBand="1" w:val="04A0"/>
        <w:tblInd w:w="0" w:type="dxa"/>
      </w:tblPr>
      <w:tblGrid>
        <w:gridCol w:w="10080"/>
      </w:tblGrid>
      <w:tr>
        <w:tc>
          <w:tcPr>
            <w:tcW w:type="dxa" w:w="10080"/>
            <w:shd w:fill="F0F8DF"/>
            <w:tcMar>
              <w:top w:w="140" w:type="dxa"/>
              <w:start w:w="180" w:type="dxa"/>
              <w:bottom w:w="140" w:type="dxa"/>
              <w:end w:w="180" w:type="dxa"/>
            </w:tcMar>
            <w:tcBorders>
              <w:start w:val="single" w:sz="30" w:color="78A11F"/>
            </w:tcBorders>
          </w:tcPr>
          <w:p>
            <w:pPr>
              <w:spacing w:after="40"/>
            </w:pPr>
            <w:r>
              <w:rPr>
                <w:b/>
                <w:color w:val="78A11F"/>
                <w:sz w:val="16"/>
              </w:rPr>
              <w:t>RECOMMENDED FRAMING</w:t>
            </w:r>
          </w:p>
          <w:p>
            <w:pPr>
              <w:spacing w:after="0" w:line="252" w:lineRule="auto"/>
            </w:pPr>
            <w:r>
              <w:rPr>
                <w:sz w:val="21"/>
              </w:rPr>
              <w:t>LHIC is a secure local execution substrate that lets intelligence propose work while policy, human authority, deterministic automation, verification, and audit evidence decide what actually happened.</w:t>
            </w:r>
          </w:p>
        </w:tc>
      </w:tr>
    </w:tbl>
    <w:p>
      <w:pPr>
        <w:spacing w:after="0"/>
      </w:pPr>
    </w:p>
    <w:p>
      <w:r>
        <w:br w:type="page"/>
      </w:r>
    </w:p>
    <w:p>
      <w:pPr>
        <w:spacing w:before="40" w:after="80"/>
        <w:keepNext w:val="1"/>
      </w:pPr>
      <w:r>
        <w:rPr>
          <w:rFonts w:ascii="Arial" w:hAnsi="Arial"/>
          <w:b/>
          <w:color w:val="21C7D9"/>
          <w:sz w:val="16"/>
        </w:rPr>
        <w:t>SAFETY MODEL</w:t>
      </w:r>
    </w:p>
    <w:p>
      <w:pPr>
        <w:pStyle w:val="Heading1"/>
        <w:spacing w:before="0" w:after="100"/>
        <w:keepNext w:val="1"/>
      </w:pPr>
      <w:r>
        <w:t>Trust is enforced in the execution layer</w:t>
      </w:r>
    </w:p>
    <w:p>
      <w:pPr>
        <w:pStyle w:val="Subtitle"/>
        <w:spacing w:after="240"/>
        <w:keepNext w:val="1"/>
      </w:pPr>
      <w:r>
        <w:t>The security design is valuable because it is compositional: network, approval, filesystem, provider, and verifier controls reinforce each other.</w:t>
      </w:r>
    </w:p>
    <w:p>
      <w:pPr>
        <w:pStyle w:val="Heading2"/>
        <w:keepNext w:val="1"/>
      </w:pPr>
      <w:r>
        <w:t>Browser and network boundary</w:t>
      </w:r>
    </w:p>
    <w:p>
      <w:pPr>
        <w:pStyle w:val="ListBullet"/>
        <w:spacing w:after="80"/>
        <w:keepLines w:val="1"/>
      </w:pPr>
      <w:r>
        <w:t>Production execution validates protocols and origins, rejects credentials embedded in URLs, checks redirects, resolves DNS, and rejects private-network targets.</w:t>
      </w:r>
    </w:p>
    <w:p>
      <w:pPr>
        <w:pStyle w:val="ListBullet"/>
        <w:spacing w:after="80"/>
        <w:keepLines w:val="1"/>
      </w:pPr>
      <w:r>
        <w:t>Raw coordinate browser actions are excluded from the Fast Path. DOM/accessibility selectors are preferred, and ambiguous resolution fails closed.</w:t>
      </w:r>
    </w:p>
    <w:p>
      <w:pPr>
        <w:pStyle w:val="ListBullet"/>
        <w:spacing w:after="80"/>
        <w:keepLines w:val="1"/>
      </w:pPr>
      <w:r>
        <w:t>CAPTCHA/2FA, missing verifier evidence, and unsupported postconditions are escalation conditions—not implicit success paths.</w:t>
      </w:r>
    </w:p>
    <w:p>
      <w:pPr>
        <w:pStyle w:val="Heading2"/>
        <w:keepNext w:val="1"/>
      </w:pPr>
      <w:r>
        <w:t>Approval and replay boundary</w:t>
      </w:r>
    </w:p>
    <w:p>
      <w:pPr>
        <w:pStyle w:val="ListBullet"/>
        <w:spacing w:after="80"/>
        <w:keepLines w:val="1"/>
      </w:pPr>
      <w:r>
        <w:t>The approval token hashes the exact action payload; changing any field invalidates the approval.</w:t>
      </w:r>
    </w:p>
    <w:p>
      <w:pPr>
        <w:pStyle w:val="ListBullet"/>
        <w:spacing w:after="80"/>
        <w:keepLines w:val="1"/>
      </w:pPr>
      <w:r>
        <w:t>Production approval uses Ed25519 signatures, a maximum five-minute validity window, a future-clock-skew guard, and an atomic one-time replay marker.</w:t>
      </w:r>
    </w:p>
    <w:p>
      <w:pPr>
        <w:pStyle w:val="ListBullet"/>
        <w:spacing w:after="80"/>
        <w:keepLines w:val="1"/>
      </w:pPr>
      <w:r>
        <w:t>Global desktop actions always require matching human approval and active-window/process evidence before and after execution.</w:t>
      </w:r>
    </w:p>
    <w:p>
      <w:pPr>
        <w:pStyle w:val="Heading2"/>
        <w:keepNext w:val="1"/>
      </w:pPr>
      <w:r>
        <w:t>Data and provider boundary</w:t>
      </w:r>
    </w:p>
    <w:p>
      <w:pPr>
        <w:pStyle w:val="ListBullet"/>
        <w:spacing w:after="80"/>
        <w:keepLines w:val="1"/>
      </w:pPr>
      <w:r>
        <w:t>Trace storage uses restrictive POSIX permissions and O_NOFOLLOW where supported; PII is redacted and action values are never logged in clear text.</w:t>
      </w:r>
    </w:p>
    <w:p>
      <w:pPr>
        <w:pStyle w:val="ListBullet"/>
        <w:spacing w:after="80"/>
        <w:keepLines w:val="1"/>
      </w:pPr>
      <w:r>
        <w:t>AES-256-GCM utilities and GCP/Vault key retrieval exist. AWS KMS intentionally fails unless the caller provides SigV4-capable resolver integration.</w:t>
      </w:r>
    </w:p>
    <w:p>
      <w:pPr>
        <w:pStyle w:val="ListBullet"/>
        <w:spacing w:after="80"/>
        <w:keepLines w:val="1"/>
      </w:pPr>
      <w:r>
        <w:t>The optional OpenAI planner is disabled by default, receives redacted input, uses strict structured output, sets store:false, times out after 30 seconds, and cannot bypass schema, policy, approval, or verifier checks.</w:t>
      </w:r>
    </w:p>
    <w:tbl>
      <w:tblPr>
        <w:tblStyle w:val="TableGrid"/>
        <w:tblW w:type="dxa" w:w="9360"/>
        <w:jc w:val="center"/>
        <w:tblLayout w:type="fixed"/>
        <w:tblLook w:firstColumn="1" w:firstRow="1" w:lastColumn="0" w:lastRow="0" w:noHBand="0" w:noVBand="1" w:val="04A0"/>
        <w:tblInd w:w="0" w:type="dxa"/>
      </w:tblPr>
      <w:tblGrid>
        <w:gridCol w:w="5040"/>
        <w:gridCol w:w="5040"/>
      </w:tblGrid>
      <w:tr>
        <w:trPr>
          <w:tblHeader w:val="true"/>
        </w:trPr>
        <w:tc>
          <w:tcPr>
            <w:tcW w:type="dxa" w:w="3200"/>
            <w:shd w:fill="0A192F"/>
            <w:tcMar>
              <w:top w:w="100" w:type="dxa"/>
              <w:start w:w="110" w:type="dxa"/>
              <w:bottom w:w="100" w:type="dxa"/>
              <w:end w:w="110" w:type="dxa"/>
            </w:tcMar>
          </w:tcPr>
          <w:p>
            <w:pPr>
              <w:spacing w:after="0"/>
            </w:pPr>
            <w:r>
              <w:rPr>
                <w:b/>
                <w:color w:val="FFFFFF"/>
                <w:sz w:val="17"/>
              </w:rPr>
              <w:t>Threat / failure mode</w:t>
            </w:r>
          </w:p>
        </w:tc>
        <w:tc>
          <w:tcPr>
            <w:tcW w:type="dxa" w:w="6160"/>
            <w:shd w:fill="0A192F"/>
            <w:tcMar>
              <w:top w:w="100" w:type="dxa"/>
              <w:start w:w="110" w:type="dxa"/>
              <w:bottom w:w="100" w:type="dxa"/>
              <w:end w:w="110" w:type="dxa"/>
            </w:tcMar>
          </w:tcPr>
          <w:p>
            <w:pPr>
              <w:spacing w:after="0"/>
            </w:pPr>
            <w:r>
              <w:rPr>
                <w:b/>
                <w:color w:val="FFFFFF"/>
                <w:sz w:val="17"/>
              </w:rPr>
              <w:t>Observed response</w:t>
            </w:r>
          </w:p>
        </w:tc>
      </w:tr>
      <w:tr>
        <w:tc>
          <w:tcPr>
            <w:tcW w:type="dxa" w:w="3200"/>
            <w:tcMar>
              <w:top w:w="85" w:type="dxa"/>
              <w:start w:w="110" w:type="dxa"/>
              <w:bottom w:w="85" w:type="dxa"/>
              <w:end w:w="110" w:type="dxa"/>
            </w:tcMar>
            <w:vAlign w:val="center"/>
          </w:tcPr>
          <w:p>
            <w:pPr>
              <w:spacing w:after="0" w:line="240" w:lineRule="auto"/>
            </w:pPr>
            <w:r>
              <w:rPr>
                <w:color w:val="273142"/>
                <w:sz w:val="16"/>
              </w:rPr>
              <w:t>Ambiguous target</w:t>
            </w:r>
          </w:p>
        </w:tc>
        <w:tc>
          <w:tcPr>
            <w:tcW w:type="dxa" w:w="6160"/>
            <w:tcMar>
              <w:top w:w="85" w:type="dxa"/>
              <w:start w:w="110" w:type="dxa"/>
              <w:bottom w:w="85" w:type="dxa"/>
              <w:end w:w="110" w:type="dxa"/>
            </w:tcMar>
            <w:vAlign w:val="center"/>
          </w:tcPr>
          <w:p>
            <w:pPr>
              <w:spacing w:after="0" w:line="240" w:lineRule="auto"/>
            </w:pPr>
            <w:r>
              <w:rPr>
                <w:color w:val="273142"/>
                <w:sz w:val="16"/>
              </w:rPr>
              <w:t>Reject unless exactly one structured match exists.</w:t>
            </w:r>
          </w:p>
        </w:tc>
      </w:tr>
      <w:tr>
        <w:tc>
          <w:tcPr>
            <w:tcW w:type="dxa" w:w="3200"/>
            <w:tcMar>
              <w:top w:w="85" w:type="dxa"/>
              <w:start w:w="110" w:type="dxa"/>
              <w:bottom w:w="85" w:type="dxa"/>
              <w:end w:w="110" w:type="dxa"/>
            </w:tcMar>
            <w:shd w:fill="F3F5F7"/>
            <w:vAlign w:val="center"/>
          </w:tcPr>
          <w:p>
            <w:pPr>
              <w:spacing w:after="0" w:line="240" w:lineRule="auto"/>
            </w:pPr>
            <w:r>
              <w:rPr>
                <w:color w:val="273142"/>
                <w:sz w:val="16"/>
              </w:rPr>
              <w:t>High/unknown-risk action</w:t>
            </w:r>
          </w:p>
        </w:tc>
        <w:tc>
          <w:tcPr>
            <w:tcW w:type="dxa" w:w="6160"/>
            <w:tcMar>
              <w:top w:w="85" w:type="dxa"/>
              <w:start w:w="110" w:type="dxa"/>
              <w:bottom w:w="85" w:type="dxa"/>
              <w:end w:w="110" w:type="dxa"/>
            </w:tcMar>
            <w:shd w:fill="F3F5F7"/>
            <w:vAlign w:val="center"/>
          </w:tcPr>
          <w:p>
            <w:pPr>
              <w:spacing w:after="0" w:line="240" w:lineRule="auto"/>
            </w:pPr>
            <w:r>
              <w:rPr>
                <w:color w:val="273142"/>
                <w:sz w:val="16"/>
              </w:rPr>
              <w:t>Route to user confirmation; provider cannot self-authorize.</w:t>
            </w:r>
          </w:p>
        </w:tc>
      </w:tr>
      <w:tr>
        <w:tc>
          <w:tcPr>
            <w:tcW w:type="dxa" w:w="3200"/>
            <w:tcMar>
              <w:top w:w="85" w:type="dxa"/>
              <w:start w:w="110" w:type="dxa"/>
              <w:bottom w:w="85" w:type="dxa"/>
              <w:end w:w="110" w:type="dxa"/>
            </w:tcMar>
            <w:vAlign w:val="center"/>
          </w:tcPr>
          <w:p>
            <w:pPr>
              <w:spacing w:after="0" w:line="240" w:lineRule="auto"/>
            </w:pPr>
            <w:r>
              <w:rPr>
                <w:color w:val="273142"/>
                <w:sz w:val="16"/>
              </w:rPr>
              <w:t>Approval replay</w:t>
            </w:r>
          </w:p>
        </w:tc>
        <w:tc>
          <w:tcPr>
            <w:tcW w:type="dxa" w:w="6160"/>
            <w:tcMar>
              <w:top w:w="85" w:type="dxa"/>
              <w:start w:w="110" w:type="dxa"/>
              <w:bottom w:w="85" w:type="dxa"/>
              <w:end w:w="110" w:type="dxa"/>
            </w:tcMar>
            <w:vAlign w:val="center"/>
          </w:tcPr>
          <w:p>
            <w:pPr>
              <w:spacing w:after="0" w:line="240" w:lineRule="auto"/>
            </w:pPr>
            <w:r>
              <w:rPr>
                <w:color w:val="273142"/>
                <w:sz w:val="16"/>
              </w:rPr>
              <w:t>Atomic one-time marker rejects reuse.</w:t>
            </w:r>
          </w:p>
        </w:tc>
      </w:tr>
      <w:tr>
        <w:tc>
          <w:tcPr>
            <w:tcW w:type="dxa" w:w="3200"/>
            <w:tcMar>
              <w:top w:w="85" w:type="dxa"/>
              <w:start w:w="110" w:type="dxa"/>
              <w:bottom w:w="85" w:type="dxa"/>
              <w:end w:w="110" w:type="dxa"/>
            </w:tcMar>
            <w:shd w:fill="F3F5F7"/>
            <w:vAlign w:val="center"/>
          </w:tcPr>
          <w:p>
            <w:pPr>
              <w:spacing w:after="0" w:line="240" w:lineRule="auto"/>
            </w:pPr>
            <w:r>
              <w:rPr>
                <w:color w:val="273142"/>
                <w:sz w:val="16"/>
              </w:rPr>
              <w:t>Private/credentialed URL</w:t>
            </w:r>
          </w:p>
        </w:tc>
        <w:tc>
          <w:tcPr>
            <w:tcW w:type="dxa" w:w="6160"/>
            <w:tcMar>
              <w:top w:w="85" w:type="dxa"/>
              <w:start w:w="110" w:type="dxa"/>
              <w:bottom w:w="85" w:type="dxa"/>
              <w:end w:w="110" w:type="dxa"/>
            </w:tcMar>
            <w:shd w:fill="F3F5F7"/>
            <w:vAlign w:val="center"/>
          </w:tcPr>
          <w:p>
            <w:pPr>
              <w:spacing w:after="0" w:line="240" w:lineRule="auto"/>
            </w:pPr>
            <w:r>
              <w:rPr>
                <w:color w:val="273142"/>
                <w:sz w:val="16"/>
              </w:rPr>
              <w:t>Fail before navigation.</w:t>
            </w:r>
          </w:p>
        </w:tc>
      </w:tr>
      <w:tr>
        <w:tc>
          <w:tcPr>
            <w:tcW w:type="dxa" w:w="3200"/>
            <w:tcMar>
              <w:top w:w="85" w:type="dxa"/>
              <w:start w:w="110" w:type="dxa"/>
              <w:bottom w:w="85" w:type="dxa"/>
              <w:end w:w="110" w:type="dxa"/>
            </w:tcMar>
            <w:vAlign w:val="center"/>
          </w:tcPr>
          <w:p>
            <w:pPr>
              <w:spacing w:after="0" w:line="240" w:lineRule="auto"/>
            </w:pPr>
            <w:r>
              <w:rPr>
                <w:color w:val="273142"/>
                <w:sz w:val="16"/>
              </w:rPr>
              <w:t>Missing postcondition evidence</w:t>
            </w:r>
          </w:p>
        </w:tc>
        <w:tc>
          <w:tcPr>
            <w:tcW w:type="dxa" w:w="6160"/>
            <w:tcMar>
              <w:top w:w="85" w:type="dxa"/>
              <w:start w:w="110" w:type="dxa"/>
              <w:bottom w:w="85" w:type="dxa"/>
              <w:end w:w="110" w:type="dxa"/>
            </w:tcMar>
            <w:vAlign w:val="center"/>
          </w:tcPr>
          <w:p>
            <w:pPr>
              <w:spacing w:after="0" w:line="240" w:lineRule="auto"/>
            </w:pPr>
            <w:r>
              <w:rPr>
                <w:color w:val="273142"/>
                <w:sz w:val="16"/>
              </w:rPr>
              <w:t>Task does not succeed.</w:t>
            </w:r>
          </w:p>
        </w:tc>
      </w:tr>
      <w:tr>
        <w:tc>
          <w:tcPr>
            <w:tcW w:type="dxa" w:w="3200"/>
            <w:tcMar>
              <w:top w:w="85" w:type="dxa"/>
              <w:start w:w="110" w:type="dxa"/>
              <w:bottom w:w="85" w:type="dxa"/>
              <w:end w:w="110" w:type="dxa"/>
            </w:tcMar>
            <w:shd w:fill="F3F5F7"/>
            <w:vAlign w:val="center"/>
          </w:tcPr>
          <w:p>
            <w:pPr>
              <w:spacing w:after="0" w:line="240" w:lineRule="auto"/>
            </w:pPr>
            <w:r>
              <w:rPr>
                <w:color w:val="273142"/>
                <w:sz w:val="16"/>
              </w:rPr>
              <w:t>External model timeout or malformed JSON</w:t>
            </w:r>
          </w:p>
        </w:tc>
        <w:tc>
          <w:tcPr>
            <w:tcW w:type="dxa" w:w="6160"/>
            <w:tcMar>
              <w:top w:w="85" w:type="dxa"/>
              <w:start w:w="110" w:type="dxa"/>
              <w:bottom w:w="85" w:type="dxa"/>
              <w:end w:w="110" w:type="dxa"/>
            </w:tcMar>
            <w:shd w:fill="F3F5F7"/>
            <w:vAlign w:val="center"/>
          </w:tcPr>
          <w:p>
            <w:pPr>
              <w:spacing w:after="0" w:line="240" w:lineRule="auto"/>
            </w:pPr>
            <w:r>
              <w:rPr>
                <w:color w:val="273142"/>
                <w:sz w:val="16"/>
              </w:rPr>
              <w:t>Fail closed; local policy remains authoritative.</w:t>
            </w:r>
          </w:p>
        </w:tc>
      </w:tr>
    </w:tbl>
    <w:p>
      <w:pPr>
        <w:spacing w:after="0"/>
      </w:pPr>
    </w:p>
    <w:p>
      <w:r>
        <w:br w:type="page"/>
      </w:r>
    </w:p>
    <w:p>
      <w:pPr>
        <w:spacing w:before="40" w:after="80"/>
        <w:keepNext w:val="1"/>
      </w:pPr>
      <w:r>
        <w:rPr>
          <w:rFonts w:ascii="Arial" w:hAnsi="Arial"/>
          <w:b/>
          <w:color w:val="21C7D9"/>
          <w:sz w:val="16"/>
        </w:rPr>
        <w:t>VALIDATION</w:t>
      </w:r>
    </w:p>
    <w:p>
      <w:pPr>
        <w:pStyle w:val="Heading1"/>
        <w:spacing w:before="0" w:after="100"/>
        <w:keepNext w:val="1"/>
      </w:pPr>
      <w:r>
        <w:t>What the current checkout proved</w:t>
      </w:r>
    </w:p>
    <w:p>
      <w:pPr>
        <w:pStyle w:val="Subtitle"/>
        <w:spacing w:after="240"/>
        <w:keepNext w:val="1"/>
      </w:pPr>
      <w:r>
        <w:t>All project-standard checks and the two local evidence suites passed during this review.</w:t>
      </w:r>
    </w:p>
    <w:tbl>
      <w:tblPr>
        <w:tblW w:type="dxa" w:w="9360"/>
        <w:jc w:val="center"/>
        <w:tblLayout w:type="fixed"/>
        <w:tblLook w:firstColumn="1" w:firstRow="1" w:lastColumn="0" w:lastRow="0" w:noHBand="0" w:noVBand="1" w:val="04A0"/>
        <w:tblInd w:w="0" w:type="dxa"/>
      </w:tblPr>
      <w:tblGrid>
        <w:gridCol w:w="2520"/>
        <w:gridCol w:w="2520"/>
        <w:gridCol w:w="2520"/>
        <w:gridCol w:w="2520"/>
      </w:tblGrid>
      <w:tr>
        <w:tc>
          <w:tcPr>
            <w:tcW w:type="dxa" w:w="2340"/>
            <w:tcBorders>
              <w:top w:val="nil"/>
              <w:start w:val="nil"/>
              <w:bottom w:val="nil"/>
              <w:end w:val="nil"/>
              <w:insideH w:val="nil"/>
              <w:insideV w:val="nil"/>
            </w:tcBorders>
            <w:shd w:fill="0A192F"/>
            <w:tcMar>
              <w:top w:w="160" w:type="dxa"/>
              <w:start w:w="170" w:type="dxa"/>
              <w:bottom w:w="150" w:type="dxa"/>
              <w:end w:w="170" w:type="dxa"/>
            </w:tcMar>
          </w:tcPr>
          <w:p>
            <w:pPr>
              <w:spacing w:after="40"/>
              <w:jc w:val="left"/>
            </w:pPr>
            <w:r>
              <w:rPr>
                <w:rFonts w:ascii="Arial" w:hAnsi="Arial"/>
                <w:b/>
                <w:color w:val="B8F34A"/>
                <w:sz w:val="40"/>
              </w:rPr>
              <w:t>341/341</w:t>
            </w:r>
          </w:p>
          <w:p>
            <w:pPr>
              <w:spacing w:after="40"/>
            </w:pPr>
            <w:r>
              <w:rPr>
                <w:b/>
                <w:color w:val="FFFFFF"/>
                <w:sz w:val="16"/>
              </w:rPr>
              <w:t>TESTS</w:t>
            </w:r>
          </w:p>
          <w:p>
            <w:pPr>
              <w:spacing w:after="0"/>
            </w:pPr>
            <w:r>
              <w:rPr>
                <w:color w:val="C8D2E1"/>
                <w:sz w:val="15"/>
              </w:rPr>
              <w:t>93 files; all passed</w:t>
            </w:r>
          </w:p>
        </w:tc>
        <w:tc>
          <w:tcPr>
            <w:tcW w:type="dxa" w:w="2340"/>
            <w:tcBorders>
              <w:top w:val="nil"/>
              <w:start w:val="nil"/>
              <w:bottom w:val="nil"/>
              <w:end w:val="nil"/>
              <w:insideH w:val="nil"/>
              <w:insideV w:val="nil"/>
            </w:tcBorders>
            <w:shd w:fill="10243E"/>
            <w:tcMar>
              <w:top w:w="160" w:type="dxa"/>
              <w:start w:w="170" w:type="dxa"/>
              <w:bottom w:w="150" w:type="dxa"/>
              <w:end w:w="170" w:type="dxa"/>
            </w:tcMar>
          </w:tcPr>
          <w:p>
            <w:pPr>
              <w:spacing w:after="40"/>
              <w:jc w:val="left"/>
            </w:pPr>
            <w:r>
              <w:rPr>
                <w:rFonts w:ascii="Arial" w:hAnsi="Arial"/>
                <w:b/>
                <w:color w:val="21C7D9"/>
                <w:sz w:val="40"/>
              </w:rPr>
              <w:t>100%</w:t>
            </w:r>
          </w:p>
          <w:p>
            <w:pPr>
              <w:spacing w:after="40"/>
            </w:pPr>
            <w:r>
              <w:rPr>
                <w:b/>
                <w:color w:val="FFFFFF"/>
                <w:sz w:val="16"/>
              </w:rPr>
              <w:t>TASK SUCCESS</w:t>
            </w:r>
          </w:p>
          <w:p>
            <w:pPr>
              <w:spacing w:after="0"/>
            </w:pPr>
            <w:r>
              <w:rPr>
                <w:color w:val="C8D2E1"/>
                <w:sz w:val="15"/>
              </w:rPr>
              <w:t>300 controlled internal executions</w:t>
            </w:r>
          </w:p>
        </w:tc>
        <w:tc>
          <w:tcPr>
            <w:tcW w:type="dxa" w:w="2340"/>
            <w:tcBorders>
              <w:top w:val="nil"/>
              <w:start w:val="nil"/>
              <w:bottom w:val="nil"/>
              <w:end w:val="nil"/>
              <w:insideH w:val="nil"/>
              <w:insideV w:val="nil"/>
            </w:tcBorders>
            <w:shd w:fill="0A192F"/>
            <w:tcMar>
              <w:top w:w="160" w:type="dxa"/>
              <w:start w:w="170" w:type="dxa"/>
              <w:bottom w:w="150" w:type="dxa"/>
              <w:end w:w="170" w:type="dxa"/>
            </w:tcMar>
          </w:tcPr>
          <w:p>
            <w:pPr>
              <w:spacing w:after="40"/>
              <w:jc w:val="left"/>
            </w:pPr>
            <w:r>
              <w:rPr>
                <w:rFonts w:ascii="Arial" w:hAnsi="Arial"/>
                <w:b/>
                <w:color w:val="21C7D9"/>
                <w:sz w:val="40"/>
              </w:rPr>
              <w:t>774 ms</w:t>
            </w:r>
          </w:p>
          <w:p>
            <w:pPr>
              <w:spacing w:after="40"/>
            </w:pPr>
            <w:r>
              <w:rPr>
                <w:b/>
                <w:color w:val="FFFFFF"/>
                <w:sz w:val="16"/>
              </w:rPr>
              <w:t>P95 LATENCY</w:t>
            </w:r>
          </w:p>
          <w:p>
            <w:pPr>
              <w:spacing w:after="0"/>
            </w:pPr>
            <w:r>
              <w:rPr>
                <w:color w:val="C8D2E1"/>
                <w:sz w:val="15"/>
              </w:rPr>
              <w:t>Internal fixture suite</w:t>
            </w:r>
          </w:p>
        </w:tc>
        <w:tc>
          <w:tcPr>
            <w:tcW w:type="dxa" w:w="2340"/>
            <w:tcBorders>
              <w:top w:val="nil"/>
              <w:start w:val="nil"/>
              <w:bottom w:val="nil"/>
              <w:end w:val="nil"/>
              <w:insideH w:val="nil"/>
              <w:insideV w:val="nil"/>
            </w:tcBorders>
            <w:shd w:fill="10243E"/>
            <w:tcMar>
              <w:top w:w="160" w:type="dxa"/>
              <w:start w:w="170" w:type="dxa"/>
              <w:bottom w:w="150" w:type="dxa"/>
              <w:end w:w="170" w:type="dxa"/>
            </w:tcMar>
          </w:tcPr>
          <w:p>
            <w:pPr>
              <w:spacing w:after="40"/>
              <w:jc w:val="left"/>
            </w:pPr>
            <w:r>
              <w:rPr>
                <w:rFonts w:ascii="Arial" w:hAnsi="Arial"/>
                <w:b/>
                <w:color w:val="21C7D9"/>
                <w:sz w:val="40"/>
              </w:rPr>
              <w:t>0</w:t>
            </w:r>
          </w:p>
          <w:p>
            <w:pPr>
              <w:spacing w:after="40"/>
            </w:pPr>
            <w:r>
              <w:rPr>
                <w:b/>
                <w:color w:val="FFFFFF"/>
                <w:sz w:val="16"/>
              </w:rPr>
              <w:t>MODEL CALLS</w:t>
            </w:r>
          </w:p>
          <w:p>
            <w:pPr>
              <w:spacing w:after="0"/>
            </w:pPr>
            <w:r>
              <w:rPr>
                <w:color w:val="C8D2E1"/>
                <w:sz w:val="15"/>
              </w:rPr>
              <w:t>Per task in internal Fast Path benchmark</w:t>
            </w:r>
          </w:p>
        </w:tc>
      </w:tr>
    </w:tbl>
    <w:p>
      <w:pPr>
        <w:spacing w:after="0"/>
      </w:pPr>
    </w:p>
    <w:tbl>
      <w:tblPr>
        <w:tblStyle w:val="TableGrid"/>
        <w:tblW w:type="dxa" w:w="9360"/>
        <w:jc w:val="center"/>
        <w:tblLayout w:type="fixed"/>
        <w:tblLook w:firstColumn="1" w:firstRow="1" w:lastColumn="0" w:lastRow="0" w:noHBand="0" w:noVBand="1" w:val="04A0"/>
        <w:tblInd w:w="0" w:type="dxa"/>
      </w:tblPr>
      <w:tblGrid>
        <w:gridCol w:w="3360"/>
        <w:gridCol w:w="3360"/>
        <w:gridCol w:w="3360"/>
      </w:tblGrid>
      <w:tr>
        <w:trPr>
          <w:tblHeader w:val="true"/>
        </w:trPr>
        <w:tc>
          <w:tcPr>
            <w:tcW w:type="dxa" w:w="2100"/>
            <w:shd w:fill="0A192F"/>
            <w:tcMar>
              <w:top w:w="100" w:type="dxa"/>
              <w:start w:w="110" w:type="dxa"/>
              <w:bottom w:w="100" w:type="dxa"/>
              <w:end w:w="110" w:type="dxa"/>
            </w:tcMar>
          </w:tcPr>
          <w:p>
            <w:pPr>
              <w:spacing w:after="0"/>
            </w:pPr>
            <w:r>
              <w:rPr>
                <w:b/>
                <w:color w:val="FFFFFF"/>
                <w:sz w:val="16"/>
              </w:rPr>
              <w:t>Check</w:t>
            </w:r>
          </w:p>
        </w:tc>
        <w:tc>
          <w:tcPr>
            <w:tcW w:type="dxa" w:w="2300"/>
            <w:shd w:fill="0A192F"/>
            <w:tcMar>
              <w:top w:w="100" w:type="dxa"/>
              <w:start w:w="110" w:type="dxa"/>
              <w:bottom w:w="100" w:type="dxa"/>
              <w:end w:w="110" w:type="dxa"/>
            </w:tcMar>
          </w:tcPr>
          <w:p>
            <w:pPr>
              <w:spacing w:after="0"/>
            </w:pPr>
            <w:r>
              <w:rPr>
                <w:b/>
                <w:color w:val="FFFFFF"/>
                <w:sz w:val="16"/>
              </w:rPr>
              <w:t>Result</w:t>
            </w:r>
          </w:p>
        </w:tc>
        <w:tc>
          <w:tcPr>
            <w:tcW w:type="dxa" w:w="4960"/>
            <w:shd w:fill="0A192F"/>
            <w:tcMar>
              <w:top w:w="100" w:type="dxa"/>
              <w:start w:w="110" w:type="dxa"/>
              <w:bottom w:w="100" w:type="dxa"/>
              <w:end w:w="110" w:type="dxa"/>
            </w:tcMar>
          </w:tcPr>
          <w:p>
            <w:pPr>
              <w:spacing w:after="0"/>
            </w:pPr>
            <w:r>
              <w:rPr>
                <w:b/>
                <w:color w:val="FFFFFF"/>
                <w:sz w:val="16"/>
              </w:rPr>
              <w:t>Interpretation</w:t>
            </w:r>
          </w:p>
        </w:tc>
      </w:tr>
      <w:tr>
        <w:tc>
          <w:tcPr>
            <w:tcW w:type="dxa" w:w="2100"/>
            <w:tcMar>
              <w:top w:w="85" w:type="dxa"/>
              <w:start w:w="110" w:type="dxa"/>
              <w:bottom w:w="85" w:type="dxa"/>
              <w:end w:w="110" w:type="dxa"/>
            </w:tcMar>
            <w:vAlign w:val="center"/>
          </w:tcPr>
          <w:p>
            <w:pPr>
              <w:spacing w:after="0" w:line="240" w:lineRule="auto"/>
            </w:pPr>
            <w:r>
              <w:rPr>
                <w:color w:val="273142"/>
                <w:sz w:val="15"/>
              </w:rPr>
              <w:t>npm run typecheck</w:t>
            </w:r>
          </w:p>
        </w:tc>
        <w:tc>
          <w:tcPr>
            <w:tcW w:type="dxa" w:w="2300"/>
            <w:tcMar>
              <w:top w:w="85" w:type="dxa"/>
              <w:start w:w="110" w:type="dxa"/>
              <w:bottom w:w="85" w:type="dxa"/>
              <w:end w:w="110" w:type="dxa"/>
            </w:tcMar>
            <w:vAlign w:val="center"/>
          </w:tcPr>
          <w:p>
            <w:pPr>
              <w:spacing w:after="0" w:line="240" w:lineRule="auto"/>
            </w:pPr>
            <w:r>
              <w:rPr>
                <w:color w:val="273142"/>
                <w:sz w:val="15"/>
              </w:rPr>
              <w:t>Passed</w:t>
            </w:r>
          </w:p>
        </w:tc>
        <w:tc>
          <w:tcPr>
            <w:tcW w:type="dxa" w:w="4960"/>
            <w:tcMar>
              <w:top w:w="85" w:type="dxa"/>
              <w:start w:w="110" w:type="dxa"/>
              <w:bottom w:w="85" w:type="dxa"/>
              <w:end w:w="110" w:type="dxa"/>
            </w:tcMar>
            <w:vAlign w:val="center"/>
          </w:tcPr>
          <w:p>
            <w:pPr>
              <w:spacing w:after="0" w:line="240" w:lineRule="auto"/>
            </w:pPr>
            <w:r>
              <w:rPr>
                <w:color w:val="273142"/>
                <w:sz w:val="15"/>
              </w:rPr>
              <w:t>TypeScript contracts are internally consistent.</w:t>
            </w:r>
          </w:p>
        </w:tc>
      </w:tr>
      <w:tr>
        <w:tc>
          <w:tcPr>
            <w:tcW w:type="dxa" w:w="2100"/>
            <w:tcMar>
              <w:top w:w="85" w:type="dxa"/>
              <w:start w:w="110" w:type="dxa"/>
              <w:bottom w:w="85" w:type="dxa"/>
              <w:end w:w="110" w:type="dxa"/>
            </w:tcMar>
            <w:shd w:fill="F3F5F7"/>
            <w:vAlign w:val="center"/>
          </w:tcPr>
          <w:p>
            <w:pPr>
              <w:spacing w:after="0" w:line="240" w:lineRule="auto"/>
            </w:pPr>
            <w:r>
              <w:rPr>
                <w:color w:val="273142"/>
                <w:sz w:val="15"/>
              </w:rPr>
              <w:t>npm test</w:t>
            </w:r>
          </w:p>
        </w:tc>
        <w:tc>
          <w:tcPr>
            <w:tcW w:type="dxa" w:w="2300"/>
            <w:tcMar>
              <w:top w:w="85" w:type="dxa"/>
              <w:start w:w="110" w:type="dxa"/>
              <w:bottom w:w="85" w:type="dxa"/>
              <w:end w:w="110" w:type="dxa"/>
            </w:tcMar>
            <w:shd w:fill="F3F5F7"/>
            <w:vAlign w:val="center"/>
          </w:tcPr>
          <w:p>
            <w:pPr>
              <w:spacing w:after="0" w:line="240" w:lineRule="auto"/>
            </w:pPr>
            <w:r>
              <w:rPr>
                <w:color w:val="273142"/>
                <w:sz w:val="15"/>
              </w:rPr>
              <w:t>Passed: 93 files / 341 tests</w:t>
            </w:r>
          </w:p>
        </w:tc>
        <w:tc>
          <w:tcPr>
            <w:tcW w:type="dxa" w:w="4960"/>
            <w:tcMar>
              <w:top w:w="85" w:type="dxa"/>
              <w:start w:w="110" w:type="dxa"/>
              <w:bottom w:w="85" w:type="dxa"/>
              <w:end w:w="110" w:type="dxa"/>
            </w:tcMar>
            <w:shd w:fill="F3F5F7"/>
            <w:vAlign w:val="center"/>
          </w:tcPr>
          <w:p>
            <w:pPr>
              <w:spacing w:after="0" w:line="240" w:lineRule="auto"/>
            </w:pPr>
            <w:r>
              <w:rPr>
                <w:color w:val="273142"/>
                <w:sz w:val="15"/>
              </w:rPr>
              <w:t>Unit and integration coverage passed for this checkout.</w:t>
            </w:r>
          </w:p>
        </w:tc>
      </w:tr>
      <w:tr>
        <w:tc>
          <w:tcPr>
            <w:tcW w:type="dxa" w:w="2100"/>
            <w:tcMar>
              <w:top w:w="85" w:type="dxa"/>
              <w:start w:w="110" w:type="dxa"/>
              <w:bottom w:w="85" w:type="dxa"/>
              <w:end w:w="110" w:type="dxa"/>
            </w:tcMar>
            <w:vAlign w:val="center"/>
          </w:tcPr>
          <w:p>
            <w:pPr>
              <w:spacing w:after="0" w:line="240" w:lineRule="auto"/>
            </w:pPr>
            <w:r>
              <w:rPr>
                <w:color w:val="273142"/>
                <w:sz w:val="15"/>
              </w:rPr>
              <w:t>npm run lint</w:t>
            </w:r>
          </w:p>
        </w:tc>
        <w:tc>
          <w:tcPr>
            <w:tcW w:type="dxa" w:w="2300"/>
            <w:tcMar>
              <w:top w:w="85" w:type="dxa"/>
              <w:start w:w="110" w:type="dxa"/>
              <w:bottom w:w="85" w:type="dxa"/>
              <w:end w:w="110" w:type="dxa"/>
            </w:tcMar>
            <w:vAlign w:val="center"/>
          </w:tcPr>
          <w:p>
            <w:pPr>
              <w:spacing w:after="0" w:line="240" w:lineRule="auto"/>
            </w:pPr>
            <w:r>
              <w:rPr>
                <w:color w:val="273142"/>
                <w:sz w:val="15"/>
              </w:rPr>
              <w:t>Passed</w:t>
            </w:r>
          </w:p>
        </w:tc>
        <w:tc>
          <w:tcPr>
            <w:tcW w:type="dxa" w:w="4960"/>
            <w:tcMar>
              <w:top w:w="85" w:type="dxa"/>
              <w:start w:w="110" w:type="dxa"/>
              <w:bottom w:w="85" w:type="dxa"/>
              <w:end w:w="110" w:type="dxa"/>
            </w:tcMar>
            <w:vAlign w:val="center"/>
          </w:tcPr>
          <w:p>
            <w:pPr>
              <w:spacing w:after="0" w:line="240" w:lineRule="auto"/>
            </w:pPr>
            <w:r>
              <w:rPr>
                <w:color w:val="273142"/>
                <w:sz w:val="15"/>
              </w:rPr>
              <w:t>Project lint rules passed.</w:t>
            </w:r>
          </w:p>
        </w:tc>
      </w:tr>
      <w:tr>
        <w:tc>
          <w:tcPr>
            <w:tcW w:type="dxa" w:w="2100"/>
            <w:tcMar>
              <w:top w:w="85" w:type="dxa"/>
              <w:start w:w="110" w:type="dxa"/>
              <w:bottom w:w="85" w:type="dxa"/>
              <w:end w:w="110" w:type="dxa"/>
            </w:tcMar>
            <w:shd w:fill="F3F5F7"/>
            <w:vAlign w:val="center"/>
          </w:tcPr>
          <w:p>
            <w:pPr>
              <w:spacing w:after="0" w:line="240" w:lineRule="auto"/>
            </w:pPr>
            <w:r>
              <w:rPr>
                <w:color w:val="273142"/>
                <w:sz w:val="15"/>
              </w:rPr>
              <w:t>npm run build</w:t>
            </w:r>
          </w:p>
        </w:tc>
        <w:tc>
          <w:tcPr>
            <w:tcW w:type="dxa" w:w="2300"/>
            <w:tcMar>
              <w:top w:w="85" w:type="dxa"/>
              <w:start w:w="110" w:type="dxa"/>
              <w:bottom w:w="85" w:type="dxa"/>
              <w:end w:w="110" w:type="dxa"/>
            </w:tcMar>
            <w:shd w:fill="F3F5F7"/>
            <w:vAlign w:val="center"/>
          </w:tcPr>
          <w:p>
            <w:pPr>
              <w:spacing w:after="0" w:line="240" w:lineRule="auto"/>
            </w:pPr>
            <w:r>
              <w:rPr>
                <w:color w:val="273142"/>
                <w:sz w:val="15"/>
              </w:rPr>
              <w:t>Passed</w:t>
            </w:r>
          </w:p>
        </w:tc>
        <w:tc>
          <w:tcPr>
            <w:tcW w:type="dxa" w:w="4960"/>
            <w:tcMar>
              <w:top w:w="85" w:type="dxa"/>
              <w:start w:w="110" w:type="dxa"/>
              <w:bottom w:w="85" w:type="dxa"/>
              <w:end w:w="110" w:type="dxa"/>
            </w:tcMar>
            <w:shd w:fill="F3F5F7"/>
            <w:vAlign w:val="center"/>
          </w:tcPr>
          <w:p>
            <w:pPr>
              <w:spacing w:after="0" w:line="240" w:lineRule="auto"/>
            </w:pPr>
            <w:r>
              <w:rPr>
                <w:color w:val="273142"/>
                <w:sz w:val="15"/>
              </w:rPr>
              <w:t>Packages/apps compiled successfully.</w:t>
            </w:r>
          </w:p>
        </w:tc>
      </w:tr>
      <w:tr>
        <w:tc>
          <w:tcPr>
            <w:tcW w:type="dxa" w:w="2100"/>
            <w:tcMar>
              <w:top w:w="85" w:type="dxa"/>
              <w:start w:w="110" w:type="dxa"/>
              <w:bottom w:w="85" w:type="dxa"/>
              <w:end w:w="110" w:type="dxa"/>
            </w:tcMar>
            <w:vAlign w:val="center"/>
          </w:tcPr>
          <w:p>
            <w:pPr>
              <w:spacing w:after="0" w:line="240" w:lineRule="auto"/>
            </w:pPr>
            <w:r>
              <w:rPr>
                <w:color w:val="273142"/>
                <w:sz w:val="15"/>
              </w:rPr>
              <w:t>npm run preflight</w:t>
            </w:r>
          </w:p>
        </w:tc>
        <w:tc>
          <w:tcPr>
            <w:tcW w:type="dxa" w:w="2300"/>
            <w:tcMar>
              <w:top w:w="85" w:type="dxa"/>
              <w:start w:w="110" w:type="dxa"/>
              <w:bottom w:w="85" w:type="dxa"/>
              <w:end w:w="110" w:type="dxa"/>
            </w:tcMar>
            <w:vAlign w:val="center"/>
          </w:tcPr>
          <w:p>
            <w:pPr>
              <w:spacing w:after="0" w:line="240" w:lineRule="auto"/>
            </w:pPr>
            <w:r>
              <w:rPr>
                <w:color w:val="273142"/>
                <w:sz w:val="15"/>
              </w:rPr>
              <w:t>Passed</w:t>
            </w:r>
          </w:p>
        </w:tc>
        <w:tc>
          <w:tcPr>
            <w:tcW w:type="dxa" w:w="4960"/>
            <w:tcMar>
              <w:top w:w="85" w:type="dxa"/>
              <w:start w:w="110" w:type="dxa"/>
              <w:bottom w:w="85" w:type="dxa"/>
              <w:end w:w="110" w:type="dxa"/>
            </w:tcMar>
            <w:vAlign w:val="center"/>
          </w:tcPr>
          <w:p>
            <w:pPr>
              <w:spacing w:after="0" w:line="240" w:lineRule="auto"/>
            </w:pPr>
            <w:r>
              <w:rPr>
                <w:color w:val="273142"/>
                <w:sz w:val="15"/>
              </w:rPr>
              <w:t>Node 24.15.0, non-root runtime, DNS, dev config, trace storage, Chromium.</w:t>
            </w:r>
          </w:p>
        </w:tc>
      </w:tr>
      <w:tr>
        <w:tc>
          <w:tcPr>
            <w:tcW w:type="dxa" w:w="2100"/>
            <w:tcMar>
              <w:top w:w="85" w:type="dxa"/>
              <w:start w:w="110" w:type="dxa"/>
              <w:bottom w:w="85" w:type="dxa"/>
              <w:end w:w="110" w:type="dxa"/>
            </w:tcMar>
            <w:shd w:fill="F3F5F7"/>
            <w:vAlign w:val="center"/>
          </w:tcPr>
          <w:p>
            <w:pPr>
              <w:spacing w:after="0" w:line="240" w:lineRule="auto"/>
            </w:pPr>
            <w:r>
              <w:rPr>
                <w:color w:val="273142"/>
                <w:sz w:val="15"/>
              </w:rPr>
              <w:t>npm run bench:internal</w:t>
            </w:r>
          </w:p>
        </w:tc>
        <w:tc>
          <w:tcPr>
            <w:tcW w:type="dxa" w:w="2300"/>
            <w:tcMar>
              <w:top w:w="85" w:type="dxa"/>
              <w:start w:w="110" w:type="dxa"/>
              <w:bottom w:w="85" w:type="dxa"/>
              <w:end w:w="110" w:type="dxa"/>
            </w:tcMar>
            <w:shd w:fill="F3F5F7"/>
            <w:vAlign w:val="center"/>
          </w:tcPr>
          <w:p>
            <w:pPr>
              <w:spacing w:after="0" w:line="240" w:lineRule="auto"/>
            </w:pPr>
            <w:r>
              <w:rPr>
                <w:color w:val="273142"/>
                <w:sz w:val="15"/>
              </w:rPr>
              <w:t>Passed all configured gates</w:t>
            </w:r>
          </w:p>
        </w:tc>
        <w:tc>
          <w:tcPr>
            <w:tcW w:type="dxa" w:w="4960"/>
            <w:tcMar>
              <w:top w:w="85" w:type="dxa"/>
              <w:start w:w="110" w:type="dxa"/>
              <w:bottom w:w="85" w:type="dxa"/>
              <w:end w:w="110" w:type="dxa"/>
            </w:tcMar>
            <w:shd w:fill="F3F5F7"/>
            <w:vAlign w:val="center"/>
          </w:tcPr>
          <w:p>
            <w:pPr>
              <w:spacing w:after="0" w:line="240" w:lineRule="auto"/>
            </w:pPr>
            <w:r>
              <w:rPr>
                <w:color w:val="273142"/>
                <w:sz w:val="15"/>
              </w:rPr>
              <w:t>60 fixtures × 5 repetitions = 300 controlled task executions.</w:t>
            </w:r>
          </w:p>
        </w:tc>
      </w:tr>
      <w:tr>
        <w:tc>
          <w:tcPr>
            <w:tcW w:type="dxa" w:w="2100"/>
            <w:tcMar>
              <w:top w:w="85" w:type="dxa"/>
              <w:start w:w="110" w:type="dxa"/>
              <w:bottom w:w="85" w:type="dxa"/>
              <w:end w:w="110" w:type="dxa"/>
            </w:tcMar>
            <w:vAlign w:val="center"/>
          </w:tcPr>
          <w:p>
            <w:pPr>
              <w:spacing w:after="0" w:line="240" w:lineRule="auto"/>
            </w:pPr>
            <w:r>
              <w:rPr>
                <w:color w:val="273142"/>
                <w:sz w:val="15"/>
              </w:rPr>
              <w:t>npm run bench:simulate</w:t>
            </w:r>
          </w:p>
        </w:tc>
        <w:tc>
          <w:tcPr>
            <w:tcW w:type="dxa" w:w="2300"/>
            <w:tcMar>
              <w:top w:w="85" w:type="dxa"/>
              <w:start w:w="110" w:type="dxa"/>
              <w:bottom w:w="85" w:type="dxa"/>
              <w:end w:w="110" w:type="dxa"/>
            </w:tcMar>
            <w:vAlign w:val="center"/>
          </w:tcPr>
          <w:p>
            <w:pPr>
              <w:spacing w:after="0" w:line="240" w:lineRule="auto"/>
            </w:pPr>
            <w:r>
              <w:rPr>
                <w:color w:val="273142"/>
                <w:sz w:val="15"/>
              </w:rPr>
              <w:t>Passed controlled ablation</w:t>
            </w:r>
          </w:p>
        </w:tc>
        <w:tc>
          <w:tcPr>
            <w:tcW w:type="dxa" w:w="4960"/>
            <w:tcMar>
              <w:top w:w="85" w:type="dxa"/>
              <w:start w:w="110" w:type="dxa"/>
              <w:bottom w:w="85" w:type="dxa"/>
              <w:end w:w="110" w:type="dxa"/>
            </w:tcMar>
            <w:vAlign w:val="center"/>
          </w:tcPr>
          <w:p>
            <w:pPr>
              <w:spacing w:after="0" w:line="240" w:lineRule="auto"/>
            </w:pPr>
            <w:r>
              <w:rPr>
                <w:color w:val="273142"/>
                <w:sz w:val="15"/>
              </w:rPr>
              <w:t>Semantic route 100% vs intentionally limited static selector baseline 20%.</w:t>
            </w:r>
          </w:p>
        </w:tc>
      </w:tr>
    </w:tbl>
    <w:p>
      <w:pPr>
        <w:spacing w:after="0"/>
      </w:pPr>
    </w:p>
    <w:p>
      <w:pPr>
        <w:spacing w:after="40"/>
        <w:jc w:val="center"/>
      </w:pPr>
      <w:r>
        <w:drawing>
          <wp:inline xmlns:a="http://schemas.openxmlformats.org/drawingml/2006/main" xmlns:pic="http://schemas.openxmlformats.org/drawingml/2006/picture">
            <wp:extent cx="5212080" cy="2931795"/>
            <wp:docPr id="1" name="Picture 1"/>
            <wp:cNvGraphicFramePr>
              <a:graphicFrameLocks noChangeAspect="1"/>
            </wp:cNvGraphicFramePr>
            <a:graphic>
              <a:graphicData uri="http://schemas.openxmlformats.org/drawingml/2006/picture">
                <pic:pic>
                  <pic:nvPicPr>
                    <pic:cNvPr id="0" name="benchmark-proof.png"/>
                    <pic:cNvPicPr/>
                  </pic:nvPicPr>
                  <pic:blipFill>
                    <a:blip r:embed="rId11"/>
                    <a:stretch>
                      <a:fillRect/>
                    </a:stretch>
                  </pic:blipFill>
                  <pic:spPr>
                    <a:xfrm>
                      <a:off x="0" y="0"/>
                      <a:ext cx="5212080" cy="2931795"/>
                    </a:xfrm>
                    <a:prstGeom prst="rect"/>
                  </pic:spPr>
                </pic:pic>
              </a:graphicData>
            </a:graphic>
          </wp:inline>
        </w:drawing>
      </w:r>
    </w:p>
    <w:p>
      <w:pPr>
        <w:spacing w:before="40" w:after="80"/>
      </w:pPr>
      <w:r>
        <w:rPr>
          <w:i/>
          <w:color w:val="657184"/>
          <w:sz w:val="14"/>
        </w:rPr>
        <w:t>Figure: project demonstration frame showing a verified semantic selector recovery in the operator console.</w:t>
      </w:r>
    </w:p>
    <w:tbl>
      <w:tblPr>
        <w:tblW w:type="dxa" w:w="9360"/>
        <w:tblLayout w:type="fixed"/>
        <w:tblLook w:firstColumn="1" w:firstRow="1" w:lastColumn="0" w:lastRow="0" w:noHBand="0" w:noVBand="1" w:val="04A0"/>
        <w:tblInd w:w="0" w:type="dxa"/>
      </w:tblPr>
      <w:tblGrid>
        <w:gridCol w:w="10080"/>
      </w:tblGrid>
      <w:tr>
        <w:tc>
          <w:tcPr>
            <w:tcW w:type="dxa" w:w="10080"/>
            <w:shd w:fill="FFF3E4"/>
            <w:tcMar>
              <w:top w:w="140" w:type="dxa"/>
              <w:start w:w="180" w:type="dxa"/>
              <w:bottom w:w="140" w:type="dxa"/>
              <w:end w:w="180" w:type="dxa"/>
            </w:tcMar>
            <w:tcBorders>
              <w:start w:val="single" w:sz="30" w:color="E69A37"/>
            </w:tcBorders>
          </w:tcPr>
          <w:p>
            <w:pPr>
              <w:spacing w:after="40"/>
            </w:pPr>
            <w:r>
              <w:rPr>
                <w:b/>
                <w:color w:val="E69A37"/>
                <w:sz w:val="16"/>
              </w:rPr>
              <w:t>CRITICAL CAVEAT</w:t>
            </w:r>
          </w:p>
          <w:p>
            <w:pPr>
              <w:spacing w:after="0" w:line="252" w:lineRule="auto"/>
            </w:pPr>
            <w:r>
              <w:rPr>
                <w:sz w:val="21"/>
              </w:rPr>
              <w:t>These are controlled local regression and ablation results. They are strong evidence that the implementation meets its own invariants, but they are not an external market comparison and do not justify a state-of-the-art claim.</w:t>
            </w:r>
          </w:p>
        </w:tc>
      </w:tr>
    </w:tbl>
    <w:p>
      <w:pPr>
        <w:spacing w:after="0"/>
      </w:pPr>
    </w:p>
    <w:p>
      <w:r>
        <w:br w:type="page"/>
      </w:r>
    </w:p>
    <w:p>
      <w:pPr>
        <w:spacing w:before="40" w:after="80"/>
        <w:keepNext w:val="1"/>
      </w:pPr>
      <w:r>
        <w:rPr>
          <w:rFonts w:ascii="Arial" w:hAnsi="Arial"/>
          <w:b/>
          <w:color w:val="21C7D9"/>
          <w:sz w:val="16"/>
        </w:rPr>
        <w:t>MATURITY</w:t>
      </w:r>
    </w:p>
    <w:p>
      <w:pPr>
        <w:pStyle w:val="Heading1"/>
        <w:spacing w:before="0" w:after="100"/>
        <w:keepNext w:val="1"/>
      </w:pPr>
      <w:r>
        <w:t>What is ready, what is gated</w:t>
      </w:r>
    </w:p>
    <w:p>
      <w:pPr>
        <w:pStyle w:val="Subtitle"/>
        <w:spacing w:after="240"/>
        <w:keepNext w:val="1"/>
      </w:pPr>
      <w:r>
        <w:t>The repository’s maturity is uneven by design: the core deterministic path is ahead of external validation and distribution hardening.</w:t>
      </w:r>
    </w:p>
    <w:tbl>
      <w:tblPr>
        <w:tblStyle w:val="TableGrid"/>
        <w:tblW w:type="dxa" w:w="9360"/>
        <w:jc w:val="center"/>
        <w:tblLayout w:type="fixed"/>
        <w:tblLook w:firstColumn="1" w:firstRow="1" w:lastColumn="0" w:lastRow="0" w:noHBand="0" w:noVBand="1" w:val="04A0"/>
        <w:tblInd w:w="0" w:type="dxa"/>
      </w:tblPr>
      <w:tblGrid>
        <w:gridCol w:w="3360"/>
        <w:gridCol w:w="3360"/>
        <w:gridCol w:w="3360"/>
      </w:tblGrid>
      <w:tr>
        <w:trPr>
          <w:tblHeader w:val="true"/>
        </w:trPr>
        <w:tc>
          <w:tcPr>
            <w:tcW w:type="dxa" w:w="2500"/>
            <w:shd w:fill="0A192F"/>
            <w:tcMar>
              <w:top w:w="100" w:type="dxa"/>
              <w:start w:w="110" w:type="dxa"/>
              <w:bottom w:w="100" w:type="dxa"/>
              <w:end w:w="110" w:type="dxa"/>
            </w:tcMar>
          </w:tcPr>
          <w:p>
            <w:pPr>
              <w:spacing w:after="0"/>
            </w:pPr>
            <w:r>
              <w:rPr>
                <w:b/>
                <w:color w:val="FFFFFF"/>
                <w:sz w:val="16"/>
              </w:rPr>
              <w:t>Capability</w:t>
            </w:r>
          </w:p>
        </w:tc>
        <w:tc>
          <w:tcPr>
            <w:tcW w:type="dxa" w:w="2000"/>
            <w:shd w:fill="0A192F"/>
            <w:tcMar>
              <w:top w:w="100" w:type="dxa"/>
              <w:start w:w="110" w:type="dxa"/>
              <w:bottom w:w="100" w:type="dxa"/>
              <w:end w:w="110" w:type="dxa"/>
            </w:tcMar>
          </w:tcPr>
          <w:p>
            <w:pPr>
              <w:spacing w:after="0"/>
            </w:pPr>
            <w:r>
              <w:rPr>
                <w:b/>
                <w:color w:val="FFFFFF"/>
                <w:sz w:val="16"/>
              </w:rPr>
              <w:t>Assessment</w:t>
            </w:r>
          </w:p>
        </w:tc>
        <w:tc>
          <w:tcPr>
            <w:tcW w:type="dxa" w:w="4860"/>
            <w:shd w:fill="0A192F"/>
            <w:tcMar>
              <w:top w:w="100" w:type="dxa"/>
              <w:start w:w="110" w:type="dxa"/>
              <w:bottom w:w="100" w:type="dxa"/>
              <w:end w:w="110" w:type="dxa"/>
            </w:tcMar>
          </w:tcPr>
          <w:p>
            <w:pPr>
              <w:spacing w:after="0"/>
            </w:pPr>
            <w:r>
              <w:rPr>
                <w:b/>
                <w:color w:val="FFFFFF"/>
                <w:sz w:val="16"/>
              </w:rPr>
              <w:t>Evidence / remaining work</w:t>
            </w:r>
          </w:p>
        </w:tc>
      </w:tr>
      <w:tr>
        <w:tc>
          <w:tcPr>
            <w:tcW w:type="dxa" w:w="2500"/>
            <w:tcMar>
              <w:top w:w="85" w:type="dxa"/>
              <w:start w:w="110" w:type="dxa"/>
              <w:bottom w:w="85" w:type="dxa"/>
              <w:end w:w="110" w:type="dxa"/>
            </w:tcMar>
            <w:vAlign w:val="center"/>
          </w:tcPr>
          <w:p>
            <w:pPr>
              <w:spacing w:after="0" w:line="240" w:lineRule="auto"/>
            </w:pPr>
            <w:r>
              <w:rPr>
                <w:color w:val="273142"/>
                <w:sz w:val="15"/>
              </w:rPr>
              <w:t>Fast Path browser execution</w:t>
            </w:r>
          </w:p>
        </w:tc>
        <w:tc>
          <w:tcPr>
            <w:tcW w:type="dxa" w:w="2000"/>
            <w:tcMar>
              <w:top w:w="85" w:type="dxa"/>
              <w:start w:w="110" w:type="dxa"/>
              <w:bottom w:w="85" w:type="dxa"/>
              <w:end w:w="110" w:type="dxa"/>
            </w:tcMar>
            <w:vAlign w:val="center"/>
          </w:tcPr>
          <w:p>
            <w:pPr>
              <w:spacing w:after="0" w:line="240" w:lineRule="auto"/>
            </w:pPr>
            <w:r>
              <w:rPr>
                <w:color w:val="273142"/>
                <w:sz w:val="15"/>
              </w:rPr>
              <w:t>Implemented</w:t>
            </w:r>
          </w:p>
        </w:tc>
        <w:tc>
          <w:tcPr>
            <w:tcW w:type="dxa" w:w="4860"/>
            <w:tcMar>
              <w:top w:w="85" w:type="dxa"/>
              <w:start w:w="110" w:type="dxa"/>
              <w:bottom w:w="85" w:type="dxa"/>
              <w:end w:w="110" w:type="dxa"/>
            </w:tcMar>
            <w:vAlign w:val="center"/>
          </w:tcPr>
          <w:p>
            <w:pPr>
              <w:spacing w:after="0" w:line="240" w:lineRule="auto"/>
            </w:pPr>
            <w:r>
              <w:rPr>
                <w:color w:val="273142"/>
                <w:sz w:val="15"/>
              </w:rPr>
              <w:t>Direct Playwright/DOM/AX execution, policy, verifier, trace, and passing tests.</w:t>
            </w:r>
          </w:p>
        </w:tc>
      </w:tr>
      <w:tr>
        <w:tc>
          <w:tcPr>
            <w:tcW w:type="dxa" w:w="2500"/>
            <w:tcMar>
              <w:top w:w="85" w:type="dxa"/>
              <w:start w:w="110" w:type="dxa"/>
              <w:bottom w:w="85" w:type="dxa"/>
              <w:end w:w="110" w:type="dxa"/>
            </w:tcMar>
            <w:shd w:fill="F3F5F7"/>
            <w:vAlign w:val="center"/>
          </w:tcPr>
          <w:p>
            <w:pPr>
              <w:spacing w:after="0" w:line="240" w:lineRule="auto"/>
            </w:pPr>
            <w:r>
              <w:rPr>
                <w:color w:val="273142"/>
                <w:sz w:val="15"/>
              </w:rPr>
              <w:t>Security &amp; approval primitives</w:t>
            </w:r>
          </w:p>
        </w:tc>
        <w:tc>
          <w:tcPr>
            <w:tcW w:type="dxa" w:w="2000"/>
            <w:tcMar>
              <w:top w:w="85" w:type="dxa"/>
              <w:start w:w="110" w:type="dxa"/>
              <w:bottom w:w="85" w:type="dxa"/>
              <w:end w:w="110" w:type="dxa"/>
            </w:tcMar>
            <w:shd w:fill="F3F5F7"/>
            <w:vAlign w:val="center"/>
          </w:tcPr>
          <w:p>
            <w:pPr>
              <w:spacing w:after="0" w:line="240" w:lineRule="auto"/>
            </w:pPr>
            <w:r>
              <w:rPr>
                <w:color w:val="273142"/>
                <w:sz w:val="15"/>
              </w:rPr>
              <w:t>Implemented</w:t>
            </w:r>
          </w:p>
        </w:tc>
        <w:tc>
          <w:tcPr>
            <w:tcW w:type="dxa" w:w="4860"/>
            <w:tcMar>
              <w:top w:w="85" w:type="dxa"/>
              <w:start w:w="110" w:type="dxa"/>
              <w:bottom w:w="85" w:type="dxa"/>
              <w:end w:w="110" w:type="dxa"/>
            </w:tcMar>
            <w:shd w:fill="F3F5F7"/>
            <w:vAlign w:val="center"/>
          </w:tcPr>
          <w:p>
            <w:pPr>
              <w:spacing w:after="0" w:line="240" w:lineRule="auto"/>
            </w:pPr>
            <w:r>
              <w:rPr>
                <w:color w:val="273142"/>
                <w:sz w:val="15"/>
              </w:rPr>
              <w:t>Exact-action signing/replay checks, secure trace creation, redaction, encryption utilities.</w:t>
            </w:r>
          </w:p>
        </w:tc>
      </w:tr>
      <w:tr>
        <w:tc>
          <w:tcPr>
            <w:tcW w:type="dxa" w:w="2500"/>
            <w:tcMar>
              <w:top w:w="85" w:type="dxa"/>
              <w:start w:w="110" w:type="dxa"/>
              <w:bottom w:w="85" w:type="dxa"/>
              <w:end w:w="110" w:type="dxa"/>
            </w:tcMar>
            <w:vAlign w:val="center"/>
          </w:tcPr>
          <w:p>
            <w:pPr>
              <w:spacing w:after="0" w:line="240" w:lineRule="auto"/>
            </w:pPr>
            <w:r>
              <w:rPr>
                <w:color w:val="273142"/>
                <w:sz w:val="15"/>
              </w:rPr>
              <w:t>CLI and desktop control center</w:t>
            </w:r>
          </w:p>
        </w:tc>
        <w:tc>
          <w:tcPr>
            <w:tcW w:type="dxa" w:w="2000"/>
            <w:tcMar>
              <w:top w:w="85" w:type="dxa"/>
              <w:start w:w="110" w:type="dxa"/>
              <w:bottom w:w="85" w:type="dxa"/>
              <w:end w:w="110" w:type="dxa"/>
            </w:tcMar>
            <w:vAlign w:val="center"/>
          </w:tcPr>
          <w:p>
            <w:pPr>
              <w:spacing w:after="0" w:line="240" w:lineRule="auto"/>
            </w:pPr>
            <w:r>
              <w:rPr>
                <w:color w:val="273142"/>
                <w:sz w:val="15"/>
              </w:rPr>
              <w:t>Implemented / evolving</w:t>
            </w:r>
          </w:p>
        </w:tc>
        <w:tc>
          <w:tcPr>
            <w:tcW w:type="dxa" w:w="4860"/>
            <w:tcMar>
              <w:top w:w="85" w:type="dxa"/>
              <w:start w:w="110" w:type="dxa"/>
              <w:bottom w:w="85" w:type="dxa"/>
              <w:end w:w="110" w:type="dxa"/>
            </w:tcMar>
            <w:vAlign w:val="center"/>
          </w:tcPr>
          <w:p>
            <w:pPr>
              <w:spacing w:after="0" w:line="240" w:lineRule="auto"/>
            </w:pPr>
            <w:r>
              <w:rPr>
                <w:color w:val="273142"/>
                <w:sz w:val="15"/>
              </w:rPr>
              <w:t>Broad code surfaces and passing build; desktop is described as a development build.</w:t>
            </w:r>
          </w:p>
        </w:tc>
      </w:tr>
      <w:tr>
        <w:tc>
          <w:tcPr>
            <w:tcW w:type="dxa" w:w="2500"/>
            <w:tcMar>
              <w:top w:w="85" w:type="dxa"/>
              <w:start w:w="110" w:type="dxa"/>
              <w:bottom w:w="85" w:type="dxa"/>
              <w:end w:w="110" w:type="dxa"/>
            </w:tcMar>
            <w:shd w:fill="F3F5F7"/>
            <w:vAlign w:val="center"/>
          </w:tcPr>
          <w:p>
            <w:pPr>
              <w:spacing w:after="0" w:line="240" w:lineRule="auto"/>
            </w:pPr>
            <w:r>
              <w:rPr>
                <w:color w:val="273142"/>
                <w:sz w:val="15"/>
              </w:rPr>
              <w:t>BrowserPool + CDP screencast</w:t>
            </w:r>
          </w:p>
        </w:tc>
        <w:tc>
          <w:tcPr>
            <w:tcW w:type="dxa" w:w="2000"/>
            <w:tcMar>
              <w:top w:w="85" w:type="dxa"/>
              <w:start w:w="110" w:type="dxa"/>
              <w:bottom w:w="85" w:type="dxa"/>
              <w:end w:w="110" w:type="dxa"/>
            </w:tcMar>
            <w:shd w:fill="F3F5F7"/>
            <w:vAlign w:val="center"/>
          </w:tcPr>
          <w:p>
            <w:pPr>
              <w:spacing w:after="0" w:line="240" w:lineRule="auto"/>
            </w:pPr>
            <w:r>
              <w:rPr>
                <w:color w:val="273142"/>
                <w:sz w:val="15"/>
              </w:rPr>
              <w:t>Production-capable utility</w:t>
            </w:r>
          </w:p>
        </w:tc>
        <w:tc>
          <w:tcPr>
            <w:tcW w:type="dxa" w:w="4860"/>
            <w:tcMar>
              <w:top w:w="85" w:type="dxa"/>
              <w:start w:w="110" w:type="dxa"/>
              <w:bottom w:w="85" w:type="dxa"/>
              <w:end w:w="110" w:type="dxa"/>
            </w:tcMar>
            <w:shd w:fill="F3F5F7"/>
            <w:vAlign w:val="center"/>
          </w:tcPr>
          <w:p>
            <w:pPr>
              <w:spacing w:after="0" w:line="240" w:lineRule="auto"/>
            </w:pPr>
            <w:r>
              <w:rPr>
                <w:color w:val="273142"/>
                <w:sz w:val="15"/>
              </w:rPr>
              <w:t>Implementation exists; lifecycle integration remains caller-owned.</w:t>
            </w:r>
          </w:p>
        </w:tc>
      </w:tr>
      <w:tr>
        <w:tc>
          <w:tcPr>
            <w:tcW w:type="dxa" w:w="2500"/>
            <w:tcMar>
              <w:top w:w="85" w:type="dxa"/>
              <w:start w:w="110" w:type="dxa"/>
              <w:bottom w:w="85" w:type="dxa"/>
              <w:end w:w="110" w:type="dxa"/>
            </w:tcMar>
            <w:vAlign w:val="center"/>
          </w:tcPr>
          <w:p>
            <w:pPr>
              <w:spacing w:after="0" w:line="240" w:lineRule="auto"/>
            </w:pPr>
            <w:r>
              <w:rPr>
                <w:color w:val="273142"/>
                <w:sz w:val="15"/>
              </w:rPr>
              <w:t>Durable workflow / distributed queue</w:t>
            </w:r>
          </w:p>
        </w:tc>
        <w:tc>
          <w:tcPr>
            <w:tcW w:type="dxa" w:w="2000"/>
            <w:tcMar>
              <w:top w:w="85" w:type="dxa"/>
              <w:start w:w="110" w:type="dxa"/>
              <w:bottom w:w="85" w:type="dxa"/>
              <w:end w:w="110" w:type="dxa"/>
            </w:tcMar>
            <w:vAlign w:val="center"/>
          </w:tcPr>
          <w:p>
            <w:pPr>
              <w:spacing w:after="0" w:line="240" w:lineRule="auto"/>
            </w:pPr>
            <w:r>
              <w:rPr>
                <w:color w:val="273142"/>
                <w:sz w:val="15"/>
              </w:rPr>
              <w:t>Integration-ready</w:t>
            </w:r>
          </w:p>
        </w:tc>
        <w:tc>
          <w:tcPr>
            <w:tcW w:type="dxa" w:w="4860"/>
            <w:tcMar>
              <w:top w:w="85" w:type="dxa"/>
              <w:start w:w="110" w:type="dxa"/>
              <w:bottom w:w="85" w:type="dxa"/>
              <w:end w:w="110" w:type="dxa"/>
            </w:tcMar>
            <w:vAlign w:val="center"/>
          </w:tcPr>
          <w:p>
            <w:pPr>
              <w:spacing w:after="0" w:line="240" w:lineRule="auto"/>
            </w:pPr>
            <w:r>
              <w:rPr>
                <w:color w:val="273142"/>
                <w:sz w:val="15"/>
              </w:rPr>
              <w:t>Core interfaces exist; worker, persistence, and secret wiring are deployment tasks.</w:t>
            </w:r>
          </w:p>
        </w:tc>
      </w:tr>
      <w:tr>
        <w:tc>
          <w:tcPr>
            <w:tcW w:type="dxa" w:w="2500"/>
            <w:tcMar>
              <w:top w:w="85" w:type="dxa"/>
              <w:start w:w="110" w:type="dxa"/>
              <w:bottom w:w="85" w:type="dxa"/>
              <w:end w:w="110" w:type="dxa"/>
            </w:tcMar>
            <w:shd w:fill="F3F5F7"/>
            <w:vAlign w:val="center"/>
          </w:tcPr>
          <w:p>
            <w:pPr>
              <w:spacing w:after="0" w:line="240" w:lineRule="auto"/>
            </w:pPr>
            <w:r>
              <w:rPr>
                <w:color w:val="273142"/>
                <w:sz w:val="15"/>
              </w:rPr>
              <w:t>Shared skills service</w:t>
            </w:r>
          </w:p>
        </w:tc>
        <w:tc>
          <w:tcPr>
            <w:tcW w:type="dxa" w:w="2000"/>
            <w:tcMar>
              <w:top w:w="85" w:type="dxa"/>
              <w:start w:w="110" w:type="dxa"/>
              <w:bottom w:w="85" w:type="dxa"/>
              <w:end w:w="110" w:type="dxa"/>
            </w:tcMar>
            <w:shd w:fill="F3F5F7"/>
            <w:vAlign w:val="center"/>
          </w:tcPr>
          <w:p>
            <w:pPr>
              <w:spacing w:after="0" w:line="240" w:lineRule="auto"/>
            </w:pPr>
            <w:r>
              <w:rPr>
                <w:color w:val="273142"/>
                <w:sz w:val="15"/>
              </w:rPr>
              <w:t>Integration-ready</w:t>
            </w:r>
          </w:p>
        </w:tc>
        <w:tc>
          <w:tcPr>
            <w:tcW w:type="dxa" w:w="4860"/>
            <w:tcMar>
              <w:top w:w="85" w:type="dxa"/>
              <w:start w:w="110" w:type="dxa"/>
              <w:bottom w:w="85" w:type="dxa"/>
              <w:end w:w="110" w:type="dxa"/>
            </w:tcMar>
            <w:shd w:fill="F3F5F7"/>
            <w:vAlign w:val="center"/>
          </w:tcPr>
          <w:p>
            <w:pPr>
              <w:spacing w:after="0" w:line="240" w:lineRule="auto"/>
            </w:pPr>
            <w:r>
              <w:rPr>
                <w:color w:val="273142"/>
                <w:sz w:val="15"/>
              </w:rPr>
              <w:t>Local-cache-before-runtime design; network sync stays outside Fast Path.</w:t>
            </w:r>
          </w:p>
        </w:tc>
      </w:tr>
      <w:tr>
        <w:tc>
          <w:tcPr>
            <w:tcW w:type="dxa" w:w="2500"/>
            <w:tcMar>
              <w:top w:w="85" w:type="dxa"/>
              <w:start w:w="110" w:type="dxa"/>
              <w:bottom w:w="85" w:type="dxa"/>
              <w:end w:w="110" w:type="dxa"/>
            </w:tcMar>
            <w:vAlign w:val="center"/>
          </w:tcPr>
          <w:p>
            <w:pPr>
              <w:spacing w:after="0" w:line="240" w:lineRule="auto"/>
            </w:pPr>
            <w:r>
              <w:rPr>
                <w:color w:val="273142"/>
                <w:sz w:val="15"/>
              </w:rPr>
              <w:t>External benchmark adapters/publication</w:t>
            </w:r>
          </w:p>
        </w:tc>
        <w:tc>
          <w:tcPr>
            <w:tcW w:type="dxa" w:w="2000"/>
            <w:tcMar>
              <w:top w:w="85" w:type="dxa"/>
              <w:start w:w="110" w:type="dxa"/>
              <w:bottom w:w="85" w:type="dxa"/>
              <w:end w:w="110" w:type="dxa"/>
            </w:tcMar>
            <w:vAlign w:val="center"/>
          </w:tcPr>
          <w:p>
            <w:pPr>
              <w:spacing w:after="0" w:line="240" w:lineRule="auto"/>
            </w:pPr>
            <w:r>
              <w:rPr>
                <w:color w:val="273142"/>
                <w:sz w:val="15"/>
              </w:rPr>
              <w:t>Experimental / gated</w:t>
            </w:r>
          </w:p>
        </w:tc>
        <w:tc>
          <w:tcPr>
            <w:tcW w:type="dxa" w:w="4860"/>
            <w:tcMar>
              <w:top w:w="85" w:type="dxa"/>
              <w:start w:w="110" w:type="dxa"/>
              <w:bottom w:w="85" w:type="dxa"/>
              <w:end w:w="110" w:type="dxa"/>
            </w:tcMar>
            <w:vAlign w:val="center"/>
          </w:tcPr>
          <w:p>
            <w:pPr>
              <w:spacing w:after="0" w:line="240" w:lineRule="auto"/>
            </w:pPr>
            <w:r>
              <w:rPr>
                <w:color w:val="273142"/>
                <w:sz w:val="15"/>
              </w:rPr>
              <w:t>No eligible external submission result in the reviewed tree.</w:t>
            </w:r>
          </w:p>
        </w:tc>
      </w:tr>
      <w:tr>
        <w:tc>
          <w:tcPr>
            <w:tcW w:type="dxa" w:w="2500"/>
            <w:tcMar>
              <w:top w:w="85" w:type="dxa"/>
              <w:start w:w="110" w:type="dxa"/>
              <w:bottom w:w="85" w:type="dxa"/>
              <w:end w:w="110" w:type="dxa"/>
            </w:tcMar>
            <w:shd w:fill="F3F5F7"/>
            <w:vAlign w:val="center"/>
          </w:tcPr>
          <w:p>
            <w:pPr>
              <w:spacing w:after="0" w:line="240" w:lineRule="auto"/>
            </w:pPr>
            <w:r>
              <w:rPr>
                <w:color w:val="273142"/>
                <w:sz w:val="15"/>
              </w:rPr>
              <w:t>Global desktop control</w:t>
            </w:r>
          </w:p>
        </w:tc>
        <w:tc>
          <w:tcPr>
            <w:tcW w:type="dxa" w:w="2000"/>
            <w:tcMar>
              <w:top w:w="85" w:type="dxa"/>
              <w:start w:w="110" w:type="dxa"/>
              <w:bottom w:w="85" w:type="dxa"/>
              <w:end w:w="110" w:type="dxa"/>
            </w:tcMar>
            <w:shd w:fill="F3F5F7"/>
            <w:vAlign w:val="center"/>
          </w:tcPr>
          <w:p>
            <w:pPr>
              <w:spacing w:after="0" w:line="240" w:lineRule="auto"/>
            </w:pPr>
            <w:r>
              <w:rPr>
                <w:color w:val="273142"/>
                <w:sz w:val="15"/>
              </w:rPr>
              <w:t>Implemented with platform constraints</w:t>
            </w:r>
          </w:p>
        </w:tc>
        <w:tc>
          <w:tcPr>
            <w:tcW w:type="dxa" w:w="4860"/>
            <w:tcMar>
              <w:top w:w="85" w:type="dxa"/>
              <w:start w:w="110" w:type="dxa"/>
              <w:bottom w:w="85" w:type="dxa"/>
              <w:end w:w="110" w:type="dxa"/>
            </w:tcMar>
            <w:shd w:fill="F3F5F7"/>
            <w:vAlign w:val="center"/>
          </w:tcPr>
          <w:p>
            <w:pPr>
              <w:spacing w:after="0" w:line="240" w:lineRule="auto"/>
            </w:pPr>
            <w:r>
              <w:rPr>
                <w:color w:val="273142"/>
                <w:sz w:val="15"/>
              </w:rPr>
              <w:t>OS permissions required; Linux is X11-only and Wayland is rejected.</w:t>
            </w:r>
          </w:p>
        </w:tc>
      </w:tr>
      <w:tr>
        <w:tc>
          <w:tcPr>
            <w:tcW w:type="dxa" w:w="2500"/>
            <w:tcMar>
              <w:top w:w="85" w:type="dxa"/>
              <w:start w:w="110" w:type="dxa"/>
              <w:bottom w:w="85" w:type="dxa"/>
              <w:end w:w="110" w:type="dxa"/>
            </w:tcMar>
            <w:vAlign w:val="center"/>
          </w:tcPr>
          <w:p>
            <w:pPr>
              <w:spacing w:after="0" w:line="240" w:lineRule="auto"/>
            </w:pPr>
            <w:r>
              <w:rPr>
                <w:color w:val="273142"/>
                <w:sz w:val="15"/>
              </w:rPr>
              <w:t>Screenshot/custom verifiers</w:t>
            </w:r>
          </w:p>
        </w:tc>
        <w:tc>
          <w:tcPr>
            <w:tcW w:type="dxa" w:w="2000"/>
            <w:tcMar>
              <w:top w:w="85" w:type="dxa"/>
              <w:start w:w="110" w:type="dxa"/>
              <w:bottom w:w="85" w:type="dxa"/>
              <w:end w:w="110" w:type="dxa"/>
            </w:tcMar>
            <w:vAlign w:val="center"/>
          </w:tcPr>
          <w:p>
            <w:pPr>
              <w:spacing w:after="0" w:line="240" w:lineRule="auto"/>
            </w:pPr>
            <w:r>
              <w:rPr>
                <w:color w:val="273142"/>
                <w:sz w:val="15"/>
              </w:rPr>
              <w:t>Known gap</w:t>
            </w:r>
          </w:p>
        </w:tc>
        <w:tc>
          <w:tcPr>
            <w:tcW w:type="dxa" w:w="4860"/>
            <w:tcMar>
              <w:top w:w="85" w:type="dxa"/>
              <w:start w:w="110" w:type="dxa"/>
              <w:bottom w:w="85" w:type="dxa"/>
              <w:end w:w="110" w:type="dxa"/>
            </w:tcMar>
            <w:vAlign w:val="center"/>
          </w:tcPr>
          <w:p>
            <w:pPr>
              <w:spacing w:after="0" w:line="240" w:lineRule="auto"/>
            </w:pPr>
            <w:r>
              <w:rPr>
                <w:color w:val="273142"/>
                <w:sz w:val="15"/>
              </w:rPr>
              <w:t>Verifier v0 does not currently provide these postcondition types.</w:t>
            </w:r>
          </w:p>
        </w:tc>
      </w:tr>
    </w:tbl>
    <w:p>
      <w:pPr>
        <w:spacing w:after="0"/>
      </w:pPr>
    </w:p>
    <w:p>
      <w:pPr>
        <w:pStyle w:val="Heading2"/>
        <w:keepNext w:val="1"/>
      </w:pPr>
      <w:r>
        <w:t>Release reality</w:t>
      </w:r>
    </w:p>
    <w:p>
      <w:pPr>
        <w:pStyle w:val="ListBullet"/>
        <w:spacing w:after="80"/>
        <w:keepLines w:val="1"/>
      </w:pPr>
      <w:r>
        <w:t>The npm registry reported 0.1.1 as latest during the review.</w:t>
      </w:r>
    </w:p>
    <w:p>
      <w:pPr>
        <w:pStyle w:val="ListBullet"/>
        <w:spacing w:after="80"/>
        <w:keepLines w:val="1"/>
      </w:pPr>
      <w:r>
        <w:t>Local release documentation describes 0.1.2 CLI artifacts as a release candidate; the desktop surface is a 0.1.4 development build with installer/notarization evidence still gated.</w:t>
      </w:r>
    </w:p>
    <w:p>
      <w:pPr>
        <w:pStyle w:val="ListBullet"/>
        <w:spacing w:after="80"/>
        <w:keepLines w:val="1"/>
      </w:pPr>
      <w:r>
        <w:t>The official public repository supports the project’s overall thesis, but the reviewed working tree contains newer uncommitted changes. Treat public and local states separately in demos and due diligence.</w:t>
      </w:r>
    </w:p>
    <w:p>
      <w:r>
        <w:br w:type="page"/>
      </w:r>
    </w:p>
    <w:p>
      <w:pPr>
        <w:spacing w:before="40" w:after="80"/>
        <w:keepNext w:val="1"/>
      </w:pPr>
      <w:r>
        <w:rPr>
          <w:rFonts w:ascii="Arial" w:hAnsi="Arial"/>
          <w:b/>
          <w:color w:val="21C7D9"/>
          <w:sz w:val="16"/>
        </w:rPr>
        <w:t>MARKET &amp; EVALUATION CONTEXT</w:t>
      </w:r>
    </w:p>
    <w:p>
      <w:pPr>
        <w:pStyle w:val="Heading1"/>
        <w:spacing w:before="0" w:after="100"/>
        <w:keepNext w:val="1"/>
      </w:pPr>
      <w:r>
        <w:t>Where LHIC fits</w:t>
      </w:r>
    </w:p>
    <w:p>
      <w:pPr>
        <w:pStyle w:val="Subtitle"/>
        <w:spacing w:after="240"/>
        <w:keepNext w:val="1"/>
      </w:pPr>
      <w:r>
        <w:t>Its natural comparison set is browser-agent research tooling—but its differentiator is the execution substrate, not a claim to general-agent superiority.</w:t>
      </w:r>
    </w:p>
    <w:p>
      <w:pPr>
        <w:pStyle w:val="Heading2"/>
        <w:keepNext w:val="1"/>
      </w:pPr>
      <w:r>
        <w:t>Credible market position</w:t>
      </w:r>
    </w:p>
    <w:p>
      <w:pPr>
        <w:pStyle w:val="BodyText"/>
        <w:keepLines w:val="1"/>
      </w:pPr>
      <w:r>
        <w:rPr>
          <w:i w:val="0"/>
        </w:rPr>
        <w:t>BrowserGym provides a research environment spanning benchmarks such as WorkArena and WebArena, while AgentLab is positioned as a framework for developing and evaluating web agents. LHIC should plug into this ecosystem as a controlled execution and verification layer, then publish reproducible results that separate planner quality from executor reliability.</w:t>
      </w:r>
    </w:p>
    <w:tbl>
      <w:tblPr>
        <w:tblStyle w:val="TableGrid"/>
        <w:tblW w:type="dxa" w:w="9360"/>
        <w:jc w:val="center"/>
        <w:tblLayout w:type="fixed"/>
        <w:tblLook w:firstColumn="1" w:firstRow="1" w:lastColumn="0" w:lastRow="0" w:noHBand="0" w:noVBand="1" w:val="04A0"/>
        <w:tblInd w:w="0" w:type="dxa"/>
      </w:tblPr>
      <w:tblGrid>
        <w:gridCol w:w="3360"/>
        <w:gridCol w:w="3360"/>
        <w:gridCol w:w="3360"/>
      </w:tblGrid>
      <w:tr>
        <w:trPr>
          <w:tblHeader w:val="true"/>
        </w:trPr>
        <w:tc>
          <w:tcPr>
            <w:tcW w:type="dxa" w:w="1800"/>
            <w:shd w:fill="0A192F"/>
            <w:tcMar>
              <w:top w:w="100" w:type="dxa"/>
              <w:start w:w="110" w:type="dxa"/>
              <w:bottom w:w="100" w:type="dxa"/>
              <w:end w:w="110" w:type="dxa"/>
            </w:tcMar>
          </w:tcPr>
          <w:p>
            <w:pPr>
              <w:spacing w:after="0"/>
            </w:pPr>
            <w:r>
              <w:rPr>
                <w:b/>
                <w:color w:val="FFFFFF"/>
                <w:sz w:val="16"/>
              </w:rPr>
              <w:t>Dimension</w:t>
            </w:r>
          </w:p>
        </w:tc>
        <w:tc>
          <w:tcPr>
            <w:tcW w:type="dxa" w:w="3500"/>
            <w:shd w:fill="0A192F"/>
            <w:tcMar>
              <w:top w:w="100" w:type="dxa"/>
              <w:start w:w="110" w:type="dxa"/>
              <w:bottom w:w="100" w:type="dxa"/>
              <w:end w:w="110" w:type="dxa"/>
            </w:tcMar>
          </w:tcPr>
          <w:p>
            <w:pPr>
              <w:spacing w:after="0"/>
            </w:pPr>
            <w:r>
              <w:rPr>
                <w:b/>
                <w:color w:val="FFFFFF"/>
                <w:sz w:val="16"/>
              </w:rPr>
              <w:t>Typical agent framing</w:t>
            </w:r>
          </w:p>
        </w:tc>
        <w:tc>
          <w:tcPr>
            <w:tcW w:type="dxa" w:w="4060"/>
            <w:shd w:fill="0A192F"/>
            <w:tcMar>
              <w:top w:w="100" w:type="dxa"/>
              <w:start w:w="110" w:type="dxa"/>
              <w:bottom w:w="100" w:type="dxa"/>
              <w:end w:w="110" w:type="dxa"/>
            </w:tcMar>
          </w:tcPr>
          <w:p>
            <w:pPr>
              <w:spacing w:after="0"/>
            </w:pPr>
            <w:r>
              <w:rPr>
                <w:b/>
                <w:color w:val="FFFFFF"/>
                <w:sz w:val="16"/>
              </w:rPr>
              <w:t>LHIC framing</w:t>
            </w:r>
          </w:p>
        </w:tc>
      </w:tr>
      <w:tr>
        <w:tc>
          <w:tcPr>
            <w:tcW w:type="dxa" w:w="1800"/>
            <w:tcMar>
              <w:top w:w="85" w:type="dxa"/>
              <w:start w:w="110" w:type="dxa"/>
              <w:bottom w:w="85" w:type="dxa"/>
              <w:end w:w="110" w:type="dxa"/>
            </w:tcMar>
            <w:vAlign w:val="center"/>
          </w:tcPr>
          <w:p>
            <w:pPr>
              <w:spacing w:after="0" w:line="240" w:lineRule="auto"/>
            </w:pPr>
            <w:r>
              <w:rPr>
                <w:color w:val="273142"/>
                <w:sz w:val="15"/>
              </w:rPr>
              <w:t>Primary value</w:t>
            </w:r>
          </w:p>
        </w:tc>
        <w:tc>
          <w:tcPr>
            <w:tcW w:type="dxa" w:w="3500"/>
            <w:tcMar>
              <w:top w:w="85" w:type="dxa"/>
              <w:start w:w="110" w:type="dxa"/>
              <w:bottom w:w="85" w:type="dxa"/>
              <w:end w:w="110" w:type="dxa"/>
            </w:tcMar>
            <w:vAlign w:val="center"/>
          </w:tcPr>
          <w:p>
            <w:pPr>
              <w:spacing w:after="0" w:line="240" w:lineRule="auto"/>
            </w:pPr>
            <w:r>
              <w:rPr>
                <w:color w:val="273142"/>
                <w:sz w:val="15"/>
              </w:rPr>
              <w:t>Reason over novel tasks</w:t>
            </w:r>
          </w:p>
        </w:tc>
        <w:tc>
          <w:tcPr>
            <w:tcW w:type="dxa" w:w="4060"/>
            <w:tcMar>
              <w:top w:w="85" w:type="dxa"/>
              <w:start w:w="110" w:type="dxa"/>
              <w:bottom w:w="85" w:type="dxa"/>
              <w:end w:w="110" w:type="dxa"/>
            </w:tcMar>
            <w:vAlign w:val="center"/>
          </w:tcPr>
          <w:p>
            <w:pPr>
              <w:spacing w:after="0" w:line="240" w:lineRule="auto"/>
            </w:pPr>
            <w:r>
              <w:rPr>
                <w:color w:val="273142"/>
                <w:sz w:val="15"/>
              </w:rPr>
              <w:t>Execute bounded tasks deterministically and prove the outcome.</w:t>
            </w:r>
          </w:p>
        </w:tc>
      </w:tr>
      <w:tr>
        <w:tc>
          <w:tcPr>
            <w:tcW w:type="dxa" w:w="1800"/>
            <w:tcMar>
              <w:top w:w="85" w:type="dxa"/>
              <w:start w:w="110" w:type="dxa"/>
              <w:bottom w:w="85" w:type="dxa"/>
              <w:end w:w="110" w:type="dxa"/>
            </w:tcMar>
            <w:shd w:fill="F3F5F7"/>
            <w:vAlign w:val="center"/>
          </w:tcPr>
          <w:p>
            <w:pPr>
              <w:spacing w:after="0" w:line="240" w:lineRule="auto"/>
            </w:pPr>
            <w:r>
              <w:rPr>
                <w:color w:val="273142"/>
                <w:sz w:val="15"/>
              </w:rPr>
              <w:t>Model role</w:t>
            </w:r>
          </w:p>
        </w:tc>
        <w:tc>
          <w:tcPr>
            <w:tcW w:type="dxa" w:w="3500"/>
            <w:tcMar>
              <w:top w:w="85" w:type="dxa"/>
              <w:start w:w="110" w:type="dxa"/>
              <w:bottom w:w="85" w:type="dxa"/>
              <w:end w:w="110" w:type="dxa"/>
            </w:tcMar>
            <w:shd w:fill="F3F5F7"/>
            <w:vAlign w:val="center"/>
          </w:tcPr>
          <w:p>
            <w:pPr>
              <w:spacing w:after="0" w:line="240" w:lineRule="auto"/>
            </w:pPr>
            <w:r>
              <w:rPr>
                <w:color w:val="273142"/>
                <w:sz w:val="15"/>
              </w:rPr>
              <w:t>Central loop participant</w:t>
            </w:r>
          </w:p>
        </w:tc>
        <w:tc>
          <w:tcPr>
            <w:tcW w:type="dxa" w:w="4060"/>
            <w:tcMar>
              <w:top w:w="85" w:type="dxa"/>
              <w:start w:w="110" w:type="dxa"/>
              <w:bottom w:w="85" w:type="dxa"/>
              <w:end w:w="110" w:type="dxa"/>
            </w:tcMar>
            <w:shd w:fill="F3F5F7"/>
            <w:vAlign w:val="center"/>
          </w:tcPr>
          <w:p>
            <w:pPr>
              <w:spacing w:after="0" w:line="240" w:lineRule="auto"/>
            </w:pPr>
            <w:r>
              <w:rPr>
                <w:color w:val="273142"/>
                <w:sz w:val="15"/>
              </w:rPr>
              <w:t>Optional planner behind schema/policy; absent from Fast Path.</w:t>
            </w:r>
          </w:p>
        </w:tc>
      </w:tr>
      <w:tr>
        <w:tc>
          <w:tcPr>
            <w:tcW w:type="dxa" w:w="1800"/>
            <w:tcMar>
              <w:top w:w="85" w:type="dxa"/>
              <w:start w:w="110" w:type="dxa"/>
              <w:bottom w:w="85" w:type="dxa"/>
              <w:end w:w="110" w:type="dxa"/>
            </w:tcMar>
            <w:vAlign w:val="center"/>
          </w:tcPr>
          <w:p>
            <w:pPr>
              <w:spacing w:after="0" w:line="240" w:lineRule="auto"/>
            </w:pPr>
            <w:r>
              <w:rPr>
                <w:color w:val="273142"/>
                <w:sz w:val="15"/>
              </w:rPr>
              <w:t>Targeting</w:t>
            </w:r>
          </w:p>
        </w:tc>
        <w:tc>
          <w:tcPr>
            <w:tcW w:type="dxa" w:w="3500"/>
            <w:tcMar>
              <w:top w:w="85" w:type="dxa"/>
              <w:start w:w="110" w:type="dxa"/>
              <w:bottom w:w="85" w:type="dxa"/>
              <w:end w:w="110" w:type="dxa"/>
            </w:tcMar>
            <w:vAlign w:val="center"/>
          </w:tcPr>
          <w:p>
            <w:pPr>
              <w:spacing w:after="0" w:line="240" w:lineRule="auto"/>
            </w:pPr>
            <w:r>
              <w:rPr>
                <w:color w:val="273142"/>
                <w:sz w:val="15"/>
              </w:rPr>
              <w:t>Often visual/coordinate or mixed</w:t>
            </w:r>
          </w:p>
        </w:tc>
        <w:tc>
          <w:tcPr>
            <w:tcW w:type="dxa" w:w="4060"/>
            <w:tcMar>
              <w:top w:w="85" w:type="dxa"/>
              <w:start w:w="110" w:type="dxa"/>
              <w:bottom w:w="85" w:type="dxa"/>
              <w:end w:w="110" w:type="dxa"/>
            </w:tcMar>
            <w:vAlign w:val="center"/>
          </w:tcPr>
          <w:p>
            <w:pPr>
              <w:spacing w:after="0" w:line="240" w:lineRule="auto"/>
            </w:pPr>
            <w:r>
              <w:rPr>
                <w:color w:val="273142"/>
                <w:sz w:val="15"/>
              </w:rPr>
              <w:t>DOM/accessibility-first; coordinates rejected for browser Fast Path.</w:t>
            </w:r>
          </w:p>
        </w:tc>
      </w:tr>
      <w:tr>
        <w:tc>
          <w:tcPr>
            <w:tcW w:type="dxa" w:w="1800"/>
            <w:tcMar>
              <w:top w:w="85" w:type="dxa"/>
              <w:start w:w="110" w:type="dxa"/>
              <w:bottom w:w="85" w:type="dxa"/>
              <w:end w:w="110" w:type="dxa"/>
            </w:tcMar>
            <w:shd w:fill="F3F5F7"/>
            <w:vAlign w:val="center"/>
          </w:tcPr>
          <w:p>
            <w:pPr>
              <w:spacing w:after="0" w:line="240" w:lineRule="auto"/>
            </w:pPr>
            <w:r>
              <w:rPr>
                <w:color w:val="273142"/>
                <w:sz w:val="15"/>
              </w:rPr>
              <w:t>Success</w:t>
            </w:r>
          </w:p>
        </w:tc>
        <w:tc>
          <w:tcPr>
            <w:tcW w:type="dxa" w:w="3500"/>
            <w:tcMar>
              <w:top w:w="85" w:type="dxa"/>
              <w:start w:w="110" w:type="dxa"/>
              <w:bottom w:w="85" w:type="dxa"/>
              <w:end w:w="110" w:type="dxa"/>
            </w:tcMar>
            <w:shd w:fill="F3F5F7"/>
            <w:vAlign w:val="center"/>
          </w:tcPr>
          <w:p>
            <w:pPr>
              <w:spacing w:after="0" w:line="240" w:lineRule="auto"/>
            </w:pPr>
            <w:r>
              <w:rPr>
                <w:color w:val="273142"/>
                <w:sz w:val="15"/>
              </w:rPr>
              <w:t>Task completion score</w:t>
            </w:r>
          </w:p>
        </w:tc>
        <w:tc>
          <w:tcPr>
            <w:tcW w:type="dxa" w:w="4060"/>
            <w:tcMar>
              <w:top w:w="85" w:type="dxa"/>
              <w:start w:w="110" w:type="dxa"/>
              <w:bottom w:w="85" w:type="dxa"/>
              <w:end w:w="110" w:type="dxa"/>
            </w:tcMar>
            <w:shd w:fill="F3F5F7"/>
            <w:vAlign w:val="center"/>
          </w:tcPr>
          <w:p>
            <w:pPr>
              <w:spacing w:after="0" w:line="240" w:lineRule="auto"/>
            </w:pPr>
            <w:r>
              <w:rPr>
                <w:color w:val="273142"/>
                <w:sz w:val="15"/>
              </w:rPr>
              <w:t>Declared verifier evidence plus redacted trace.</w:t>
            </w:r>
          </w:p>
        </w:tc>
      </w:tr>
      <w:tr>
        <w:tc>
          <w:tcPr>
            <w:tcW w:type="dxa" w:w="1800"/>
            <w:tcMar>
              <w:top w:w="85" w:type="dxa"/>
              <w:start w:w="110" w:type="dxa"/>
              <w:bottom w:w="85" w:type="dxa"/>
              <w:end w:w="110" w:type="dxa"/>
            </w:tcMar>
            <w:vAlign w:val="center"/>
          </w:tcPr>
          <w:p>
            <w:pPr>
              <w:spacing w:after="0" w:line="240" w:lineRule="auto"/>
            </w:pPr>
            <w:r>
              <w:rPr>
                <w:color w:val="273142"/>
                <w:sz w:val="15"/>
              </w:rPr>
              <w:t>Learning</w:t>
            </w:r>
          </w:p>
        </w:tc>
        <w:tc>
          <w:tcPr>
            <w:tcW w:type="dxa" w:w="3500"/>
            <w:tcMar>
              <w:top w:w="85" w:type="dxa"/>
              <w:start w:w="110" w:type="dxa"/>
              <w:bottom w:w="85" w:type="dxa"/>
              <w:end w:w="110" w:type="dxa"/>
            </w:tcMar>
            <w:vAlign w:val="center"/>
          </w:tcPr>
          <w:p>
            <w:pPr>
              <w:spacing w:after="0" w:line="240" w:lineRule="auto"/>
            </w:pPr>
            <w:r>
              <w:rPr>
                <w:color w:val="273142"/>
                <w:sz w:val="15"/>
              </w:rPr>
              <w:t>Prompt/policy updates</w:t>
            </w:r>
          </w:p>
        </w:tc>
        <w:tc>
          <w:tcPr>
            <w:tcW w:type="dxa" w:w="4060"/>
            <w:tcMar>
              <w:top w:w="85" w:type="dxa"/>
              <w:start w:w="110" w:type="dxa"/>
              <w:bottom w:w="85" w:type="dxa"/>
              <w:end w:w="110" w:type="dxa"/>
            </w:tcMar>
            <w:vAlign w:val="center"/>
          </w:tcPr>
          <w:p>
            <w:pPr>
              <w:spacing w:after="0" w:line="240" w:lineRule="auto"/>
            </w:pPr>
            <w:r>
              <w:rPr>
                <w:color w:val="273142"/>
                <w:sz w:val="15"/>
              </w:rPr>
              <w:t>Promotion only after independent verified runs and unseen-UI holdout.</w:t>
            </w:r>
          </w:p>
        </w:tc>
      </w:tr>
      <w:tr>
        <w:tc>
          <w:tcPr>
            <w:tcW w:type="dxa" w:w="1800"/>
            <w:tcMar>
              <w:top w:w="85" w:type="dxa"/>
              <w:start w:w="110" w:type="dxa"/>
              <w:bottom w:w="85" w:type="dxa"/>
              <w:end w:w="110" w:type="dxa"/>
            </w:tcMar>
            <w:shd w:fill="F3F5F7"/>
            <w:vAlign w:val="center"/>
          </w:tcPr>
          <w:p>
            <w:pPr>
              <w:spacing w:after="0" w:line="240" w:lineRule="auto"/>
            </w:pPr>
            <w:r>
              <w:rPr>
                <w:color w:val="273142"/>
                <w:sz w:val="15"/>
              </w:rPr>
              <w:t>Authority</w:t>
            </w:r>
          </w:p>
        </w:tc>
        <w:tc>
          <w:tcPr>
            <w:tcW w:type="dxa" w:w="3500"/>
            <w:tcMar>
              <w:top w:w="85" w:type="dxa"/>
              <w:start w:w="110" w:type="dxa"/>
              <w:bottom w:w="85" w:type="dxa"/>
              <w:end w:w="110" w:type="dxa"/>
            </w:tcMar>
            <w:shd w:fill="F3F5F7"/>
            <w:vAlign w:val="center"/>
          </w:tcPr>
          <w:p>
            <w:pPr>
              <w:spacing w:after="0" w:line="240" w:lineRule="auto"/>
            </w:pPr>
            <w:r>
              <w:rPr>
                <w:color w:val="273142"/>
                <w:sz w:val="15"/>
              </w:rPr>
              <w:t>Agent-centric</w:t>
            </w:r>
          </w:p>
        </w:tc>
        <w:tc>
          <w:tcPr>
            <w:tcW w:type="dxa" w:w="4060"/>
            <w:tcMar>
              <w:top w:w="85" w:type="dxa"/>
              <w:start w:w="110" w:type="dxa"/>
              <w:bottom w:w="85" w:type="dxa"/>
              <w:end w:w="110" w:type="dxa"/>
            </w:tcMar>
            <w:shd w:fill="F3F5F7"/>
            <w:vAlign w:val="center"/>
          </w:tcPr>
          <w:p>
            <w:pPr>
              <w:spacing w:after="0" w:line="240" w:lineRule="auto"/>
            </w:pPr>
            <w:r>
              <w:rPr>
                <w:color w:val="273142"/>
                <w:sz w:val="15"/>
              </w:rPr>
              <w:t>Human approval bound to exact high-risk/global actions.</w:t>
            </w:r>
          </w:p>
        </w:tc>
      </w:tr>
    </w:tbl>
    <w:p>
      <w:pPr>
        <w:spacing w:after="0"/>
      </w:pPr>
    </w:p>
    <w:p>
      <w:pPr>
        <w:pStyle w:val="Heading2"/>
        <w:keepNext w:val="1"/>
      </w:pPr>
      <w:r>
        <w:t>Why this position is attractive</w:t>
      </w:r>
    </w:p>
    <w:p>
      <w:pPr>
        <w:pStyle w:val="ListBullet"/>
        <w:spacing w:after="80"/>
        <w:keepLines w:val="1"/>
      </w:pPr>
      <w:r>
        <w:t>It targets the operational trust gap between “the model suggested an action” and “the system can prove the action succeeded safely.”</w:t>
      </w:r>
    </w:p>
    <w:p>
      <w:pPr>
        <w:pStyle w:val="ListBullet"/>
        <w:spacing w:after="80"/>
        <w:keepLines w:val="1"/>
      </w:pPr>
      <w:r>
        <w:t>It lets better planners be adopted without replacing the local execution, policy, verification, and audit boundary.</w:t>
      </w:r>
    </w:p>
    <w:p>
      <w:pPr>
        <w:pStyle w:val="ListBullet"/>
        <w:spacing w:after="80"/>
        <w:keepLines w:val="1"/>
      </w:pPr>
      <w:r>
        <w:t>It can be evaluated on dimensions that matter in production: ambiguity handling, verifier precision, approval integrity, latency, recovery, and auditability.</w:t>
      </w:r>
    </w:p>
    <w:p>
      <w:pPr>
        <w:spacing w:before="40" w:after="80"/>
      </w:pPr>
      <w:r>
        <w:rPr>
          <w:i/>
          <w:color w:val="657184"/>
          <w:sz w:val="14"/>
        </w:rPr>
        <w:t>External context sources: official ServiceNow BrowserGym, WorkArena, and AgentLab repositories. No external benchmark score is attributed to LHIC in this report.</w:t>
      </w:r>
    </w:p>
    <w:p>
      <w:r>
        <w:br w:type="page"/>
      </w:r>
    </w:p>
    <w:p>
      <w:pPr>
        <w:spacing w:before="40" w:after="80"/>
        <w:keepNext w:val="1"/>
      </w:pPr>
      <w:r>
        <w:rPr>
          <w:rFonts w:ascii="Arial" w:hAnsi="Arial"/>
          <w:b/>
          <w:color w:val="21C7D9"/>
          <w:sz w:val="16"/>
        </w:rPr>
        <w:t>RECOMMENDATIONS</w:t>
      </w:r>
    </w:p>
    <w:p>
      <w:pPr>
        <w:pStyle w:val="Heading1"/>
        <w:spacing w:before="0" w:after="100"/>
        <w:keepNext w:val="1"/>
      </w:pPr>
      <w:r>
        <w:t>The next work that compounds credibility</w:t>
      </w:r>
    </w:p>
    <w:p>
      <w:pPr>
        <w:pStyle w:val="Subtitle"/>
        <w:spacing w:after="240"/>
        <w:keepNext w:val="1"/>
      </w:pPr>
      <w:r>
        <w:t>The priority is to convert strong internal invariants into reproducible external proof and a clean release story.</w:t>
      </w:r>
    </w:p>
    <w:p>
      <w:pPr>
        <w:pStyle w:val="ListNumber"/>
        <w:spacing w:after="80"/>
        <w:keepLines w:val="1"/>
      </w:pPr>
      <w:r>
        <w:t>Publish an external evaluation pack. Integrate BrowserGym/WorkArena through the existing adapter boundary; pin versions, disclose task filters, capture traces, and publish failure taxonomy—not just aggregate success.</w:t>
      </w:r>
    </w:p>
    <w:p>
      <w:pPr>
        <w:pStyle w:val="ListNumber"/>
        <w:spacing w:after="80"/>
        <w:keepLines w:val="1"/>
      </w:pPr>
      <w:r>
        <w:t>Define verifier quality metrics. Add false-positive/false-negative test sets for each verifier family, because “100% verifier pass” is meaningful only when incorrect success is actively challenged.</w:t>
      </w:r>
    </w:p>
    <w:p>
      <w:pPr>
        <w:pStyle w:val="ListNumber"/>
        <w:spacing w:after="80"/>
        <w:keepLines w:val="1"/>
      </w:pPr>
      <w:r>
        <w:t>Unify release truth. Reconcile npm 0.1.1, local 0.1.2 RC, desktop 0.1.4 development status, tags, and public repository documentation into one versioned release matrix.</w:t>
      </w:r>
    </w:p>
    <w:p>
      <w:pPr>
        <w:pStyle w:val="ListNumber"/>
        <w:spacing w:after="80"/>
        <w:keepLines w:val="1"/>
      </w:pPr>
      <w:r>
        <w:t>Finish the desktop distribution gate. Produce reproducible packaged binaries, signing/notarization evidence, OS-permission guidance, and a clean installer smoke-test record.</w:t>
      </w:r>
    </w:p>
    <w:p>
      <w:pPr>
        <w:pStyle w:val="ListNumber"/>
        <w:spacing w:after="80"/>
        <w:keepLines w:val="1"/>
      </w:pPr>
      <w:r>
        <w:t>Expand verifier coverage. Prioritize screenshot and custom verifier support only where structured DOM/AX/process/window evidence cannot express the postcondition; keep them outside the core Fast Path unless determinism is demonstrated.</w:t>
      </w:r>
    </w:p>
    <w:p>
      <w:pPr>
        <w:pStyle w:val="ListNumber"/>
        <w:spacing w:after="80"/>
        <w:keepLines w:val="1"/>
      </w:pPr>
      <w:r>
        <w:t>Document production integration ownership. For BrowserPool, workflow queues, KMS providers, shared-skill sync, and OTLP, state what LHIC guarantees versus what the embedding service must configure and monitor.</w:t>
      </w:r>
    </w:p>
    <w:p>
      <w:pPr>
        <w:pStyle w:val="Heading2"/>
        <w:keepNext w:val="1"/>
      </w:pPr>
      <w:r>
        <w:t>Suggested 90-day sequence</w:t>
      </w:r>
    </w:p>
    <w:tbl>
      <w:tblPr>
        <w:tblStyle w:val="TableGrid"/>
        <w:tblW w:type="dxa" w:w="9360"/>
        <w:jc w:val="center"/>
        <w:tblLayout w:type="fixed"/>
        <w:tblLook w:firstColumn="1" w:firstRow="1" w:lastColumn="0" w:lastRow="0" w:noHBand="0" w:noVBand="1" w:val="04A0"/>
        <w:tblInd w:w="0" w:type="dxa"/>
      </w:tblPr>
      <w:tblGrid>
        <w:gridCol w:w="3360"/>
        <w:gridCol w:w="3360"/>
        <w:gridCol w:w="3360"/>
      </w:tblGrid>
      <w:tr>
        <w:trPr>
          <w:tblHeader w:val="true"/>
        </w:trPr>
        <w:tc>
          <w:tcPr>
            <w:tcW w:type="dxa" w:w="1700"/>
            <w:shd w:fill="0A192F"/>
            <w:tcMar>
              <w:top w:w="100" w:type="dxa"/>
              <w:start w:w="110" w:type="dxa"/>
              <w:bottom w:w="100" w:type="dxa"/>
              <w:end w:w="110" w:type="dxa"/>
            </w:tcMar>
          </w:tcPr>
          <w:p>
            <w:pPr>
              <w:spacing w:after="0"/>
            </w:pPr>
            <w:r>
              <w:rPr>
                <w:b/>
                <w:color w:val="FFFFFF"/>
                <w:sz w:val="17"/>
              </w:rPr>
              <w:t>Window</w:t>
            </w:r>
          </w:p>
        </w:tc>
        <w:tc>
          <w:tcPr>
            <w:tcW w:type="dxa" w:w="4100"/>
            <w:shd w:fill="0A192F"/>
            <w:tcMar>
              <w:top w:w="100" w:type="dxa"/>
              <w:start w:w="110" w:type="dxa"/>
              <w:bottom w:w="100" w:type="dxa"/>
              <w:end w:w="110" w:type="dxa"/>
            </w:tcMar>
          </w:tcPr>
          <w:p>
            <w:pPr>
              <w:spacing w:after="0"/>
            </w:pPr>
            <w:r>
              <w:rPr>
                <w:b/>
                <w:color w:val="FFFFFF"/>
                <w:sz w:val="17"/>
              </w:rPr>
              <w:t>Primary deliverable</w:t>
            </w:r>
          </w:p>
        </w:tc>
        <w:tc>
          <w:tcPr>
            <w:tcW w:type="dxa" w:w="3560"/>
            <w:shd w:fill="0A192F"/>
            <w:tcMar>
              <w:top w:w="100" w:type="dxa"/>
              <w:start w:w="110" w:type="dxa"/>
              <w:bottom w:w="100" w:type="dxa"/>
              <w:end w:w="110" w:type="dxa"/>
            </w:tcMar>
          </w:tcPr>
          <w:p>
            <w:pPr>
              <w:spacing w:after="0"/>
            </w:pPr>
            <w:r>
              <w:rPr>
                <w:b/>
                <w:color w:val="FFFFFF"/>
                <w:sz w:val="17"/>
              </w:rPr>
              <w:t>Exit criterion</w:t>
            </w:r>
          </w:p>
        </w:tc>
      </w:tr>
      <w:tr>
        <w:tc>
          <w:tcPr>
            <w:tcW w:type="dxa" w:w="1700"/>
            <w:tcMar>
              <w:top w:w="85" w:type="dxa"/>
              <w:start w:w="110" w:type="dxa"/>
              <w:bottom w:w="85" w:type="dxa"/>
              <w:end w:w="110" w:type="dxa"/>
            </w:tcMar>
            <w:vAlign w:val="center"/>
          </w:tcPr>
          <w:p>
            <w:pPr>
              <w:spacing w:after="0" w:line="240" w:lineRule="auto"/>
            </w:pPr>
            <w:r>
              <w:rPr>
                <w:color w:val="273142"/>
                <w:sz w:val="16"/>
              </w:rPr>
              <w:t>0–30 days</w:t>
            </w:r>
          </w:p>
        </w:tc>
        <w:tc>
          <w:tcPr>
            <w:tcW w:type="dxa" w:w="4100"/>
            <w:tcMar>
              <w:top w:w="85" w:type="dxa"/>
              <w:start w:w="110" w:type="dxa"/>
              <w:bottom w:w="85" w:type="dxa"/>
              <w:end w:w="110" w:type="dxa"/>
            </w:tcMar>
            <w:vAlign w:val="center"/>
          </w:tcPr>
          <w:p>
            <w:pPr>
              <w:spacing w:after="0" w:line="240" w:lineRule="auto"/>
            </w:pPr>
            <w:r>
              <w:rPr>
                <w:color w:val="273142"/>
                <w:sz w:val="16"/>
              </w:rPr>
              <w:t>Release truth + verifier challenge set</w:t>
            </w:r>
          </w:p>
        </w:tc>
        <w:tc>
          <w:tcPr>
            <w:tcW w:type="dxa" w:w="3560"/>
            <w:tcMar>
              <w:top w:w="85" w:type="dxa"/>
              <w:start w:w="110" w:type="dxa"/>
              <w:bottom w:w="85" w:type="dxa"/>
              <w:end w:w="110" w:type="dxa"/>
            </w:tcMar>
            <w:vAlign w:val="center"/>
          </w:tcPr>
          <w:p>
            <w:pPr>
              <w:spacing w:after="0" w:line="240" w:lineRule="auto"/>
            </w:pPr>
            <w:r>
              <w:rPr>
                <w:color w:val="273142"/>
                <w:sz w:val="16"/>
              </w:rPr>
              <w:t>Single version matrix; automated negative verifier cases pass.</w:t>
            </w:r>
          </w:p>
        </w:tc>
      </w:tr>
      <w:tr>
        <w:tc>
          <w:tcPr>
            <w:tcW w:type="dxa" w:w="1700"/>
            <w:tcMar>
              <w:top w:w="85" w:type="dxa"/>
              <w:start w:w="110" w:type="dxa"/>
              <w:bottom w:w="85" w:type="dxa"/>
              <w:end w:w="110" w:type="dxa"/>
            </w:tcMar>
            <w:shd w:fill="F3F5F7"/>
            <w:vAlign w:val="center"/>
          </w:tcPr>
          <w:p>
            <w:pPr>
              <w:spacing w:after="0" w:line="240" w:lineRule="auto"/>
            </w:pPr>
            <w:r>
              <w:rPr>
                <w:color w:val="273142"/>
                <w:sz w:val="16"/>
              </w:rPr>
              <w:t>31–60 days</w:t>
            </w:r>
          </w:p>
        </w:tc>
        <w:tc>
          <w:tcPr>
            <w:tcW w:type="dxa" w:w="4100"/>
            <w:tcMar>
              <w:top w:w="85" w:type="dxa"/>
              <w:start w:w="110" w:type="dxa"/>
              <w:bottom w:w="85" w:type="dxa"/>
              <w:end w:w="110" w:type="dxa"/>
            </w:tcMar>
            <w:shd w:fill="F3F5F7"/>
            <w:vAlign w:val="center"/>
          </w:tcPr>
          <w:p>
            <w:pPr>
              <w:spacing w:after="0" w:line="240" w:lineRule="auto"/>
            </w:pPr>
            <w:r>
              <w:rPr>
                <w:color w:val="273142"/>
                <w:sz w:val="16"/>
              </w:rPr>
              <w:t>BrowserGym/WorkArena integration harness</w:t>
            </w:r>
          </w:p>
        </w:tc>
        <w:tc>
          <w:tcPr>
            <w:tcW w:type="dxa" w:w="3560"/>
            <w:tcMar>
              <w:top w:w="85" w:type="dxa"/>
              <w:start w:w="110" w:type="dxa"/>
              <w:bottom w:w="85" w:type="dxa"/>
              <w:end w:w="110" w:type="dxa"/>
            </w:tcMar>
            <w:shd w:fill="F3F5F7"/>
            <w:vAlign w:val="center"/>
          </w:tcPr>
          <w:p>
            <w:pPr>
              <w:spacing w:after="0" w:line="240" w:lineRule="auto"/>
            </w:pPr>
            <w:r>
              <w:rPr>
                <w:color w:val="273142"/>
                <w:sz w:val="16"/>
              </w:rPr>
              <w:t>Pinned, reproducible runs produce trace bundles and a failure taxonomy.</w:t>
            </w:r>
          </w:p>
        </w:tc>
      </w:tr>
      <w:tr>
        <w:tc>
          <w:tcPr>
            <w:tcW w:type="dxa" w:w="1700"/>
            <w:tcMar>
              <w:top w:w="85" w:type="dxa"/>
              <w:start w:w="110" w:type="dxa"/>
              <w:bottom w:w="85" w:type="dxa"/>
              <w:end w:w="110" w:type="dxa"/>
            </w:tcMar>
            <w:vAlign w:val="center"/>
          </w:tcPr>
          <w:p>
            <w:pPr>
              <w:spacing w:after="0" w:line="240" w:lineRule="auto"/>
            </w:pPr>
            <w:r>
              <w:rPr>
                <w:color w:val="273142"/>
                <w:sz w:val="16"/>
              </w:rPr>
              <w:t>61–90 days</w:t>
            </w:r>
          </w:p>
        </w:tc>
        <w:tc>
          <w:tcPr>
            <w:tcW w:type="dxa" w:w="4100"/>
            <w:tcMar>
              <w:top w:w="85" w:type="dxa"/>
              <w:start w:w="110" w:type="dxa"/>
              <w:bottom w:w="85" w:type="dxa"/>
              <w:end w:w="110" w:type="dxa"/>
            </w:tcMar>
            <w:vAlign w:val="center"/>
          </w:tcPr>
          <w:p>
            <w:pPr>
              <w:spacing w:after="0" w:line="240" w:lineRule="auto"/>
            </w:pPr>
            <w:r>
              <w:rPr>
                <w:color w:val="273142"/>
                <w:sz w:val="16"/>
              </w:rPr>
              <w:t>Signed desktop release candidate + evidence pack</w:t>
            </w:r>
          </w:p>
        </w:tc>
        <w:tc>
          <w:tcPr>
            <w:tcW w:type="dxa" w:w="3560"/>
            <w:tcMar>
              <w:top w:w="85" w:type="dxa"/>
              <w:start w:w="110" w:type="dxa"/>
              <w:bottom w:w="85" w:type="dxa"/>
              <w:end w:w="110" w:type="dxa"/>
            </w:tcMar>
            <w:vAlign w:val="center"/>
          </w:tcPr>
          <w:p>
            <w:pPr>
              <w:spacing w:after="0" w:line="240" w:lineRule="auto"/>
            </w:pPr>
            <w:r>
              <w:rPr>
                <w:color w:val="273142"/>
                <w:sz w:val="16"/>
              </w:rPr>
              <w:t>Installer smoke-tested; public docs and package metadata match artifacts.</w:t>
            </w:r>
          </w:p>
        </w:tc>
      </w:tr>
    </w:tbl>
    <w:p>
      <w:pPr>
        <w:spacing w:after="0"/>
      </w:pPr>
    </w:p>
    <w:tbl>
      <w:tblPr>
        <w:tblW w:type="dxa" w:w="9360"/>
        <w:tblLayout w:type="fixed"/>
        <w:tblLook w:firstColumn="1" w:firstRow="1" w:lastColumn="0" w:lastRow="0" w:noHBand="0" w:noVBand="1" w:val="04A0"/>
        <w:tblInd w:w="0" w:type="dxa"/>
      </w:tblPr>
      <w:tblGrid>
        <w:gridCol w:w="10080"/>
      </w:tblGrid>
      <w:tr>
        <w:tc>
          <w:tcPr>
            <w:tcW w:type="dxa" w:w="10080"/>
            <w:shd w:fill="F0F8DF"/>
            <w:tcMar>
              <w:top w:w="140" w:type="dxa"/>
              <w:start w:w="180" w:type="dxa"/>
              <w:bottom w:w="140" w:type="dxa"/>
              <w:end w:w="180" w:type="dxa"/>
            </w:tcMar>
            <w:tcBorders>
              <w:start w:val="single" w:sz="30" w:color="78A11F"/>
            </w:tcBorders>
          </w:tcPr>
          <w:p>
            <w:pPr>
              <w:spacing w:after="40"/>
            </w:pPr>
            <w:r>
              <w:rPr>
                <w:b/>
                <w:color w:val="78A11F"/>
                <w:sz w:val="16"/>
              </w:rPr>
              <w:t>STRATEGIC FOCUS</w:t>
            </w:r>
          </w:p>
          <w:p>
            <w:pPr>
              <w:spacing w:after="0" w:line="252" w:lineRule="auto"/>
            </w:pPr>
            <w:r>
              <w:rPr>
                <w:sz w:val="21"/>
              </w:rPr>
              <w:t>Do not dilute the story by competing on every autonomy benchmark at once. Own the narrower and more defensible category: verifiable local execution for workflows where evidence, authority, and predictable failure matter.</w:t>
            </w:r>
          </w:p>
        </w:tc>
      </w:tr>
    </w:tbl>
    <w:p>
      <w:pPr>
        <w:spacing w:after="0"/>
      </w:pPr>
    </w:p>
    <w:p>
      <w:r>
        <w:br w:type="page"/>
      </w:r>
    </w:p>
    <w:p>
      <w:pPr>
        <w:spacing w:before="40" w:after="80"/>
        <w:keepNext w:val="1"/>
      </w:pPr>
      <w:r>
        <w:rPr>
          <w:rFonts w:ascii="Arial" w:hAnsi="Arial"/>
          <w:b/>
          <w:color w:val="21C7D9"/>
          <w:sz w:val="16"/>
        </w:rPr>
        <w:t>CONCLUSION</w:t>
      </w:r>
    </w:p>
    <w:p>
      <w:pPr>
        <w:pStyle w:val="Heading1"/>
        <w:spacing w:before="0" w:after="100"/>
        <w:keepNext w:val="1"/>
      </w:pPr>
      <w:r>
        <w:t>A serious execution substrate with a clear proof agenda</w:t>
      </w:r>
    </w:p>
    <w:p>
      <w:pPr>
        <w:pStyle w:val="Subtitle"/>
        <w:spacing w:after="240"/>
        <w:keepNext w:val="1"/>
      </w:pPr>
      <w:r>
        <w:t>LHIC’s implementation is strongest where many agent systems are weakest: at the boundary between intention and accountable action.</w:t>
      </w:r>
    </w:p>
    <w:p>
      <w:pPr>
        <w:pStyle w:val="BodyText"/>
        <w:keepLines w:val="1"/>
      </w:pPr>
      <w:r>
        <w:rPr>
          <w:i w:val="0"/>
        </w:rPr>
        <w:t>The current project combines typed plans, direct local automation, policy routing, explicit postconditions, cryptographically scoped approvals, redacted traces, verified skill memory, and multiple operator surfaces into one coherent architecture. The implementation breadth and passing validation suite make the project credible as an engineering system, not just a concept.</w:t>
      </w:r>
    </w:p>
    <w:p>
      <w:pPr>
        <w:pStyle w:val="BodyText"/>
        <w:keepLines w:val="1"/>
      </w:pPr>
      <w:r>
        <w:rPr>
          <w:i w:val="0"/>
        </w:rPr>
        <w:t>The highlight is the division of responsibility: intelligence can help interpret or plan, but it does not own execution authority. LHIC keeps that authority in deterministic code, under budgets and policy, with proof attached to the result. That is a compelling foundation for enterprise browser workflows, regulated operations, and human-in-the-loop automation.</w:t>
      </w:r>
    </w:p>
    <w:p>
      <w:pPr>
        <w:pStyle w:val="BodyText"/>
        <w:keepLines w:val="1"/>
      </w:pPr>
      <w:r>
        <w:rPr>
          <w:i w:val="0"/>
        </w:rPr>
        <w:t>The project should now resist overclaiming. Its local benchmark evidence is good regression proof; its next credibility milestone is an externally reproducible evaluation and a harmonized public release. If that is delivered without weakening the Fast Path and verifier invariants, LHIC can occupy a distinctive position between agent planning frameworks and production-grade automation runtimes.</w:t>
      </w:r>
    </w:p>
    <w:p>
      <w:pPr>
        <w:pStyle w:val="Heading2"/>
        <w:keepNext w:val="1"/>
      </w:pPr>
      <w:r>
        <w:t>Presentation-ready highlights</w:t>
      </w:r>
    </w:p>
    <w:p>
      <w:pPr>
        <w:pStyle w:val="ListBullet"/>
        <w:spacing w:after="80"/>
        <w:keepLines w:val="1"/>
      </w:pPr>
      <w:r>
        <w:t>Routine work stays local: 0 model calls and 0 MCP calls on the tested Fast Path.</w:t>
      </w:r>
    </w:p>
    <w:p>
      <w:pPr>
        <w:pStyle w:val="ListBullet"/>
        <w:spacing w:after="80"/>
        <w:keepLines w:val="1"/>
      </w:pPr>
      <w:r>
        <w:t>Every plan declares what success must look like before execution begins.</w:t>
      </w:r>
    </w:p>
    <w:p>
      <w:pPr>
        <w:pStyle w:val="ListBullet"/>
        <w:spacing w:after="80"/>
        <w:keepLines w:val="1"/>
      </w:pPr>
      <w:r>
        <w:t>High-risk and global actions require exact, expiring, one-time human approval.</w:t>
      </w:r>
    </w:p>
    <w:p>
      <w:pPr>
        <w:pStyle w:val="ListBullet"/>
        <w:spacing w:after="80"/>
        <w:keepLines w:val="1"/>
      </w:pPr>
      <w:r>
        <w:t>Learning is earned through independent verified runs and an unseen-UI holdout.</w:t>
      </w:r>
    </w:p>
    <w:p>
      <w:pPr>
        <w:pStyle w:val="ListBullet"/>
        <w:spacing w:after="80"/>
        <w:keepLines w:val="1"/>
      </w:pPr>
      <w:r>
        <w:t>All 341 tests and all project-standard checks passed in this review.</w:t>
      </w:r>
    </w:p>
    <w:p>
      <w:pPr>
        <w:pStyle w:val="ListBullet"/>
        <w:spacing w:after="80"/>
        <w:keepLines w:val="1"/>
      </w:pPr>
      <w:r>
        <w:t>The honest next step is external proof—not a broader claim of autonomy.</w:t>
      </w:r>
    </w:p>
    <w:p>
      <w:r>
        <w:br w:type="page"/>
      </w:r>
    </w:p>
    <w:p>
      <w:pPr>
        <w:spacing w:before="40" w:after="80"/>
        <w:keepNext w:val="1"/>
      </w:pPr>
      <w:r>
        <w:rPr>
          <w:rFonts w:ascii="Arial" w:hAnsi="Arial"/>
          <w:b/>
          <w:color w:val="21C7D9"/>
          <w:sz w:val="16"/>
        </w:rPr>
        <w:t>SOURCE APPENDIX</w:t>
      </w:r>
    </w:p>
    <w:p>
      <w:pPr>
        <w:pStyle w:val="Heading1"/>
        <w:spacing w:before="0" w:after="100"/>
        <w:keepNext w:val="1"/>
      </w:pPr>
      <w:r>
        <w:t>Evidence map</w:t>
      </w:r>
    </w:p>
    <w:p>
      <w:pPr>
        <w:pStyle w:val="Subtitle"/>
        <w:spacing w:after="240"/>
        <w:keepNext w:val="1"/>
      </w:pPr>
      <w:r>
        <w:t>Primary repository evidence and official external context reviewed for this report.</w:t>
      </w:r>
    </w:p>
    <w:p>
      <w:pPr>
        <w:pStyle w:val="Heading2"/>
        <w:keepNext w:val="1"/>
      </w:pPr>
      <w:r>
        <w:t>Repository sources</w:t>
      </w:r>
    </w:p>
    <w:p>
      <w:pPr>
        <w:pStyle w:val="ListBullet"/>
        <w:spacing w:after="80"/>
        <w:keepLines w:val="1"/>
      </w:pPr>
      <w:r>
        <w:t>README.md — mission, feature framing, quick start, supported surfaces.</w:t>
      </w:r>
    </w:p>
    <w:p>
      <w:pPr>
        <w:pStyle w:val="ListBullet"/>
        <w:spacing w:after="80"/>
        <w:keepLines w:val="1"/>
      </w:pPr>
      <w:r>
        <w:t>CODEX_EXECUTION_PLAN.md — phased implementation intent and non-goals.</w:t>
      </w:r>
    </w:p>
    <w:p>
      <w:pPr>
        <w:pStyle w:val="ListBullet"/>
        <w:spacing w:after="80"/>
        <w:keepLines w:val="1"/>
      </w:pPr>
      <w:r>
        <w:t>docs/architecture.md; docs/global-control.md; docs/desktop-control-center.md — runtime and operator architecture.</w:t>
      </w:r>
    </w:p>
    <w:p>
      <w:pPr>
        <w:pStyle w:val="ListBullet"/>
        <w:spacing w:after="80"/>
        <w:keepLines w:val="1"/>
      </w:pPr>
      <w:r>
        <w:t>docs/security.md; docs/production-readiness.md; docs/known-limitations.md — threat model, deployment readiness, and explicit gaps.</w:t>
      </w:r>
    </w:p>
    <w:p>
      <w:pPr>
        <w:pStyle w:val="ListBullet"/>
        <w:spacing w:after="80"/>
        <w:keepLines w:val="1"/>
      </w:pPr>
      <w:r>
        <w:t>docs/benchmark.md; docs/benchmark-methodology.md; docs/advantage-simulation.md; benchmarks/README.md — controlled evidence design and interpretation.</w:t>
      </w:r>
    </w:p>
    <w:p>
      <w:pPr>
        <w:pStyle w:val="ListBullet"/>
        <w:spacing w:after="80"/>
        <w:keepLines w:val="1"/>
      </w:pPr>
      <w:r>
        <w:t>docs/market-position.md; docs/market-research.md — project positioning and benchmark research.</w:t>
      </w:r>
    </w:p>
    <w:p>
      <w:pPr>
        <w:pStyle w:val="ListBullet"/>
        <w:spacing w:after="80"/>
        <w:keepLines w:val="1"/>
      </w:pPr>
      <w:r>
        <w:t>docs/release-status.md; docs/reproducibility.md; docs/devpost-submission.md; docs/build-week-changelog.md — release and evidence posture.</w:t>
      </w:r>
    </w:p>
    <w:p>
      <w:pPr>
        <w:pStyle w:val="ListBullet"/>
        <w:spacing w:after="80"/>
        <w:keepLines w:val="1"/>
      </w:pPr>
      <w:r>
        <w:t>packages/schema, controller, browser, verifier, security, trace, memory, skills, shared-skills, game-training* — core implementation.</w:t>
      </w:r>
    </w:p>
    <w:p>
      <w:pPr>
        <w:pStyle w:val="ListBullet"/>
        <w:spacing w:after="80"/>
        <w:keepLines w:val="1"/>
      </w:pPr>
      <w:r>
        <w:t>apps/cli, apps/desktop, apps/lhic, apps/mcp-server; services/appwrite — user-facing and integration surfaces.</w:t>
      </w:r>
    </w:p>
    <w:p>
      <w:pPr>
        <w:pStyle w:val="Heading2"/>
        <w:keepNext w:val="1"/>
      </w:pPr>
      <w:r>
        <w:t>Official public context</w:t>
      </w:r>
    </w:p>
    <w:tbl>
      <w:tblPr>
        <w:tblStyle w:val="TableGrid"/>
        <w:tblW w:type="dxa" w:w="9360"/>
        <w:jc w:val="center"/>
        <w:tblLayout w:type="fixed"/>
        <w:tblLook w:firstColumn="1" w:firstRow="1" w:lastColumn="0" w:lastRow="0" w:noHBand="0" w:noVBand="1" w:val="04A0"/>
        <w:tblInd w:w="0" w:type="dxa"/>
      </w:tblPr>
      <w:tblGrid>
        <w:gridCol w:w="5040"/>
        <w:gridCol w:w="5040"/>
      </w:tblGrid>
      <w:tr>
        <w:trPr>
          <w:tblHeader w:val="true"/>
        </w:trPr>
        <w:tc>
          <w:tcPr>
            <w:tcW w:type="dxa" w:w="2300"/>
            <w:shd w:fill="0A192F"/>
            <w:tcMar>
              <w:top w:w="100" w:type="dxa"/>
              <w:start w:w="110" w:type="dxa"/>
              <w:bottom w:w="100" w:type="dxa"/>
              <w:end w:w="110" w:type="dxa"/>
            </w:tcMar>
          </w:tcPr>
          <w:p>
            <w:pPr>
              <w:spacing w:after="0"/>
            </w:pPr>
            <w:r>
              <w:rPr>
                <w:b/>
                <w:color w:val="FFFFFF"/>
                <w:sz w:val="17"/>
              </w:rPr>
              <w:t>Source</w:t>
            </w:r>
          </w:p>
        </w:tc>
        <w:tc>
          <w:tcPr>
            <w:tcW w:type="dxa" w:w="7060"/>
            <w:shd w:fill="0A192F"/>
            <w:tcMar>
              <w:top w:w="100" w:type="dxa"/>
              <w:start w:w="110" w:type="dxa"/>
              <w:bottom w:w="100" w:type="dxa"/>
              <w:end w:w="110" w:type="dxa"/>
            </w:tcMar>
          </w:tcPr>
          <w:p>
            <w:pPr>
              <w:spacing w:after="0"/>
            </w:pPr>
            <w:r>
              <w:rPr>
                <w:b/>
                <w:color w:val="FFFFFF"/>
                <w:sz w:val="17"/>
              </w:rPr>
              <w:t>URL / purpose</w:t>
            </w:r>
          </w:p>
        </w:tc>
      </w:tr>
      <w:tr>
        <w:tc>
          <w:tcPr>
            <w:tcW w:type="dxa" w:w="2300"/>
            <w:tcMar>
              <w:top w:w="85" w:type="dxa"/>
              <w:start w:w="110" w:type="dxa"/>
              <w:bottom w:w="85" w:type="dxa"/>
              <w:end w:w="110" w:type="dxa"/>
            </w:tcMar>
            <w:vAlign w:val="center"/>
          </w:tcPr>
          <w:p>
            <w:pPr>
              <w:spacing w:after="0" w:line="240" w:lineRule="auto"/>
            </w:pPr>
            <w:r>
              <w:rPr>
                <w:color w:val="273142"/>
                <w:sz w:val="16"/>
              </w:rPr>
              <w:t>LHIC repository</w:t>
            </w:r>
          </w:p>
        </w:tc>
        <w:tc>
          <w:tcPr>
            <w:tcW w:type="dxa" w:w="7060"/>
            <w:tcMar>
              <w:top w:w="85" w:type="dxa"/>
              <w:start w:w="110" w:type="dxa"/>
              <w:bottom w:w="85" w:type="dxa"/>
              <w:end w:w="110" w:type="dxa"/>
            </w:tcMar>
            <w:vAlign w:val="center"/>
          </w:tcPr>
          <w:p>
            <w:pPr>
              <w:spacing w:after="0" w:line="240" w:lineRule="auto"/>
            </w:pPr>
            <w:r>
              <w:rPr>
                <w:color w:val="273142"/>
                <w:sz w:val="16"/>
              </w:rPr>
              <w:t>https://github.com/chengmatt416/LHIC — public project representation.</w:t>
            </w:r>
          </w:p>
        </w:tc>
      </w:tr>
      <w:tr>
        <w:tc>
          <w:tcPr>
            <w:tcW w:type="dxa" w:w="2300"/>
            <w:tcMar>
              <w:top w:w="85" w:type="dxa"/>
              <w:start w:w="110" w:type="dxa"/>
              <w:bottom w:w="85" w:type="dxa"/>
              <w:end w:w="110" w:type="dxa"/>
            </w:tcMar>
            <w:shd w:fill="F3F5F7"/>
            <w:vAlign w:val="center"/>
          </w:tcPr>
          <w:p>
            <w:pPr>
              <w:spacing w:after="0" w:line="240" w:lineRule="auto"/>
            </w:pPr>
            <w:r>
              <w:rPr>
                <w:color w:val="273142"/>
                <w:sz w:val="16"/>
              </w:rPr>
              <w:t>npm package</w:t>
            </w:r>
          </w:p>
        </w:tc>
        <w:tc>
          <w:tcPr>
            <w:tcW w:type="dxa" w:w="7060"/>
            <w:tcMar>
              <w:top w:w="85" w:type="dxa"/>
              <w:start w:w="110" w:type="dxa"/>
              <w:bottom w:w="85" w:type="dxa"/>
              <w:end w:w="110" w:type="dxa"/>
            </w:tcMar>
            <w:shd w:fill="F3F5F7"/>
            <w:vAlign w:val="center"/>
          </w:tcPr>
          <w:p>
            <w:pPr>
              <w:spacing w:after="0" w:line="240" w:lineRule="auto"/>
            </w:pPr>
            <w:r>
              <w:rPr>
                <w:color w:val="273142"/>
                <w:sz w:val="16"/>
              </w:rPr>
              <w:t>https://www.npmjs.com/package/@pinyencheng/lhic — observed public package version metadata.</w:t>
            </w:r>
          </w:p>
        </w:tc>
      </w:tr>
      <w:tr>
        <w:tc>
          <w:tcPr>
            <w:tcW w:type="dxa" w:w="2300"/>
            <w:tcMar>
              <w:top w:w="85" w:type="dxa"/>
              <w:start w:w="110" w:type="dxa"/>
              <w:bottom w:w="85" w:type="dxa"/>
              <w:end w:w="110" w:type="dxa"/>
            </w:tcMar>
            <w:vAlign w:val="center"/>
          </w:tcPr>
          <w:p>
            <w:pPr>
              <w:spacing w:after="0" w:line="240" w:lineRule="auto"/>
            </w:pPr>
            <w:r>
              <w:rPr>
                <w:color w:val="273142"/>
                <w:sz w:val="16"/>
              </w:rPr>
              <w:t>BrowserGym</w:t>
            </w:r>
          </w:p>
        </w:tc>
        <w:tc>
          <w:tcPr>
            <w:tcW w:type="dxa" w:w="7060"/>
            <w:tcMar>
              <w:top w:w="85" w:type="dxa"/>
              <w:start w:w="110" w:type="dxa"/>
              <w:bottom w:w="85" w:type="dxa"/>
              <w:end w:w="110" w:type="dxa"/>
            </w:tcMar>
            <w:vAlign w:val="center"/>
          </w:tcPr>
          <w:p>
            <w:pPr>
              <w:spacing w:after="0" w:line="240" w:lineRule="auto"/>
            </w:pPr>
            <w:r>
              <w:rPr>
                <w:color w:val="273142"/>
                <w:sz w:val="16"/>
              </w:rPr>
              <w:t>https://github.com/ServiceNow/BrowserGym — browser-agent research environment and benchmark integrations.</w:t>
            </w:r>
          </w:p>
        </w:tc>
      </w:tr>
      <w:tr>
        <w:tc>
          <w:tcPr>
            <w:tcW w:type="dxa" w:w="2300"/>
            <w:tcMar>
              <w:top w:w="85" w:type="dxa"/>
              <w:start w:w="110" w:type="dxa"/>
              <w:bottom w:w="85" w:type="dxa"/>
              <w:end w:w="110" w:type="dxa"/>
            </w:tcMar>
            <w:shd w:fill="F3F5F7"/>
            <w:vAlign w:val="center"/>
          </w:tcPr>
          <w:p>
            <w:pPr>
              <w:spacing w:after="0" w:line="240" w:lineRule="auto"/>
            </w:pPr>
            <w:r>
              <w:rPr>
                <w:color w:val="273142"/>
                <w:sz w:val="16"/>
              </w:rPr>
              <w:t>WorkArena</w:t>
            </w:r>
          </w:p>
        </w:tc>
        <w:tc>
          <w:tcPr>
            <w:tcW w:type="dxa" w:w="7060"/>
            <w:tcMar>
              <w:top w:w="85" w:type="dxa"/>
              <w:start w:w="110" w:type="dxa"/>
              <w:bottom w:w="85" w:type="dxa"/>
              <w:end w:w="110" w:type="dxa"/>
            </w:tcMar>
            <w:shd w:fill="F3F5F7"/>
            <w:vAlign w:val="center"/>
          </w:tcPr>
          <w:p>
            <w:pPr>
              <w:spacing w:after="0" w:line="240" w:lineRule="auto"/>
            </w:pPr>
            <w:r>
              <w:rPr>
                <w:color w:val="273142"/>
                <w:sz w:val="16"/>
              </w:rPr>
              <w:t>https://github.com/ServiceNow/WorkArena — enterprise-oriented benchmark environment.</w:t>
            </w:r>
          </w:p>
        </w:tc>
      </w:tr>
      <w:tr>
        <w:tc>
          <w:tcPr>
            <w:tcW w:type="dxa" w:w="2300"/>
            <w:tcMar>
              <w:top w:w="85" w:type="dxa"/>
              <w:start w:w="110" w:type="dxa"/>
              <w:bottom w:w="85" w:type="dxa"/>
              <w:end w:w="110" w:type="dxa"/>
            </w:tcMar>
            <w:vAlign w:val="center"/>
          </w:tcPr>
          <w:p>
            <w:pPr>
              <w:spacing w:after="0" w:line="240" w:lineRule="auto"/>
            </w:pPr>
            <w:r>
              <w:rPr>
                <w:color w:val="273142"/>
                <w:sz w:val="16"/>
              </w:rPr>
              <w:t>AgentLab</w:t>
            </w:r>
          </w:p>
        </w:tc>
        <w:tc>
          <w:tcPr>
            <w:tcW w:type="dxa" w:w="7060"/>
            <w:tcMar>
              <w:top w:w="85" w:type="dxa"/>
              <w:start w:w="110" w:type="dxa"/>
              <w:bottom w:w="85" w:type="dxa"/>
              <w:end w:w="110" w:type="dxa"/>
            </w:tcMar>
            <w:vAlign w:val="center"/>
          </w:tcPr>
          <w:p>
            <w:pPr>
              <w:spacing w:after="0" w:line="240" w:lineRule="auto"/>
            </w:pPr>
            <w:r>
              <w:rPr>
                <w:color w:val="273142"/>
                <w:sz w:val="16"/>
              </w:rPr>
              <w:t>https://github.com/ServiceNow/AgentLab — web-agent development and evaluation framework.</w:t>
            </w:r>
          </w:p>
        </w:tc>
      </w:tr>
    </w:tbl>
    <w:p>
      <w:pPr>
        <w:spacing w:after="0"/>
      </w:pPr>
    </w:p>
    <w:p>
      <w:pPr>
        <w:pStyle w:val="Heading2"/>
        <w:keepNext w:val="1"/>
      </w:pPr>
      <w:r>
        <w:t>Reproduction commands used</w:t>
      </w:r>
    </w:p>
    <w:tbl>
      <w:tblPr>
        <w:tblStyle w:val="TableGrid"/>
        <w:tblW w:type="dxa" w:w="9360"/>
        <w:jc w:val="center"/>
        <w:tblLayout w:type="fixed"/>
        <w:tblLook w:firstColumn="1" w:firstRow="1" w:lastColumn="0" w:lastRow="0" w:noHBand="0" w:noVBand="1" w:val="04A0"/>
        <w:tblInd w:w="0" w:type="dxa"/>
      </w:tblPr>
      <w:tblGrid>
        <w:gridCol w:w="5040"/>
        <w:gridCol w:w="5040"/>
      </w:tblGrid>
      <w:tr>
        <w:trPr>
          <w:tblHeader w:val="true"/>
        </w:trPr>
        <w:tc>
          <w:tcPr>
            <w:tcW w:type="dxa" w:w="3300"/>
            <w:shd w:fill="0A192F"/>
            <w:tcMar>
              <w:top w:w="100" w:type="dxa"/>
              <w:start w:w="110" w:type="dxa"/>
              <w:bottom w:w="100" w:type="dxa"/>
              <w:end w:w="110" w:type="dxa"/>
            </w:tcMar>
          </w:tcPr>
          <w:p>
            <w:pPr>
              <w:spacing w:after="0"/>
            </w:pPr>
            <w:r>
              <w:rPr>
                <w:b/>
                <w:color w:val="FFFFFF"/>
                <w:sz w:val="17"/>
              </w:rPr>
              <w:t>Command</w:t>
            </w:r>
          </w:p>
        </w:tc>
        <w:tc>
          <w:tcPr>
            <w:tcW w:type="dxa" w:w="6060"/>
            <w:shd w:fill="0A192F"/>
            <w:tcMar>
              <w:top w:w="100" w:type="dxa"/>
              <w:start w:w="110" w:type="dxa"/>
              <w:bottom w:w="100" w:type="dxa"/>
              <w:end w:w="110" w:type="dxa"/>
            </w:tcMar>
          </w:tcPr>
          <w:p>
            <w:pPr>
              <w:spacing w:after="0"/>
            </w:pPr>
            <w:r>
              <w:rPr>
                <w:b/>
                <w:color w:val="FFFFFF"/>
                <w:sz w:val="17"/>
              </w:rPr>
              <w:t>Observed result</w:t>
            </w:r>
          </w:p>
        </w:tc>
      </w:tr>
      <w:tr>
        <w:tc>
          <w:tcPr>
            <w:tcW w:type="dxa" w:w="3300"/>
            <w:tcMar>
              <w:top w:w="85" w:type="dxa"/>
              <w:start w:w="110" w:type="dxa"/>
              <w:bottom w:w="85" w:type="dxa"/>
              <w:end w:w="110" w:type="dxa"/>
            </w:tcMar>
            <w:vAlign w:val="center"/>
          </w:tcPr>
          <w:p>
            <w:pPr>
              <w:spacing w:after="0" w:line="240" w:lineRule="auto"/>
            </w:pPr>
            <w:r>
              <w:rPr>
                <w:color w:val="273142"/>
                <w:sz w:val="16"/>
              </w:rPr>
              <w:t>npm run typecheck</w:t>
            </w:r>
          </w:p>
        </w:tc>
        <w:tc>
          <w:tcPr>
            <w:tcW w:type="dxa" w:w="6060"/>
            <w:tcMar>
              <w:top w:w="85" w:type="dxa"/>
              <w:start w:w="110" w:type="dxa"/>
              <w:bottom w:w="85" w:type="dxa"/>
              <w:end w:w="110" w:type="dxa"/>
            </w:tcMar>
            <w:vAlign w:val="center"/>
          </w:tcPr>
          <w:p>
            <w:pPr>
              <w:spacing w:after="0" w:line="240" w:lineRule="auto"/>
            </w:pPr>
            <w:r>
              <w:rPr>
                <w:color w:val="273142"/>
                <w:sz w:val="16"/>
              </w:rPr>
              <w:t>Passed</w:t>
            </w:r>
          </w:p>
        </w:tc>
      </w:tr>
      <w:tr>
        <w:tc>
          <w:tcPr>
            <w:tcW w:type="dxa" w:w="3300"/>
            <w:tcMar>
              <w:top w:w="85" w:type="dxa"/>
              <w:start w:w="110" w:type="dxa"/>
              <w:bottom w:w="85" w:type="dxa"/>
              <w:end w:w="110" w:type="dxa"/>
            </w:tcMar>
            <w:shd w:fill="F3F5F7"/>
            <w:vAlign w:val="center"/>
          </w:tcPr>
          <w:p>
            <w:pPr>
              <w:spacing w:after="0" w:line="240" w:lineRule="auto"/>
            </w:pPr>
            <w:r>
              <w:rPr>
                <w:color w:val="273142"/>
                <w:sz w:val="16"/>
              </w:rPr>
              <w:t>npm test</w:t>
            </w:r>
          </w:p>
        </w:tc>
        <w:tc>
          <w:tcPr>
            <w:tcW w:type="dxa" w:w="6060"/>
            <w:tcMar>
              <w:top w:w="85" w:type="dxa"/>
              <w:start w:w="110" w:type="dxa"/>
              <w:bottom w:w="85" w:type="dxa"/>
              <w:end w:w="110" w:type="dxa"/>
            </w:tcMar>
            <w:shd w:fill="F3F5F7"/>
            <w:vAlign w:val="center"/>
          </w:tcPr>
          <w:p>
            <w:pPr>
              <w:spacing w:after="0" w:line="240" w:lineRule="auto"/>
            </w:pPr>
            <w:r>
              <w:rPr>
                <w:color w:val="273142"/>
                <w:sz w:val="16"/>
              </w:rPr>
              <w:t>Passed — 93 files, 341 tests</w:t>
            </w:r>
          </w:p>
        </w:tc>
      </w:tr>
      <w:tr>
        <w:tc>
          <w:tcPr>
            <w:tcW w:type="dxa" w:w="3300"/>
            <w:tcMar>
              <w:top w:w="85" w:type="dxa"/>
              <w:start w:w="110" w:type="dxa"/>
              <w:bottom w:w="85" w:type="dxa"/>
              <w:end w:w="110" w:type="dxa"/>
            </w:tcMar>
            <w:vAlign w:val="center"/>
          </w:tcPr>
          <w:p>
            <w:pPr>
              <w:spacing w:after="0" w:line="240" w:lineRule="auto"/>
            </w:pPr>
            <w:r>
              <w:rPr>
                <w:color w:val="273142"/>
                <w:sz w:val="16"/>
              </w:rPr>
              <w:t>npm run lint</w:t>
            </w:r>
          </w:p>
        </w:tc>
        <w:tc>
          <w:tcPr>
            <w:tcW w:type="dxa" w:w="6060"/>
            <w:tcMar>
              <w:top w:w="85" w:type="dxa"/>
              <w:start w:w="110" w:type="dxa"/>
              <w:bottom w:w="85" w:type="dxa"/>
              <w:end w:w="110" w:type="dxa"/>
            </w:tcMar>
            <w:vAlign w:val="center"/>
          </w:tcPr>
          <w:p>
            <w:pPr>
              <w:spacing w:after="0" w:line="240" w:lineRule="auto"/>
            </w:pPr>
            <w:r>
              <w:rPr>
                <w:color w:val="273142"/>
                <w:sz w:val="16"/>
              </w:rPr>
              <w:t>Passed</w:t>
            </w:r>
          </w:p>
        </w:tc>
      </w:tr>
      <w:tr>
        <w:tc>
          <w:tcPr>
            <w:tcW w:type="dxa" w:w="3300"/>
            <w:tcMar>
              <w:top w:w="85" w:type="dxa"/>
              <w:start w:w="110" w:type="dxa"/>
              <w:bottom w:w="85" w:type="dxa"/>
              <w:end w:w="110" w:type="dxa"/>
            </w:tcMar>
            <w:shd w:fill="F3F5F7"/>
            <w:vAlign w:val="center"/>
          </w:tcPr>
          <w:p>
            <w:pPr>
              <w:spacing w:after="0" w:line="240" w:lineRule="auto"/>
            </w:pPr>
            <w:r>
              <w:rPr>
                <w:color w:val="273142"/>
                <w:sz w:val="16"/>
              </w:rPr>
              <w:t>npm run build</w:t>
            </w:r>
          </w:p>
        </w:tc>
        <w:tc>
          <w:tcPr>
            <w:tcW w:type="dxa" w:w="6060"/>
            <w:tcMar>
              <w:top w:w="85" w:type="dxa"/>
              <w:start w:w="110" w:type="dxa"/>
              <w:bottom w:w="85" w:type="dxa"/>
              <w:end w:w="110" w:type="dxa"/>
            </w:tcMar>
            <w:shd w:fill="F3F5F7"/>
            <w:vAlign w:val="center"/>
          </w:tcPr>
          <w:p>
            <w:pPr>
              <w:spacing w:after="0" w:line="240" w:lineRule="auto"/>
            </w:pPr>
            <w:r>
              <w:rPr>
                <w:color w:val="273142"/>
                <w:sz w:val="16"/>
              </w:rPr>
              <w:t>Passed</w:t>
            </w:r>
          </w:p>
        </w:tc>
      </w:tr>
      <w:tr>
        <w:tc>
          <w:tcPr>
            <w:tcW w:type="dxa" w:w="3300"/>
            <w:tcMar>
              <w:top w:w="85" w:type="dxa"/>
              <w:start w:w="110" w:type="dxa"/>
              <w:bottom w:w="85" w:type="dxa"/>
              <w:end w:w="110" w:type="dxa"/>
            </w:tcMar>
            <w:vAlign w:val="center"/>
          </w:tcPr>
          <w:p>
            <w:pPr>
              <w:spacing w:after="0" w:line="240" w:lineRule="auto"/>
            </w:pPr>
            <w:r>
              <w:rPr>
                <w:color w:val="273142"/>
                <w:sz w:val="16"/>
              </w:rPr>
              <w:t>npm run preflight</w:t>
            </w:r>
          </w:p>
        </w:tc>
        <w:tc>
          <w:tcPr>
            <w:tcW w:type="dxa" w:w="6060"/>
            <w:tcMar>
              <w:top w:w="85" w:type="dxa"/>
              <w:start w:w="110" w:type="dxa"/>
              <w:bottom w:w="85" w:type="dxa"/>
              <w:end w:w="110" w:type="dxa"/>
            </w:tcMar>
            <w:vAlign w:val="center"/>
          </w:tcPr>
          <w:p>
            <w:pPr>
              <w:spacing w:after="0" w:line="240" w:lineRule="auto"/>
            </w:pPr>
            <w:r>
              <w:rPr>
                <w:color w:val="273142"/>
                <w:sz w:val="16"/>
              </w:rPr>
              <w:t>Passed</w:t>
            </w:r>
          </w:p>
        </w:tc>
      </w:tr>
      <w:tr>
        <w:tc>
          <w:tcPr>
            <w:tcW w:type="dxa" w:w="3300"/>
            <w:tcMar>
              <w:top w:w="85" w:type="dxa"/>
              <w:start w:w="110" w:type="dxa"/>
              <w:bottom w:w="85" w:type="dxa"/>
              <w:end w:w="110" w:type="dxa"/>
            </w:tcMar>
            <w:shd w:fill="F3F5F7"/>
            <w:vAlign w:val="center"/>
          </w:tcPr>
          <w:p>
            <w:pPr>
              <w:spacing w:after="0" w:line="240" w:lineRule="auto"/>
            </w:pPr>
            <w:r>
              <w:rPr>
                <w:color w:val="273142"/>
                <w:sz w:val="16"/>
              </w:rPr>
              <w:t>npm run bench:internal</w:t>
            </w:r>
          </w:p>
        </w:tc>
        <w:tc>
          <w:tcPr>
            <w:tcW w:type="dxa" w:w="6060"/>
            <w:tcMar>
              <w:top w:w="85" w:type="dxa"/>
              <w:start w:w="110" w:type="dxa"/>
              <w:bottom w:w="85" w:type="dxa"/>
              <w:end w:w="110" w:type="dxa"/>
            </w:tcMar>
            <w:shd w:fill="F3F5F7"/>
            <w:vAlign w:val="center"/>
          </w:tcPr>
          <w:p>
            <w:pPr>
              <w:spacing w:after="0" w:line="240" w:lineRule="auto"/>
            </w:pPr>
            <w:r>
              <w:rPr>
                <w:color w:val="273142"/>
                <w:sz w:val="16"/>
              </w:rPr>
              <w:t>Passed — 300 executions; 100% success; p95 774 ms; 0 model/MCP calls per task</w:t>
            </w:r>
          </w:p>
        </w:tc>
      </w:tr>
      <w:tr>
        <w:tc>
          <w:tcPr>
            <w:tcW w:type="dxa" w:w="3300"/>
            <w:tcMar>
              <w:top w:w="85" w:type="dxa"/>
              <w:start w:w="110" w:type="dxa"/>
              <w:bottom w:w="85" w:type="dxa"/>
              <w:end w:w="110" w:type="dxa"/>
            </w:tcMar>
            <w:vAlign w:val="center"/>
          </w:tcPr>
          <w:p>
            <w:pPr>
              <w:spacing w:after="0" w:line="240" w:lineRule="auto"/>
            </w:pPr>
            <w:r>
              <w:rPr>
                <w:color w:val="273142"/>
                <w:sz w:val="16"/>
              </w:rPr>
              <w:t>npm run bench:simulate</w:t>
            </w:r>
          </w:p>
        </w:tc>
        <w:tc>
          <w:tcPr>
            <w:tcW w:type="dxa" w:w="6060"/>
            <w:tcMar>
              <w:top w:w="85" w:type="dxa"/>
              <w:start w:w="110" w:type="dxa"/>
              <w:bottom w:w="85" w:type="dxa"/>
              <w:end w:w="110" w:type="dxa"/>
            </w:tcMar>
            <w:vAlign w:val="center"/>
          </w:tcPr>
          <w:p>
            <w:pPr>
              <w:spacing w:after="0" w:line="240" w:lineRule="auto"/>
            </w:pPr>
            <w:r>
              <w:rPr>
                <w:color w:val="273142"/>
                <w:sz w:val="16"/>
              </w:rPr>
              <w:t>Passed — controlled semantic-targeting ablation; external submission not eligible</w:t>
            </w:r>
          </w:p>
        </w:tc>
      </w:tr>
    </w:tbl>
    <w:p>
      <w:pPr>
        <w:spacing w:after="0"/>
      </w:pPr>
    </w:p>
    <w:p>
      <w:pPr>
        <w:spacing w:before="40" w:after="80"/>
      </w:pPr>
      <w:r>
        <w:rPr>
          <w:i/>
          <w:color w:val="657184"/>
          <w:sz w:val="14"/>
        </w:rPr>
        <w:t>Prepared 20 July 2026. This is an engineering assessment of a live working tree, not a security certification, legal opinion, or external benchmark publication.</w:t>
      </w:r>
    </w:p>
    <w:sectPr w:rsidR="00FC693F" w:rsidRPr="0006063C" w:rsidSect="00034616">
      <w:headerReference w:type="default" r:id="rId9"/>
      <w:footerReference w:type="default" r:id="rId10"/>
      <w:pgSz w:w="12240" w:h="15840"/>
      <w:pgMar w:top="979" w:right="1080" w:bottom="893" w:left="1080" w:header="374" w:footer="37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657184"/>
        <w:sz w:val="13"/>
      </w:rPr>
      <w:t xml:space="preserve">LOCAL HUMAN INTENT CONTROLLER   •   </w:t>
    </w:r>
    <w:r>
      <w:rPr>
        <w:rFonts w:ascii="Arial" w:hAnsi="Arial"/>
        <w:color w:val="657184"/>
        <w:sz w:val="13"/>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10080"/>
      <w:tblLayout w:type="fixed"/>
      <w:tblLook w:firstColumn="1" w:firstRow="1" w:lastColumn="0" w:lastRow="0" w:noHBand="0" w:noVBand="1" w:val="04A0"/>
      <w:tblInd w:w="0" w:type="dxa"/>
    </w:tblPr>
    <w:tblGrid>
      <w:gridCol w:w="5040"/>
      <w:gridCol w:w="5040"/>
    </w:tblGrid>
    <w:tr>
      <w:tc>
        <w:tcPr>
          <w:tcW w:type="dxa" w:w="5040"/>
          <w:tcBorders>
            <w:top w:val="nil"/>
            <w:start w:val="nil"/>
            <w:bottom w:val="nil"/>
            <w:end w:val="nil"/>
            <w:insideH w:val="nil"/>
            <w:insideV w:val="nil"/>
          </w:tcBorders>
        </w:tcPr>
        <w:p>
          <w:pPr>
            <w:spacing w:after="0"/>
          </w:pPr>
          <w:r>
            <w:rPr>
              <w:rFonts w:ascii="Arial" w:hAnsi="Arial"/>
              <w:b/>
              <w:color w:val="2E74B5"/>
              <w:sz w:val="14"/>
            </w:rPr>
            <w:t>LHIC  /  PROJECT RESEARCH</w:t>
          </w:r>
        </w:p>
      </w:tc>
      <w:tc>
        <w:tcPr>
          <w:tcW w:type="dxa" w:w="5040"/>
          <w:tcBorders>
            <w:top w:val="nil"/>
            <w:start w:val="nil"/>
            <w:bottom w:val="nil"/>
            <w:end w:val="nil"/>
            <w:insideH w:val="nil"/>
            <w:insideV w:val="nil"/>
          </w:tcBorders>
        </w:tcPr>
        <w:p>
          <w:pPr>
            <w:spacing w:after="0"/>
            <w:jc w:val="right"/>
          </w:pPr>
          <w:r>
            <w:rPr>
              <w:rFonts w:ascii="Arial" w:hAnsi="Arial"/>
              <w:color w:val="657184"/>
              <w:sz w:val="14"/>
            </w:rPr>
            <w:t>20 JULY 2026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7314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A192F"/>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1720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FFFFFF"/>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Arial" w:hAnsi="Arial"/>
      <w:i/>
      <w:iCs/>
      <w:color w:val="657184"/>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rFonts w:ascii="Arial" w:hAnsi="Arial"/>
      <w:color w:val="273142"/>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47" w:lineRule="auto"/>
      <w:contextualSpacing/>
    </w:pPr>
    <w:rPr>
      <w:rFonts w:ascii="Arial" w:hAnsi="Arial"/>
      <w:color w:val="273142"/>
      <w:sz w:val="18"/>
    </w:rPr>
  </w:style>
  <w:style w:type="paragraph" w:styleId="ListBullet2">
    <w:name w:val="List Bullet 2"/>
    <w:basedOn w:val="Normal"/>
    <w:uiPriority w:val="99"/>
    <w:unhideWhenUsed/>
    <w:rsid w:val="00326F90"/>
    <w:pPr>
      <w:numPr>
        <w:numId w:val="2"/>
      </w:numPr>
      <w:spacing w:after="60" w:line="247" w:lineRule="auto"/>
      <w:contextualSpacing/>
    </w:pPr>
    <w:rPr>
      <w:rFonts w:ascii="Arial" w:hAnsi="Arial"/>
      <w:color w:val="273142"/>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47" w:lineRule="auto"/>
      <w:contextualSpacing/>
    </w:pPr>
    <w:rPr>
      <w:rFonts w:ascii="Arial" w:hAnsi="Arial"/>
      <w:color w:val="273142"/>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Human Intent Controller — Deep Research Report</dc:title>
  <dc:subject>Project inventory, architecture, highlights, validation, risks, and recommendations</dc:subject>
  <dc:creator>OpenAI Codex</dc:creator>
  <cp:keywords>LHIC, local-first automation, browser automation, verifier, security, benchmarks</cp:keywords>
  <dc:description>generated by python-docx</dc:description>
  <cp:lastModifiedBy/>
  <cp:revision>1</cp:revision>
  <dcterms:created xsi:type="dcterms:W3CDTF">2013-12-23T23:15:00Z</dcterms:created>
  <dcterms:modified xsi:type="dcterms:W3CDTF">2013-12-23T23:15:00Z</dcterms:modified>
  <cp:category/>
</cp:coreProperties>
</file>