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4D32D">
      <w:pPr>
        <w:jc w:val="center"/>
        <w:rPr>
          <w:rFonts w:hint="eastAsia"/>
          <w:color w:val="2E54A1" w:themeColor="accent1" w:themeShade="BF"/>
        </w:rPr>
      </w:pPr>
      <w:r>
        <w:rPr>
          <w:rFonts w:hint="eastAsia"/>
          <w:b/>
          <w:bCs/>
          <w:color w:val="2E54A1" w:themeColor="accent1" w:themeShade="BF"/>
          <w:sz w:val="36"/>
          <w:szCs w:val="36"/>
        </w:rPr>
        <w:t>前沿趋势总结</w:t>
      </w:r>
    </w:p>
    <w:p w14:paraId="109D4BD6">
      <w:pPr>
        <w:rPr>
          <w:rFonts w:hint="eastAsia"/>
          <w:color w:val="2E54A1" w:themeColor="accent1" w:themeShade="BF"/>
          <w:sz w:val="28"/>
          <w:szCs w:val="28"/>
          <w:lang w:val="en-US" w:eastAsia="zh-CN"/>
        </w:rPr>
      </w:pPr>
      <w:r>
        <w:rPr>
          <w:rFonts w:hint="eastAsia"/>
          <w:color w:val="2E54A1" w:themeColor="accent1" w:themeShade="BF"/>
          <w:sz w:val="28"/>
          <w:szCs w:val="28"/>
          <w:lang w:val="en-US" w:eastAsia="zh-CN"/>
        </w:rPr>
        <w:t>引言</w:t>
      </w:r>
    </w:p>
    <w:p w14:paraId="27F38FB8">
      <w:pPr>
        <w:ind w:firstLine="420" w:firstLineChars="200"/>
        <w:rPr>
          <w:rFonts w:hint="eastAsia"/>
        </w:rPr>
      </w:pPr>
      <w:r>
        <w:rPr>
          <w:rFonts w:hint="eastAsia"/>
        </w:rPr>
        <w:t>在前期分析中，我们已经基于 B/C/D 的 PostgreSQL 基数估计实验，明确了传统统计的能力边界，并把 S16/S19、S20、T09、T11 等实验问题映射到 MSCN、DeepDB、NeuroCard、PRICE 等学习型方法。然而，回答“哪类 AI 方法对应哪类实验问题”只是第一步。要判断这些方法能否真正进入数据库优化器，还需要进一步审视它们在工程落地与未来演进中的方向。为此，本部分从多个角度梳理学习型基数估计的前沿趋势，包括：从单库准确率走向跨库可迁移、从模型准确率走向系统级收益、从全替代走向协同共生、冷启动与在线学习、可解释性与轻量化推理、与硬件新特性协同，以及端到端学习优化、工作负载级优化、知识与数据混合驱动、云原生与分布式、大语言模型辅助等延伸方向。每条趋势按“趋势名称 → 文献信号 → 工程问题 → 对本组实验/汇报的意义”展开，力求在实验事实与前沿方法之间建立清晰、可验证的对应关系。</w:t>
      </w:r>
    </w:p>
    <w:p w14:paraId="00543908">
      <w:pPr>
        <w:rPr>
          <w:rFonts w:hint="eastAsia"/>
        </w:rPr>
      </w:pPr>
    </w:p>
    <w:p w14:paraId="52BB9C1D">
      <w:pPr>
        <w:rPr>
          <w:rFonts w:hint="eastAsia"/>
          <w:color w:val="2E54A1" w:themeColor="accent1" w:themeShade="BF"/>
          <w:sz w:val="28"/>
          <w:szCs w:val="28"/>
        </w:rPr>
      </w:pPr>
      <w:r>
        <w:rPr>
          <w:rFonts w:hint="eastAsia"/>
          <w:color w:val="2E54A1" w:themeColor="accent1" w:themeShade="BF"/>
          <w:sz w:val="28"/>
          <w:szCs w:val="28"/>
        </w:rPr>
        <w:t>前沿趋势总结：从“估得更准”到“更容易部署”</w:t>
      </w:r>
    </w:p>
    <w:p w14:paraId="3E0EB510">
      <w:pPr>
        <w:ind w:firstLine="420" w:firstLineChars="200"/>
        <w:rPr>
          <w:rFonts w:hint="eastAsia"/>
        </w:rPr>
      </w:pPr>
      <w:r>
        <w:rPr>
          <w:rFonts w:hint="eastAsia"/>
        </w:rPr>
        <w:t>本总结承接前期对实验问题与 AI 方法对应关系的分析，不重复 MSCN、DeepDB、NeuroCard、PRICE 等模型的内部结构，重点讨论学习型基数估计在工程落地与前沿演进中仍面临的问题与趋势。所有实验数字来自 B/C/D 交付物，AI 方法部分为文献信号与工程问题分析，本组未训练或评测任何 AI 模型。</w:t>
      </w:r>
    </w:p>
    <w:p w14:paraId="6812DA98">
      <w:pPr>
        <w:rPr>
          <w:rFonts w:hint="eastAsia"/>
        </w:rPr>
      </w:pPr>
    </w:p>
    <w:p w14:paraId="493EAA83">
      <w:pPr>
        <w:rPr>
          <w:rFonts w:hint="eastAsia"/>
          <w:b/>
          <w:bCs/>
          <w:color w:val="2E54A1" w:themeColor="accent1" w:themeShade="BF"/>
        </w:rPr>
      </w:pPr>
      <w:r>
        <w:rPr>
          <w:rFonts w:hint="eastAsia"/>
          <w:b/>
          <w:bCs/>
          <w:color w:val="2E54A1" w:themeColor="accent1" w:themeShade="BF"/>
          <w:sz w:val="24"/>
          <w:szCs w:val="24"/>
        </w:rPr>
        <w:t>趋势 1：从“单库准确率”走向“跨库可迁移</w:t>
      </w:r>
      <w:r>
        <w:rPr>
          <w:rFonts w:hint="eastAsia"/>
          <w:b/>
          <w:bCs/>
          <w:color w:val="2E54A1" w:themeColor="accent1" w:themeShade="BF"/>
        </w:rPr>
        <w:t xml:space="preserve">” </w:t>
      </w:r>
    </w:p>
    <w:p w14:paraId="2BA4A02F">
      <w:pPr>
        <w:rPr>
          <w:rFonts w:hint="eastAsia"/>
          <w:color w:val="2E54A1" w:themeColor="accent1" w:themeShade="BF"/>
        </w:rPr>
      </w:pPr>
      <w:r>
        <w:rPr>
          <w:rFonts w:hint="eastAsia"/>
          <w:color w:val="2E54A1" w:themeColor="accent1" w:themeShade="BF"/>
        </w:rPr>
        <w:t>文献信号</w:t>
      </w:r>
    </w:p>
    <w:p w14:paraId="3A5F2DE0">
      <w:pPr>
        <w:rPr>
          <w:rFonts w:hint="eastAsia"/>
        </w:rPr>
      </w:pPr>
      <w:r>
        <w:rPr>
          <w:rFonts w:hint="eastAsia"/>
        </w:rPr>
        <w:t xml:space="preserve">PRICE（PVLDB 2024）在多个数据库上预训练，学习可迁移的分布与查询特征；ZeroCard（2025 预印本）进一步追求目标库“无原始数据、无查询日志、无重训练”。前期分析已将 PRICE 定位为“MSCN/DeepDB/NeuroCard → 可迁移 CE”演进中的重要节点。 </w:t>
      </w:r>
    </w:p>
    <w:p w14:paraId="68A45BD6">
      <w:pPr>
        <w:rPr>
          <w:rFonts w:hint="eastAsia"/>
          <w:color w:val="2E54A1" w:themeColor="accent1" w:themeShade="BF"/>
        </w:rPr>
      </w:pPr>
      <w:r>
        <w:rPr>
          <w:rFonts w:hint="eastAsia"/>
          <w:color w:val="2E54A1" w:themeColor="accent1" w:themeShade="BF"/>
        </w:rPr>
        <w:t>工程问题</w:t>
      </w:r>
    </w:p>
    <w:p w14:paraId="1BB44AF7">
      <w:pPr>
        <w:rPr>
          <w:rFonts w:hint="eastAsia"/>
        </w:rPr>
      </w:pPr>
      <w:r>
        <w:rPr>
          <w:rFonts w:hint="eastAsia"/>
        </w:rPr>
        <w:t xml:space="preserve">早期 learned CE 往往需要针对目标数据库重新准备训练查询、采集真实基数、训练模型。对于真实系统，这种准备成本直接影响方法能否落地。schema 差异与数据分布差异仍会影响迁移效果，但研究方向已从“单库 Q-error”扩展到“跨库准备成本与迁移能力”。 </w:t>
      </w:r>
    </w:p>
    <w:p w14:paraId="5B76B9CD">
      <w:pPr>
        <w:rPr>
          <w:rFonts w:hint="eastAsia"/>
          <w:color w:val="2E54A1" w:themeColor="accent1" w:themeShade="BF"/>
        </w:rPr>
      </w:pPr>
      <w:r>
        <w:rPr>
          <w:rFonts w:hint="eastAsia"/>
          <w:color w:val="2E54A1" w:themeColor="accent1" w:themeShade="BF"/>
        </w:rPr>
        <w:t>意义</w:t>
      </w:r>
    </w:p>
    <w:p w14:paraId="16340197">
      <w:pPr>
        <w:rPr>
          <w:rFonts w:hint="eastAsia"/>
        </w:rPr>
      </w:pPr>
      <w:r>
        <w:rPr>
          <w:rFonts w:hint="eastAsia"/>
        </w:rPr>
        <w:t xml:space="preserve">S20 跨表相关 Q-error 仍为 100，说明跨表联合分布是原生统计的结构性盲区。跨库迁移正是为了降低这类场景在新数据库上的部署门槛。本报告应把 PRICE/ZeroCard 作为趋势重点，而非重复模型结构。这一趋势也把讨论从“哪个模型更准”自然过渡到“哪个模型更容易落地”。   </w:t>
      </w:r>
    </w:p>
    <w:p w14:paraId="55A50B7F">
      <w:pPr>
        <w:rPr>
          <w:rFonts w:hint="eastAsia"/>
        </w:rPr>
      </w:pPr>
    </w:p>
    <w:p w14:paraId="4FCE6A40">
      <w:pPr>
        <w:rPr>
          <w:rFonts w:hint="eastAsia"/>
          <w:b/>
          <w:bCs/>
          <w:color w:val="2E54A1" w:themeColor="accent1" w:themeShade="BF"/>
        </w:rPr>
      </w:pPr>
      <w:r>
        <w:rPr>
          <w:rFonts w:hint="eastAsia"/>
          <w:b/>
          <w:bCs/>
          <w:color w:val="2E54A1" w:themeColor="accent1" w:themeShade="BF"/>
          <w:sz w:val="24"/>
          <w:szCs w:val="24"/>
        </w:rPr>
        <w:t>趋势 2：从“模型准确率”走向“系统级收益”</w:t>
      </w:r>
      <w:r>
        <w:rPr>
          <w:rFonts w:hint="eastAsia"/>
          <w:b/>
          <w:bCs/>
          <w:color w:val="2E54A1" w:themeColor="accent1" w:themeShade="BF"/>
        </w:rPr>
        <w:t xml:space="preserve"> </w:t>
      </w:r>
    </w:p>
    <w:p w14:paraId="634488FA">
      <w:pPr>
        <w:rPr>
          <w:rFonts w:hint="eastAsia"/>
          <w:color w:val="2E54A1" w:themeColor="accent1" w:themeShade="BF"/>
        </w:rPr>
      </w:pPr>
      <w:r>
        <w:rPr>
          <w:rFonts w:hint="eastAsia"/>
          <w:color w:val="2E54A1" w:themeColor="accent1" w:themeShade="BF"/>
        </w:rPr>
        <w:t>文献信号</w:t>
      </w:r>
    </w:p>
    <w:p w14:paraId="32CCC661">
      <w:pPr>
        <w:rPr>
          <w:rFonts w:hint="eastAsia"/>
        </w:rPr>
      </w:pPr>
      <w:r>
        <w:rPr>
          <w:rFonts w:hint="eastAsia"/>
        </w:rPr>
        <w:t xml:space="preserve">Bao 直接利用真实执行延迟作为反馈；前期分析已共同判断：Q-error 变小 ≠ 计划一定切换 ≠ 查询一定变快。 </w:t>
      </w:r>
    </w:p>
    <w:p w14:paraId="15DF42BF">
      <w:pPr>
        <w:rPr>
          <w:rFonts w:hint="eastAsia"/>
          <w:color w:val="2E54A1" w:themeColor="accent1" w:themeShade="BF"/>
        </w:rPr>
      </w:pPr>
      <w:r>
        <w:rPr>
          <w:rFonts w:hint="eastAsia"/>
          <w:color w:val="2E54A1" w:themeColor="accent1" w:themeShade="BF"/>
        </w:rPr>
        <w:t>工程问题</w:t>
      </w:r>
    </w:p>
    <w:p w14:paraId="29ECD8B4">
      <w:pPr>
        <w:rPr>
          <w:rFonts w:hint="eastAsia"/>
        </w:rPr>
      </w:pPr>
      <w:r>
        <w:rPr>
          <w:rFonts w:hint="eastAsia"/>
        </w:rPr>
        <w:t xml:space="preserve">评价 learned CE 时，除了 Q-error，还需关注计划质量、端到端延迟、推理开销、更新成本。本组实验中，S16、S19、S20 的 Q-error 分别从 100→1、189.375→1、100→100，但三阶段物理计划均未切换；T09 的 10.371 倍误差出现在根节点，代价被 Hash Join 结构稀释，计划仍为 Hash Join。这说明基数误差是否真正影响性能，取决于误差位置、误差大小和下游决策自由度。 </w:t>
      </w:r>
    </w:p>
    <w:p w14:paraId="485F9C29">
      <w:pPr>
        <w:rPr>
          <w:rFonts w:hint="eastAsia"/>
          <w:color w:val="2E54A1" w:themeColor="accent1" w:themeShade="BF"/>
        </w:rPr>
      </w:pPr>
      <w:r>
        <w:rPr>
          <w:rFonts w:hint="eastAsia"/>
          <w:color w:val="2E54A1" w:themeColor="accent1" w:themeShade="BF"/>
        </w:rPr>
        <w:t>意义</w:t>
      </w:r>
    </w:p>
    <w:p w14:paraId="75E3039D">
      <w:pPr>
        <w:rPr>
          <w:rFonts w:hint="eastAsia"/>
        </w:rPr>
      </w:pPr>
      <w:r>
        <w:rPr>
          <w:rFonts w:hint="eastAsia"/>
        </w:rPr>
        <w:t xml:space="preserve">“误差危害 ≈ 误差大小 × 误差位置 × 下游决策自由度”可作为解释评价边界的核心公式。评价链条应为：基数估计 → Cost → 计划选择 → 执行时间，并附加泛化与部署成本。本组实验给出了干净的反例：Q-error 改善不自动等于性能改善，从而避免“用论文 Q-error 代替系统收益”的表述偏差。   </w:t>
      </w:r>
    </w:p>
    <w:p w14:paraId="1861B8C7">
      <w:pPr>
        <w:rPr>
          <w:rFonts w:hint="eastAsia"/>
          <w:color w:val="2E54A1" w:themeColor="accent1" w:themeShade="BF"/>
        </w:rPr>
      </w:pPr>
    </w:p>
    <w:p w14:paraId="71A93AF1">
      <w:pPr>
        <w:rPr>
          <w:rFonts w:hint="eastAsia"/>
          <w:b/>
          <w:bCs/>
          <w:color w:val="2E54A1" w:themeColor="accent1" w:themeShade="BF"/>
        </w:rPr>
      </w:pPr>
      <w:r>
        <w:rPr>
          <w:rFonts w:hint="eastAsia"/>
          <w:b/>
          <w:bCs/>
          <w:color w:val="2E54A1" w:themeColor="accent1" w:themeShade="BF"/>
          <w:sz w:val="24"/>
          <w:szCs w:val="24"/>
        </w:rPr>
        <w:t>趋势</w:t>
      </w:r>
      <w:r>
        <w:rPr>
          <w:rFonts w:hint="eastAsia"/>
          <w:b/>
          <w:bCs/>
          <w:color w:val="2E54A1" w:themeColor="accent1" w:themeShade="BF"/>
          <w:sz w:val="24"/>
          <w:szCs w:val="24"/>
          <w:lang w:val="en-US" w:eastAsia="zh-CN"/>
        </w:rPr>
        <w:t xml:space="preserve"> </w:t>
      </w:r>
      <w:r>
        <w:rPr>
          <w:rFonts w:hint="eastAsia"/>
          <w:b/>
          <w:bCs/>
          <w:color w:val="2E54A1" w:themeColor="accent1" w:themeShade="BF"/>
          <w:sz w:val="24"/>
          <w:szCs w:val="24"/>
        </w:rPr>
        <w:t>3：从“全替代”走向“协同共生”</w:t>
      </w:r>
      <w:r>
        <w:rPr>
          <w:rFonts w:hint="eastAsia"/>
          <w:b/>
          <w:bCs/>
          <w:color w:val="2E54A1" w:themeColor="accent1" w:themeShade="BF"/>
        </w:rPr>
        <w:t xml:space="preserve"> </w:t>
      </w:r>
    </w:p>
    <w:p w14:paraId="1391E6FE">
      <w:pPr>
        <w:rPr>
          <w:rFonts w:hint="eastAsia"/>
          <w:color w:val="2E54A1" w:themeColor="accent1" w:themeShade="BF"/>
        </w:rPr>
      </w:pPr>
      <w:r>
        <w:rPr>
          <w:rFonts w:hint="eastAsia"/>
          <w:color w:val="2E54A1" w:themeColor="accent1" w:themeShade="BF"/>
        </w:rPr>
        <w:t>文献信号</w:t>
      </w:r>
    </w:p>
    <w:p w14:paraId="758EF99B">
      <w:pPr>
        <w:rPr>
          <w:rFonts w:hint="eastAsia"/>
        </w:rPr>
      </w:pPr>
      <w:r>
        <w:rPr>
          <w:rFonts w:hint="eastAsia"/>
        </w:rPr>
        <w:t xml:space="preserve">DQ 代表端到端全替代路线，推理开销高、级联误差风险大；Bao 采用 Hint 干预，保留传统 CBO 安全兜底，在 JOB 上平均提升 2–3× 并大幅削减长尾延迟。 </w:t>
      </w:r>
    </w:p>
    <w:p w14:paraId="76343F53">
      <w:pPr>
        <w:rPr>
          <w:rFonts w:hint="eastAsia"/>
          <w:color w:val="2E54A1" w:themeColor="accent1" w:themeShade="BF"/>
        </w:rPr>
      </w:pPr>
      <w:r>
        <w:rPr>
          <w:rFonts w:hint="eastAsia"/>
          <w:color w:val="2E54A1" w:themeColor="accent1" w:themeShade="BF"/>
        </w:rPr>
        <w:t>工程问题</w:t>
      </w:r>
    </w:p>
    <w:p w14:paraId="2FEFAFD1">
      <w:pPr>
        <w:rPr>
          <w:rFonts w:hint="eastAsia"/>
        </w:rPr>
      </w:pPr>
      <w:r>
        <w:rPr>
          <w:rFonts w:hint="eastAsia"/>
        </w:rPr>
        <w:t xml:space="preserve">全替代路线需要自底向上逐步生成计划，单条 SQL 推理可能达数百毫秒，难以满足 OLTP 低延迟要求；一旦底层某步决策偏差，误差会沿计划树级联放大。协同共生路线将 AI 作为顶层干预，传统优化器仍负责底层搜索与安全兜底，推理开销极低（Bao 通常 &lt;1 ms）。 </w:t>
      </w:r>
    </w:p>
    <w:p w14:paraId="4247E22D">
      <w:pPr>
        <w:rPr>
          <w:rFonts w:hint="eastAsia"/>
          <w:color w:val="2E54A1" w:themeColor="accent1" w:themeShade="BF"/>
        </w:rPr>
      </w:pPr>
      <w:r>
        <w:rPr>
          <w:rFonts w:hint="eastAsia"/>
          <w:color w:val="2E54A1" w:themeColor="accent1" w:themeShade="BF"/>
        </w:rPr>
        <w:t>意义</w:t>
      </w:r>
    </w:p>
    <w:p w14:paraId="0D18A9AF">
      <w:pPr>
        <w:rPr>
          <w:rFonts w:hint="eastAsia"/>
        </w:rPr>
      </w:pPr>
      <w:r>
        <w:rPr>
          <w:rFonts w:hint="eastAsia"/>
        </w:rPr>
        <w:t xml:space="preserve">本组全部 20 条查询、144 份计划中，未观察到 Join 算法或 Join Order 切换。T11 虽然选择 Nested Loop，但候选代价差距大，计划稳健。这说明在 SF=1 轻量场景下，传统 CBO 仍具稳健性；AI 方法应聚焦传统统计失效的边界，而非全面替代。本组实验划出了传统 CBO 的能力边界，learned CE 应聚焦跨表相关（S20）、Join 后联合关系（T09）、统计输入偏差（T11）等边界场景。   </w:t>
      </w:r>
    </w:p>
    <w:p w14:paraId="12618276">
      <w:pPr>
        <w:rPr>
          <w:rFonts w:hint="eastAsia"/>
          <w:color w:val="2E54A1" w:themeColor="accent1" w:themeShade="BF"/>
        </w:rPr>
      </w:pPr>
    </w:p>
    <w:p w14:paraId="732B15DC">
      <w:pPr>
        <w:rPr>
          <w:rFonts w:hint="eastAsia"/>
          <w:b/>
          <w:bCs/>
          <w:color w:val="2E54A1" w:themeColor="accent1" w:themeShade="BF"/>
          <w:sz w:val="24"/>
          <w:szCs w:val="24"/>
        </w:rPr>
      </w:pPr>
      <w:r>
        <w:rPr>
          <w:rFonts w:hint="eastAsia"/>
          <w:b/>
          <w:bCs/>
          <w:color w:val="2E54A1" w:themeColor="accent1" w:themeShade="BF"/>
          <w:sz w:val="24"/>
          <w:szCs w:val="24"/>
        </w:rPr>
        <w:t xml:space="preserve">趋势 </w:t>
      </w:r>
      <w:r>
        <w:rPr>
          <w:rFonts w:hint="eastAsia"/>
          <w:b/>
          <w:bCs/>
          <w:color w:val="2E54A1" w:themeColor="accent1" w:themeShade="BF"/>
          <w:sz w:val="24"/>
          <w:szCs w:val="24"/>
          <w:lang w:val="en-US" w:eastAsia="zh-CN"/>
        </w:rPr>
        <w:t>4</w:t>
      </w:r>
      <w:r>
        <w:rPr>
          <w:rFonts w:hint="eastAsia"/>
          <w:b/>
          <w:bCs/>
          <w:color w:val="2E54A1" w:themeColor="accent1" w:themeShade="BF"/>
          <w:sz w:val="24"/>
          <w:szCs w:val="24"/>
        </w:rPr>
        <w:t xml:space="preserve">：从“静态训练”走向“冷启动与在线适应” </w:t>
      </w:r>
    </w:p>
    <w:p w14:paraId="0CF341BF">
      <w:pPr>
        <w:rPr>
          <w:rFonts w:hint="eastAsia"/>
          <w:color w:val="2E54A1" w:themeColor="accent1" w:themeShade="BF"/>
        </w:rPr>
      </w:pPr>
      <w:r>
        <w:rPr>
          <w:rFonts w:hint="eastAsia"/>
          <w:color w:val="2E54A1" w:themeColor="accent1" w:themeShade="BF"/>
        </w:rPr>
        <w:t>文献信号</w:t>
      </w:r>
    </w:p>
    <w:p w14:paraId="5521C677">
      <w:pPr>
        <w:rPr>
          <w:rFonts w:hint="eastAsia"/>
        </w:rPr>
      </w:pPr>
      <w:r>
        <w:rPr>
          <w:rFonts w:hint="eastAsia"/>
        </w:rPr>
        <w:t xml:space="preserve">专家轨迹行为克隆（Behavior Cloning）、离线代价模拟器预训练、线上渐进微调（Progressive Fine-tuning）是当前解决冷启动的主要策略。国产数据库 openGauss DBMind 与金仓 IQO 均采用“学习模式 + 自适应”路径。 </w:t>
      </w:r>
    </w:p>
    <w:p w14:paraId="27768CC4">
      <w:pPr>
        <w:rPr>
          <w:rFonts w:hint="eastAsia"/>
          <w:color w:val="2E54A1" w:themeColor="accent1" w:themeShade="BF"/>
        </w:rPr>
      </w:pPr>
      <w:r>
        <w:rPr>
          <w:rFonts w:hint="eastAsia"/>
          <w:color w:val="2E54A1" w:themeColor="accent1" w:themeShade="BF"/>
        </w:rPr>
        <w:t>工程问题</w:t>
      </w:r>
    </w:p>
    <w:p w14:paraId="5EE59B5C">
      <w:pPr>
        <w:rPr>
          <w:rFonts w:hint="eastAsia"/>
        </w:rPr>
      </w:pPr>
      <w:r>
        <w:rPr>
          <w:rFonts w:hint="eastAsia"/>
        </w:rPr>
        <w:t xml:space="preserve">强化学习优化器若未经稳健初始化直接上线，随机探索可能产生灾难性执行计划，导致 CPU 独占、I/O 饱和、内存溢出。冷启动阶段必须引入策略防护网：先用传统 CBO 专家轨迹进行行为克隆，再在离线模拟环境中试错，最后以极低探索率上线微调。 </w:t>
      </w:r>
    </w:p>
    <w:p w14:paraId="22AB7B08">
      <w:pPr>
        <w:rPr>
          <w:rFonts w:hint="eastAsia"/>
          <w:color w:val="2E54A1" w:themeColor="accent1" w:themeShade="BF"/>
        </w:rPr>
      </w:pPr>
      <w:r>
        <w:rPr>
          <w:rFonts w:hint="eastAsia"/>
          <w:color w:val="2E54A1" w:themeColor="accent1" w:themeShade="BF"/>
        </w:rPr>
        <w:t>意义</w:t>
      </w:r>
    </w:p>
    <w:p w14:paraId="50F6F63D">
      <w:pPr>
        <w:rPr>
          <w:rFonts w:hint="eastAsia"/>
        </w:rPr>
      </w:pPr>
      <w:r>
        <w:rPr>
          <w:rFonts w:hint="eastAsia"/>
        </w:rPr>
        <w:t xml:space="preserve">T11 的 n_distinct 采样偏差（l_orderkey 估计 390,916，真实约 150 万）说明静态统计会随数据变化失真。ALECE 这类动态 learned CE 将查询与当前数据状态共同编码，正是为了应对 workload drift 与数据更新。本组 T11 与国产数据库的工程实践串联起来，说明“数据会变、负载会变、模型需要持续适应”是 learned CE 必须面对的普遍问题。   </w:t>
      </w:r>
    </w:p>
    <w:p w14:paraId="6F009D42">
      <w:pPr>
        <w:rPr>
          <w:rFonts w:hint="eastAsia"/>
        </w:rPr>
      </w:pPr>
    </w:p>
    <w:p w14:paraId="68117CF6">
      <w:pPr>
        <w:rPr>
          <w:rFonts w:hint="eastAsia"/>
          <w:b/>
          <w:bCs/>
          <w:color w:val="2E54A1" w:themeColor="accent1" w:themeShade="BF"/>
          <w:sz w:val="24"/>
          <w:szCs w:val="24"/>
        </w:rPr>
      </w:pPr>
      <w:r>
        <w:rPr>
          <w:rFonts w:hint="eastAsia"/>
          <w:b/>
          <w:bCs/>
          <w:color w:val="2E54A1" w:themeColor="accent1" w:themeShade="BF"/>
          <w:sz w:val="24"/>
          <w:szCs w:val="24"/>
        </w:rPr>
        <w:t xml:space="preserve">趋势 </w:t>
      </w:r>
      <w:r>
        <w:rPr>
          <w:rFonts w:hint="eastAsia"/>
          <w:b/>
          <w:bCs/>
          <w:color w:val="2E54A1" w:themeColor="accent1" w:themeShade="BF"/>
          <w:sz w:val="24"/>
          <w:szCs w:val="24"/>
          <w:lang w:val="en-US" w:eastAsia="zh-CN"/>
        </w:rPr>
        <w:t>5</w:t>
      </w:r>
      <w:r>
        <w:rPr>
          <w:rFonts w:hint="eastAsia"/>
          <w:b/>
          <w:bCs/>
          <w:color w:val="2E54A1" w:themeColor="accent1" w:themeShade="BF"/>
          <w:sz w:val="24"/>
          <w:szCs w:val="24"/>
        </w:rPr>
        <w:t>：从“黑盒预测”走向“可解释与轻量化推理”</w:t>
      </w:r>
    </w:p>
    <w:p w14:paraId="52C3A280">
      <w:pPr>
        <w:rPr>
          <w:rFonts w:hint="eastAsia"/>
          <w:color w:val="2E54A1" w:themeColor="accent1" w:themeShade="BF"/>
        </w:rPr>
      </w:pPr>
      <w:r>
        <w:rPr>
          <w:rFonts w:hint="eastAsia"/>
          <w:color w:val="2E54A1" w:themeColor="accent1" w:themeShade="BF"/>
        </w:rPr>
        <w:t>文献信号</w:t>
      </w:r>
    </w:p>
    <w:p w14:paraId="6350EACC">
      <w:pPr>
        <w:rPr>
          <w:rFonts w:hint="eastAsia"/>
        </w:rPr>
      </w:pPr>
      <w:r>
        <w:rPr>
          <w:rFonts w:hint="eastAsia"/>
        </w:rPr>
        <w:t xml:space="preserve">神经网络黑盒特性限制 DBA 对异常执行计划的诊断能力；模型压缩、知识蒸馏、端云协同成为降低推理开销的方向。 </w:t>
      </w:r>
    </w:p>
    <w:p w14:paraId="535B3D4E">
      <w:pPr>
        <w:rPr>
          <w:rFonts w:hint="eastAsia"/>
          <w:color w:val="2E54A1" w:themeColor="accent1" w:themeShade="BF"/>
        </w:rPr>
      </w:pPr>
      <w:r>
        <w:rPr>
          <w:rFonts w:hint="eastAsia"/>
          <w:color w:val="2E54A1" w:themeColor="accent1" w:themeShade="BF"/>
        </w:rPr>
        <w:t>工程问题</w:t>
      </w:r>
    </w:p>
    <w:p w14:paraId="349992B6">
      <w:pPr>
        <w:rPr>
          <w:rFonts w:hint="eastAsia"/>
        </w:rPr>
      </w:pPr>
      <w:r>
        <w:rPr>
          <w:rFonts w:hint="eastAsia"/>
        </w:rPr>
        <w:t xml:space="preserve">高并发 OLTP 场景要求优化阶段延迟极低，复杂模型推理可能成为新瓶颈。同时，数据库管理员需要理解计划选择原因，缺乏解释性会影响 learned CE 在核心优化器中的部署信任。 </w:t>
      </w:r>
    </w:p>
    <w:p w14:paraId="3085886D">
      <w:pPr>
        <w:rPr>
          <w:rFonts w:hint="eastAsia"/>
          <w:color w:val="2E54A1" w:themeColor="accent1" w:themeShade="BF"/>
        </w:rPr>
      </w:pPr>
      <w:r>
        <w:rPr>
          <w:rFonts w:hint="eastAsia"/>
          <w:color w:val="2E54A1" w:themeColor="accent1" w:themeShade="BF"/>
        </w:rPr>
        <w:t>意义</w:t>
      </w:r>
    </w:p>
    <w:p w14:paraId="274D8D5D">
      <w:pPr>
        <w:rPr>
          <w:rFonts w:hint="eastAsia"/>
        </w:rPr>
      </w:pPr>
      <w:r>
        <w:rPr>
          <w:rFonts w:hint="eastAsia"/>
        </w:rPr>
        <w:t xml:space="preserve">本组“误差危害 = 误差大小 × 位置 × 自由度”可作为解释性分析的切入点：即使 Q-error 很大，若误差在根节点或零自由度位置，也可能没有性能后果。这一规律可帮助 DBA 快速判断误差风险。同时，DQ 与 Bao 的推理开销对比说明轻量化不是可选项，而是 learned CE 进入核心优化器的前提。   </w:t>
      </w:r>
    </w:p>
    <w:p w14:paraId="65718C08">
      <w:pPr>
        <w:rPr>
          <w:rFonts w:hint="eastAsia"/>
          <w:color w:val="2E54A1" w:themeColor="accent1" w:themeShade="BF"/>
        </w:rPr>
      </w:pPr>
    </w:p>
    <w:p w14:paraId="7F0785E3">
      <w:pPr>
        <w:rPr>
          <w:rFonts w:hint="eastAsia"/>
          <w:color w:val="2E54A1" w:themeColor="accent1" w:themeShade="BF"/>
          <w:sz w:val="24"/>
          <w:szCs w:val="24"/>
        </w:rPr>
      </w:pPr>
      <w:r>
        <w:rPr>
          <w:rFonts w:hint="eastAsia"/>
          <w:b/>
          <w:bCs/>
          <w:color w:val="2E54A1" w:themeColor="accent1" w:themeShade="BF"/>
          <w:sz w:val="24"/>
          <w:szCs w:val="24"/>
          <w:lang w:val="en-US" w:eastAsia="zh-CN"/>
        </w:rPr>
        <w:t>趋势 6：</w:t>
      </w:r>
      <w:r>
        <w:rPr>
          <w:rFonts w:hint="eastAsia"/>
          <w:b/>
          <w:bCs/>
          <w:color w:val="2E54A1" w:themeColor="accent1" w:themeShade="BF"/>
          <w:sz w:val="24"/>
          <w:szCs w:val="24"/>
        </w:rPr>
        <w:t>从“基数估计”走向“端到端学习优化”</w:t>
      </w:r>
      <w:r>
        <w:rPr>
          <w:rFonts w:hint="eastAsia"/>
          <w:color w:val="2E54A1" w:themeColor="accent1" w:themeShade="BF"/>
          <w:sz w:val="24"/>
          <w:szCs w:val="24"/>
        </w:rPr>
        <w:t xml:space="preserve"> </w:t>
      </w:r>
    </w:p>
    <w:p w14:paraId="5443C2C6">
      <w:pPr>
        <w:rPr>
          <w:rFonts w:hint="eastAsia"/>
          <w:color w:val="2E54A1" w:themeColor="accent1" w:themeShade="BF"/>
        </w:rPr>
      </w:pPr>
      <w:r>
        <w:rPr>
          <w:rFonts w:hint="eastAsia"/>
          <w:color w:val="2E54A1" w:themeColor="accent1" w:themeShade="BF"/>
        </w:rPr>
        <w:t>文献信号</w:t>
      </w:r>
    </w:p>
    <w:p w14:paraId="729BD01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Neo、Bao 等工作不再只学习基数，而是学习代价估计、计划选择甚至完整优化流程。Bao 用 Tree-CNN 提取计划上下文，再用 Bandit 选择 Hint 组合；DQ 则把 Join Order 选择建模为 MDP，端到端学习计划。 </w:t>
      </w:r>
    </w:p>
    <w:p w14:paraId="10A605AF">
      <w:pPr>
        <w:rPr>
          <w:rFonts w:hint="eastAsia"/>
          <w:color w:val="2E54A1" w:themeColor="accent1" w:themeShade="BF"/>
        </w:rPr>
      </w:pPr>
      <w:r>
        <w:rPr>
          <w:rFonts w:hint="eastAsia"/>
          <w:color w:val="2E54A1" w:themeColor="accent1" w:themeShade="BF"/>
        </w:rPr>
        <w:t>工程问题</w:t>
      </w:r>
    </w:p>
    <w:p w14:paraId="7FE12F6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基数估计只是优化链条的一环。如果只修正基数，但代价模型仍不准确，或计划搜索仍受启发式剪枝限制，优化收益可能被抵消。端到端学习优化试图把基数、代价、计划选择统一到一个学习框架中，但也带来推理开销、冷启动、可解释性等新问题。 </w:t>
      </w:r>
    </w:p>
    <w:p w14:paraId="2D4FB943">
      <w:pPr>
        <w:rPr>
          <w:rFonts w:hint="eastAsia"/>
          <w:color w:val="2E54A1" w:themeColor="accent1" w:themeShade="BF"/>
        </w:rPr>
      </w:pPr>
      <w:r>
        <w:rPr>
          <w:rFonts w:hint="eastAsia"/>
          <w:color w:val="2E54A1" w:themeColor="accent1" w:themeShade="BF"/>
        </w:rPr>
        <w:t>意义</w:t>
      </w:r>
    </w:p>
    <w:p w14:paraId="630C6DAE">
      <w:pPr>
        <w:rPr>
          <w:rFonts w:hint="eastAsia"/>
          <w:color w:val="2E54A1" w:themeColor="accent1" w:themeShade="BF"/>
        </w:rPr>
      </w:pPr>
      <w:r>
        <w:rPr>
          <w:rFonts w:hint="eastAsia"/>
          <w:color w:val="000000" w:themeColor="text1"/>
          <w14:textFill>
            <w14:solidFill>
              <w14:schemeClr w14:val="tx1"/>
            </w14:solidFill>
          </w14:textFill>
        </w:rPr>
        <w:t xml:space="preserve">本组实验已经显示：T09 的 10.371 倍基数误差并未改变 Hash Join 计划，S16/S19/S20 的 Q-error 改善也未触发计划切换。这说明基数估计只是链条中的一环，真正决定性能的是“基数 → Cost → 计划选择 → 执行时间”整条链路。端到端学习优化正是试图把这条链路纳入统一模型。本组实验可以作为“为什么需要端到端学习”的实证背景。  </w:t>
      </w:r>
      <w:r>
        <w:rPr>
          <w:rFonts w:hint="eastAsia"/>
          <w:color w:val="2E54A1" w:themeColor="accent1" w:themeShade="BF"/>
        </w:rPr>
        <w:t xml:space="preserve"> </w:t>
      </w:r>
    </w:p>
    <w:p w14:paraId="142B5EEA">
      <w:pPr>
        <w:rPr>
          <w:rFonts w:hint="eastAsia"/>
          <w:color w:val="2E54A1" w:themeColor="accent1" w:themeShade="BF"/>
        </w:rPr>
      </w:pPr>
    </w:p>
    <w:p w14:paraId="7506882B">
      <w:pPr>
        <w:rPr>
          <w:rFonts w:hint="eastAsia"/>
          <w:b/>
          <w:bCs/>
          <w:color w:val="2E54A1" w:themeColor="accent1" w:themeShade="BF"/>
          <w:sz w:val="24"/>
          <w:szCs w:val="24"/>
        </w:rPr>
      </w:pPr>
      <w:r>
        <w:rPr>
          <w:rFonts w:hint="eastAsia"/>
          <w:b/>
          <w:bCs/>
          <w:color w:val="2E54A1" w:themeColor="accent1" w:themeShade="BF"/>
          <w:sz w:val="24"/>
          <w:szCs w:val="24"/>
          <w:lang w:val="en-US" w:eastAsia="zh-CN"/>
        </w:rPr>
        <w:t>趋势 7：</w:t>
      </w:r>
      <w:r>
        <w:rPr>
          <w:rFonts w:hint="eastAsia"/>
          <w:b/>
          <w:bCs/>
          <w:color w:val="2E54A1" w:themeColor="accent1" w:themeShade="BF"/>
          <w:sz w:val="24"/>
          <w:szCs w:val="24"/>
        </w:rPr>
        <w:t xml:space="preserve">从“单查询优化”走向“工作负载级优化” </w:t>
      </w:r>
    </w:p>
    <w:p w14:paraId="4E31C901">
      <w:pPr>
        <w:rPr>
          <w:rFonts w:hint="eastAsia"/>
          <w:color w:val="2E54A1" w:themeColor="accent1" w:themeShade="BF"/>
        </w:rPr>
      </w:pPr>
      <w:r>
        <w:rPr>
          <w:rFonts w:hint="eastAsia"/>
          <w:color w:val="2E54A1" w:themeColor="accent1" w:themeShade="BF"/>
        </w:rPr>
        <w:t>文献信号</w:t>
      </w:r>
    </w:p>
    <w:p w14:paraId="528C9BF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金仓 IQO 面向整个工作负载推荐索引，而不是为单条 SQL 建索引；openGauss DBMind 采集业务负载后统一调参。Bao 也在工作负载级别持续学习，而非逐条 SQL 独立决策。 </w:t>
      </w:r>
    </w:p>
    <w:p w14:paraId="5188E0BA">
      <w:pPr>
        <w:rPr>
          <w:rFonts w:hint="eastAsia"/>
          <w:color w:val="2E54A1" w:themeColor="accent1" w:themeShade="BF"/>
        </w:rPr>
      </w:pPr>
      <w:r>
        <w:rPr>
          <w:rFonts w:hint="eastAsia"/>
          <w:color w:val="2E54A1" w:themeColor="accent1" w:themeShade="BF"/>
        </w:rPr>
        <w:t>工程问题</w:t>
      </w:r>
    </w:p>
    <w:p w14:paraId="384D72E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真实数据库面对的是工作负载，而不是孤立查询。索引推荐、物化视图选择、参数调优、查询重写都需要在工作负载层面权衡：为一条查询建索引可能拖慢写入，为一条 SQL 调参可能影响其他查询。单查询最优不等于工作负载最优。 </w:t>
      </w:r>
    </w:p>
    <w:p w14:paraId="1504CF18">
      <w:pPr>
        <w:rPr>
          <w:rFonts w:hint="eastAsia"/>
          <w:color w:val="2E54A1" w:themeColor="accent1" w:themeShade="BF"/>
        </w:rPr>
      </w:pPr>
      <w:r>
        <w:rPr>
          <w:rFonts w:hint="eastAsia"/>
          <w:color w:val="2E54A1" w:themeColor="accent1" w:themeShade="BF"/>
        </w:rPr>
        <w:t>意义</w:t>
      </w:r>
    </w:p>
    <w:p w14:paraId="258D52A2">
      <w:pPr>
        <w:rPr>
          <w:rFonts w:hint="eastAsia"/>
          <w:color w:val="2E54A1" w:themeColor="accent1" w:themeShade="BF"/>
        </w:rPr>
      </w:pPr>
      <w:r>
        <w:rPr>
          <w:rFonts w:hint="eastAsia"/>
          <w:color w:val="000000" w:themeColor="text1"/>
          <w14:textFill>
            <w14:solidFill>
              <w14:schemeClr w14:val="tx1"/>
            </w14:solidFill>
          </w14:textFill>
        </w:rPr>
        <w:t>本组实验的 20 条查询是教学查询集，不代表真实工作负载；qerror_statistics.csv 按独立查询汇总，未做工作负载级加权。这一点可以作为“本组实验边界”的说明，也可作为未来方向：学习型方法不仅要降低单查询 Q-error，还要在工作负载层面平衡读写、延迟与资源。</w:t>
      </w:r>
      <w:r>
        <w:rPr>
          <w:rFonts w:hint="eastAsia"/>
          <w:color w:val="2E54A1" w:themeColor="accent1" w:themeShade="BF"/>
        </w:rPr>
        <w:t xml:space="preserve">   </w:t>
      </w:r>
    </w:p>
    <w:p w14:paraId="275AFFC9">
      <w:pPr>
        <w:rPr>
          <w:rFonts w:hint="eastAsia"/>
          <w:color w:val="2E54A1" w:themeColor="accent1" w:themeShade="BF"/>
        </w:rPr>
      </w:pPr>
    </w:p>
    <w:p w14:paraId="6E742844">
      <w:pPr>
        <w:rPr>
          <w:rFonts w:hint="eastAsia"/>
          <w:b/>
          <w:bCs/>
          <w:color w:val="2E54A1" w:themeColor="accent1" w:themeShade="BF"/>
          <w:sz w:val="24"/>
          <w:szCs w:val="24"/>
        </w:rPr>
      </w:pPr>
      <w:r>
        <w:rPr>
          <w:rFonts w:hint="eastAsia"/>
          <w:b/>
          <w:bCs/>
          <w:color w:val="2E54A1" w:themeColor="accent1" w:themeShade="BF"/>
          <w:sz w:val="24"/>
          <w:szCs w:val="24"/>
          <w:lang w:val="en-US" w:eastAsia="zh-CN"/>
        </w:rPr>
        <w:t>趋势 8：</w:t>
      </w:r>
      <w:r>
        <w:rPr>
          <w:rFonts w:hint="eastAsia"/>
          <w:b/>
          <w:bCs/>
          <w:color w:val="2E54A1" w:themeColor="accent1" w:themeShade="BF"/>
          <w:sz w:val="24"/>
          <w:szCs w:val="24"/>
        </w:rPr>
        <w:t xml:space="preserve">从“纯数据驱动”走向“知识与数据混合驱动” </w:t>
      </w:r>
    </w:p>
    <w:p w14:paraId="1B26565B">
      <w:pPr>
        <w:rPr>
          <w:rFonts w:hint="eastAsia"/>
          <w:color w:val="2E54A1" w:themeColor="accent1" w:themeShade="BF"/>
        </w:rPr>
      </w:pPr>
      <w:r>
        <w:rPr>
          <w:rFonts w:hint="eastAsia"/>
          <w:color w:val="2E54A1" w:themeColor="accent1" w:themeShade="BF"/>
        </w:rPr>
        <w:t>文献信号</w:t>
      </w:r>
    </w:p>
    <w:p w14:paraId="3AB69FD0">
      <w:pPr>
        <w:rPr>
          <w:rFonts w:hint="eastAsia"/>
          <w:color w:val="2E54A1" w:themeColor="accent1" w:themeShade="BF"/>
        </w:rPr>
      </w:pPr>
      <w:r>
        <w:rPr>
          <w:rFonts w:hint="eastAsia"/>
          <w:color w:val="000000" w:themeColor="text1"/>
          <w14:textFill>
            <w14:solidFill>
              <w14:schemeClr w14:val="tx1"/>
            </w14:solidFill>
          </w14:textFill>
        </w:rPr>
        <w:t>ZeroCard 利用 schema 语义与预训练知识，减少对目标库数据与查询日志的依赖。传统 CBO 本身也大量使用约束信息（主键、外键、唯一约束、CHECK 约束）。近期工作开始把 schema 语义、业务规则、约束信息与数据驱动模型结合。</w:t>
      </w:r>
      <w:r>
        <w:rPr>
          <w:rFonts w:hint="eastAsia"/>
          <w:color w:val="2E54A1" w:themeColor="accent1" w:themeShade="BF"/>
        </w:rPr>
        <w:t xml:space="preserve"> </w:t>
      </w:r>
    </w:p>
    <w:p w14:paraId="5DBBD1DD">
      <w:pPr>
        <w:rPr>
          <w:rFonts w:hint="eastAsia"/>
          <w:color w:val="2E54A1" w:themeColor="accent1" w:themeShade="BF"/>
        </w:rPr>
      </w:pPr>
      <w:r>
        <w:rPr>
          <w:rFonts w:hint="eastAsia"/>
          <w:color w:val="2E54A1" w:themeColor="accent1" w:themeShade="BF"/>
        </w:rPr>
        <w:t>工程问题</w:t>
      </w:r>
    </w:p>
    <w:p w14:paraId="5346D14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纯数据驱动模型需要大量数据与标签，且难以解释；纯规则方法又难以覆盖复杂分布。混合驱动试图用先验知识约束模型、降低数据需求、提升可解释性与泛化能力。</w:t>
      </w:r>
    </w:p>
    <w:p w14:paraId="6D9B88AC">
      <w:pPr>
        <w:rPr>
          <w:rFonts w:hint="eastAsia"/>
          <w:color w:val="2E54A1" w:themeColor="accent1" w:themeShade="BF"/>
        </w:rPr>
      </w:pPr>
      <w:r>
        <w:rPr>
          <w:rFonts w:hint="eastAsia"/>
          <w:color w:val="2E54A1" w:themeColor="accent1" w:themeShade="BF"/>
        </w:rPr>
        <w:t>意义</w:t>
      </w:r>
    </w:p>
    <w:p w14:paraId="1FCB60B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本组实验中的扩展统计（dependencies、MCV、ndistinct）本身就是一种“知识 + 数据”的混合机制：它既依赖数据采样，也依赖用户显式声明多列关系。S16/S19 被扩展统计修正，S20 仍失效，说明“知识 + 数据”的混合机制在跨表场景仍有边界。这与 ZeroCard 等方法的动机一致：如何在不访问目标库数据的情况下，利用 schema 语义完成估计。</w:t>
      </w:r>
    </w:p>
    <w:p w14:paraId="5BD4309D">
      <w:pPr>
        <w:rPr>
          <w:rFonts w:hint="eastAsia"/>
          <w:color w:val="2E54A1" w:themeColor="accent1" w:themeShade="BF"/>
        </w:rPr>
      </w:pPr>
    </w:p>
    <w:p w14:paraId="22EE1324">
      <w:pPr>
        <w:rPr>
          <w:rFonts w:hint="eastAsia"/>
          <w:b/>
          <w:bCs/>
          <w:color w:val="2E54A1" w:themeColor="accent1" w:themeShade="BF"/>
          <w:sz w:val="24"/>
          <w:szCs w:val="24"/>
        </w:rPr>
      </w:pPr>
      <w:r>
        <w:rPr>
          <w:rFonts w:hint="eastAsia"/>
          <w:b/>
          <w:bCs/>
          <w:color w:val="2E54A1" w:themeColor="accent1" w:themeShade="BF"/>
          <w:sz w:val="24"/>
          <w:szCs w:val="24"/>
          <w:lang w:val="en-US" w:eastAsia="zh-CN"/>
        </w:rPr>
        <w:t>趋势 9：</w:t>
      </w:r>
      <w:r>
        <w:rPr>
          <w:rFonts w:hint="eastAsia"/>
          <w:b/>
          <w:bCs/>
          <w:color w:val="2E54A1" w:themeColor="accent1" w:themeShade="BF"/>
          <w:sz w:val="24"/>
          <w:szCs w:val="24"/>
        </w:rPr>
        <w:t>从“单机 PostgreSQL”走向“云原生与分布式”</w:t>
      </w:r>
    </w:p>
    <w:p w14:paraId="51AE6D27">
      <w:pPr>
        <w:rPr>
          <w:rFonts w:hint="eastAsia"/>
          <w:color w:val="2E54A1" w:themeColor="accent1" w:themeShade="BF"/>
        </w:rPr>
      </w:pPr>
      <w:r>
        <w:rPr>
          <w:rFonts w:hint="eastAsia"/>
          <w:color w:val="2E54A1" w:themeColor="accent1" w:themeShade="BF"/>
        </w:rPr>
        <w:t>文献信号</w:t>
      </w:r>
    </w:p>
    <w:p w14:paraId="6E4553DC">
      <w:pPr>
        <w:rPr>
          <w:rFonts w:hint="eastAsia" w:eastAsiaTheme="minor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PRICE 的多库预训练、ZeroCard 的零数据依赖、openGauss 与金仓的工程实践，都面向多数据库、多租户、云原生场景。分布式数据库还需要考虑数据分片、跨节点 Join、网络传输代价。</w:t>
      </w:r>
    </w:p>
    <w:p w14:paraId="48EBCA1E">
      <w:pPr>
        <w:rPr>
          <w:rFonts w:hint="eastAsia"/>
          <w:color w:val="2E54A1" w:themeColor="accent1" w:themeShade="BF"/>
        </w:rPr>
      </w:pPr>
      <w:r>
        <w:rPr>
          <w:rFonts w:hint="eastAsia"/>
          <w:color w:val="2E54A1" w:themeColor="accent1" w:themeShade="BF"/>
        </w:rPr>
        <w:t>工程问题</w:t>
      </w:r>
    </w:p>
    <w:p w14:paraId="1DC96F4A">
      <w:pPr>
        <w:rPr>
          <w:rFonts w:hint="eastAsia"/>
          <w:color w:val="2E54A1" w:themeColor="accent1" w:themeShade="BF"/>
        </w:rPr>
      </w:pPr>
      <w:r>
        <w:rPr>
          <w:rFonts w:hint="eastAsia"/>
          <w:color w:val="2E54A1" w:themeColor="accent1" w:themeShade="BF"/>
        </w:rPr>
        <w:t>云原生数据库面临动态资源供给、多租户隔离、跨库迁移、隐私合规等新问题。学习型基数估计需要在这些约束下工作：模型能否跨库迁移？能否在隐私受限时使用？能否适应分布式 Join 的代价结构？</w:t>
      </w:r>
    </w:p>
    <w:p w14:paraId="4578D82C">
      <w:pPr>
        <w:rPr>
          <w:rFonts w:hint="eastAsia"/>
          <w:color w:val="2E54A1" w:themeColor="accent1" w:themeShade="BF"/>
        </w:rPr>
      </w:pPr>
      <w:r>
        <w:rPr>
          <w:rFonts w:hint="eastAsia"/>
          <w:color w:val="2E54A1" w:themeColor="accent1" w:themeShade="BF"/>
        </w:rPr>
        <w:t>意义</w:t>
      </w:r>
    </w:p>
    <w:p w14:paraId="58A82A3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本组实验基于单机 PostgreSQL 17.6、Docker Linux 容器，未涉及分布式或云环境。这一点可作为实验边界说明，也可作为趋势延伸：S20 跨表相关的 Q-error 100 在单机场景已经出现，在分布式场景可能更严重，因为跨节点数据传输会放大基数误差的代价。PRICE 与 ZeroCard 代表的跨库、低依赖方向，正是为了应对这类场景。</w:t>
      </w:r>
    </w:p>
    <w:p w14:paraId="1A540332">
      <w:pPr>
        <w:rPr>
          <w:rFonts w:hint="eastAsia"/>
          <w:color w:val="2E54A1" w:themeColor="accent1" w:themeShade="BF"/>
        </w:rPr>
      </w:pPr>
    </w:p>
    <w:p w14:paraId="15D9EE29">
      <w:pPr>
        <w:rPr>
          <w:rFonts w:hint="eastAsia"/>
          <w:b/>
          <w:bCs/>
          <w:color w:val="2E54A1" w:themeColor="accent1" w:themeShade="BF"/>
          <w:sz w:val="24"/>
          <w:szCs w:val="24"/>
        </w:rPr>
      </w:pPr>
      <w:r>
        <w:rPr>
          <w:rFonts w:hint="eastAsia"/>
          <w:b/>
          <w:bCs/>
          <w:color w:val="2E54A1" w:themeColor="accent1" w:themeShade="BF"/>
          <w:sz w:val="24"/>
          <w:szCs w:val="24"/>
          <w:lang w:val="en-US" w:eastAsia="zh-CN"/>
        </w:rPr>
        <w:t>趋势 10：</w:t>
      </w:r>
      <w:r>
        <w:rPr>
          <w:rFonts w:hint="eastAsia"/>
          <w:b/>
          <w:bCs/>
          <w:color w:val="2E54A1" w:themeColor="accent1" w:themeShade="BF"/>
          <w:sz w:val="24"/>
          <w:szCs w:val="24"/>
        </w:rPr>
        <w:t>从“SQL 规则解析”走向“LLM 辅助语义理解”</w:t>
      </w:r>
    </w:p>
    <w:p w14:paraId="6B7F81B5">
      <w:pPr>
        <w:rPr>
          <w:rFonts w:hint="eastAsia"/>
          <w:color w:val="2E54A1" w:themeColor="accent1" w:themeShade="BF"/>
        </w:rPr>
      </w:pPr>
      <w:r>
        <w:rPr>
          <w:rFonts w:hint="eastAsia"/>
          <w:color w:val="2E54A1" w:themeColor="accent1" w:themeShade="BF"/>
        </w:rPr>
        <w:t>文献信号</w:t>
      </w:r>
    </w:p>
    <w:p w14:paraId="49D28402">
      <w:pPr>
        <w:rPr>
          <w:rFonts w:hint="eastAsia" w:eastAsiaTheme="minor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近期出现利用 LLM 做查询重写、自然语言转 SQL、查询解释、甚至辅助基数估计的工作。LLM 可以理解 schema 语义、业务术语与查询意图，可能为基数估计提供额外上下文。</w:t>
      </w:r>
    </w:p>
    <w:p w14:paraId="716672D8">
      <w:pPr>
        <w:rPr>
          <w:rFonts w:hint="eastAsia"/>
          <w:color w:val="2E54A1" w:themeColor="accent1" w:themeShade="BF"/>
        </w:rPr>
      </w:pPr>
      <w:r>
        <w:rPr>
          <w:rFonts w:hint="eastAsia"/>
          <w:color w:val="2E54A1" w:themeColor="accent1" w:themeShade="BF"/>
        </w:rPr>
        <w:t>工程问题</w:t>
      </w:r>
    </w:p>
    <w:p w14:paraId="5949D19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LLM 推理开销大、延迟高、结果不稳定，难以直接嵌入优化器热路径。但可以在离线阶段辅助 schema 理解、查询重写、特征生成；或在线阶段以低频率调用，用于复杂查询的辅助判断。</w:t>
      </w:r>
    </w:p>
    <w:p w14:paraId="6226D13C">
      <w:pPr>
        <w:rPr>
          <w:rFonts w:hint="eastAsia"/>
          <w:color w:val="2E54A1" w:themeColor="accent1" w:themeShade="BF"/>
        </w:rPr>
      </w:pPr>
      <w:r>
        <w:rPr>
          <w:rFonts w:hint="eastAsia"/>
          <w:color w:val="2E54A1" w:themeColor="accent1" w:themeShade="BF"/>
        </w:rPr>
        <w:t>意义</w:t>
      </w:r>
    </w:p>
    <w:p w14:paraId="641E9D9E">
      <w:pPr>
        <w:rPr>
          <w:rFonts w:hint="eastAsia" w:eastAsiaTheme="minor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本组实验未涉及 LLM</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但 T09 的业务语义（订单日期与发货日期的关系）恰好是 LLM 可能理解的“业务规则”，而传统统计无法表达。这可以作为未来方向的讨论点：LLM 能否帮助优化器理解这类业务语义，从而改善 Join 后相关性估计。但必须明确，本组未做任何 LLM 实验，仅作为趋势展望</w:t>
      </w:r>
      <w:r>
        <w:rPr>
          <w:rFonts w:hint="eastAsia"/>
          <w:color w:val="000000" w:themeColor="text1"/>
          <w:lang w:eastAsia="zh-CN"/>
          <w14:textFill>
            <w14:solidFill>
              <w14:schemeClr w14:val="tx1"/>
            </w14:solidFill>
          </w14:textFill>
        </w:rPr>
        <w:t>。</w:t>
      </w:r>
    </w:p>
    <w:p w14:paraId="6C918211">
      <w:pPr>
        <w:rPr>
          <w:rFonts w:hint="eastAsia" w:eastAsiaTheme="minorEastAsia"/>
          <w:lang w:eastAsia="zh-CN"/>
        </w:rPr>
      </w:pPr>
    </w:p>
    <w:p w14:paraId="5E6ED70D">
      <w:pPr>
        <w:spacing w:line="240" w:lineRule="auto"/>
        <w:rPr>
          <w:rFonts w:hint="eastAsia"/>
          <w:b/>
          <w:bCs/>
          <w:color w:val="2E54A1" w:themeColor="accent1" w:themeShade="BF"/>
          <w:sz w:val="24"/>
          <w:szCs w:val="24"/>
        </w:rPr>
      </w:pPr>
      <w:r>
        <w:rPr>
          <w:rFonts w:hint="eastAsia"/>
          <w:b/>
          <w:bCs/>
          <w:color w:val="2E54A1" w:themeColor="accent1" w:themeShade="BF"/>
          <w:sz w:val="24"/>
          <w:szCs w:val="24"/>
        </w:rPr>
        <w:t xml:space="preserve">趋势 </w:t>
      </w:r>
      <w:r>
        <w:rPr>
          <w:rFonts w:hint="eastAsia"/>
          <w:b/>
          <w:bCs/>
          <w:color w:val="2E54A1" w:themeColor="accent1" w:themeShade="BF"/>
          <w:sz w:val="24"/>
          <w:szCs w:val="24"/>
          <w:lang w:val="en-US" w:eastAsia="zh-CN"/>
        </w:rPr>
        <w:t>11</w:t>
      </w:r>
      <w:r>
        <w:rPr>
          <w:rFonts w:hint="eastAsia"/>
          <w:b/>
          <w:bCs/>
          <w:color w:val="2E54A1" w:themeColor="accent1" w:themeShade="BF"/>
          <w:sz w:val="24"/>
          <w:szCs w:val="24"/>
        </w:rPr>
        <w:t xml:space="preserve">：从“固定代价模型”走向“硬件感知优化” </w:t>
      </w:r>
    </w:p>
    <w:p w14:paraId="3ABDD722">
      <w:pPr>
        <w:rPr>
          <w:rFonts w:hint="eastAsia"/>
          <w:color w:val="2E54A1" w:themeColor="accent1" w:themeShade="BF"/>
        </w:rPr>
      </w:pPr>
      <w:r>
        <w:rPr>
          <w:rFonts w:hint="eastAsia"/>
          <w:color w:val="2E54A1" w:themeColor="accent1" w:themeShade="BF"/>
        </w:rPr>
        <w:t>文献信号</w:t>
      </w:r>
    </w:p>
    <w:p w14:paraId="03614A5D">
      <w:pPr>
        <w:rPr>
          <w:rFonts w:hint="eastAsia"/>
        </w:rPr>
      </w:pPr>
      <w:r>
        <w:rPr>
          <w:rFonts w:hint="eastAsia"/>
        </w:rPr>
        <w:t xml:space="preserve">持久内存、GPU 加速、CXL 互联等新硬件进入数据库内核，传统代价模型的硬件假设已严重滞后。学习型优化器天然具备从真实执行中感知硬件特性的能力。 </w:t>
      </w:r>
    </w:p>
    <w:p w14:paraId="64B72E57">
      <w:pPr>
        <w:rPr>
          <w:rFonts w:hint="eastAsia"/>
          <w:color w:val="2E54A1" w:themeColor="accent1" w:themeShade="BF"/>
        </w:rPr>
      </w:pPr>
      <w:r>
        <w:rPr>
          <w:rFonts w:hint="eastAsia"/>
          <w:color w:val="2E54A1" w:themeColor="accent1" w:themeShade="BF"/>
        </w:rPr>
        <w:t>工程问题</w:t>
      </w:r>
    </w:p>
    <w:p w14:paraId="27AC3D1E">
      <w:pPr>
        <w:rPr>
          <w:rFonts w:hint="eastAsia"/>
        </w:rPr>
      </w:pPr>
      <w:r>
        <w:rPr>
          <w:rFonts w:hint="eastAsia"/>
        </w:rPr>
        <w:t xml:space="preserve">传统 CBO 的代价公式中，随机 I/O 与顺序 I/O 的权重系数在数据库设计之初固化，难以自适应 NVMe SSD、持久内存与云环境动态资源供给。学习型模型可以从真实执行反馈中学习硬件性能特征。 </w:t>
      </w:r>
    </w:p>
    <w:p w14:paraId="35666D9F">
      <w:pPr>
        <w:rPr>
          <w:rFonts w:hint="eastAsia"/>
          <w:color w:val="2E54A1" w:themeColor="accent1" w:themeShade="BF"/>
        </w:rPr>
      </w:pPr>
      <w:r>
        <w:rPr>
          <w:rFonts w:hint="eastAsia"/>
          <w:color w:val="2E54A1" w:themeColor="accent1" w:themeShade="BF"/>
        </w:rPr>
        <w:t>意义</w:t>
      </w:r>
    </w:p>
    <w:p w14:paraId="07F0E291">
      <w:pPr>
        <w:rPr>
          <w:rFonts w:hint="eastAsia"/>
        </w:rPr>
      </w:pPr>
      <w:r>
        <w:rPr>
          <w:rFonts w:hint="eastAsia"/>
        </w:rPr>
        <w:t>本组 Cost 为优化器抽象单位，不能与毫秒直接相除。S16/S19 估计修正后 Total Cost 保持 6122，S20 保持 5551.12，计划未切换，说明代价模型与真实性能之间仍有距离。未来 AI 优化可与硬件感知结合，而本组实验揭示的“代价模型与真实性能之间存在距离”这一问题，正是学习型方法可以发挥作用的空间。</w:t>
      </w:r>
    </w:p>
    <w:p w14:paraId="02BAB4CE">
      <w:pPr>
        <w:rPr>
          <w:rFonts w:hint="eastAsia"/>
        </w:rPr>
      </w:pPr>
    </w:p>
    <w:p w14:paraId="065D0984">
      <w:pPr>
        <w:rPr>
          <w:rFonts w:hint="eastAsia"/>
          <w:color w:val="2E54A1" w:themeColor="accent1" w:themeShade="BF"/>
          <w:sz w:val="28"/>
          <w:szCs w:val="28"/>
          <w:lang w:val="en-US" w:eastAsia="zh-CN"/>
        </w:rPr>
      </w:pPr>
      <w:r>
        <w:rPr>
          <w:rFonts w:hint="eastAsia"/>
          <w:color w:val="2E54A1" w:themeColor="accent1" w:themeShade="BF"/>
          <w:sz w:val="28"/>
          <w:szCs w:val="28"/>
          <w:lang w:val="en-US" w:eastAsia="zh-CN"/>
        </w:rPr>
        <w:t>总结</w:t>
      </w:r>
    </w:p>
    <w:p w14:paraId="577C8FBF">
      <w:pPr>
        <w:ind w:firstLine="420" w:firstLineChars="200"/>
        <w:rPr>
          <w:rFonts w:hint="eastAsia"/>
          <w:lang w:val="en-US" w:eastAsia="zh-CN"/>
        </w:rPr>
      </w:pPr>
      <w:r>
        <w:rPr>
          <w:rFonts w:hint="eastAsia"/>
          <w:lang w:val="en-US" w:eastAsia="zh-CN"/>
        </w:rPr>
        <w:t>综合以上趋势，学习型基数估计正从“单库更准”走向“跨库可迁移、系统级收益与工程落地”。本组实验表明：传统 CBO 在单表、简单连接和同表相关场景仍具稳健性，S16/S19 可被扩展统计修正；真正困难的是跨表联合分布（S20）、Join 后相关性（T09）与统计输入偏差（T11）。这些边界问题正是学习型方法的研究动机，但 Q-error 改善不自动等于计划切换或查询加速，评价必须结合计划质量、端到端延迟、泛化能力与部署成本。本组未训练或评测任何 AI 模型，所有趋势讨论仅用于解释研究动机，而非宣称 AI 已优于 PostgreSQL。整组研究主线至此收束：从实验问题出发，划出传统机制边界，映射 AI 方法回应，再延伸到工程落地与前沿趋势，最终回到传统优化器与学习型方法协同关系的理性判断。</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E5006D"/>
    <w:rsid w:val="4C1E47C6"/>
    <w:rsid w:val="4F8A34E7"/>
    <w:rsid w:val="66756CCD"/>
    <w:rsid w:val="679678CE"/>
    <w:rsid w:val="69675DCD"/>
    <w:rsid w:val="7FF0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4366</Words>
  <Characters>5183</Characters>
  <Lines>0</Lines>
  <Paragraphs>0</Paragraphs>
  <TotalTime>49</TotalTime>
  <ScaleCrop>false</ScaleCrop>
  <LinksUpToDate>false</LinksUpToDate>
  <CharactersWithSpaces>5550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2026-10-05T03:39:00Z</dcterms:created>
  <dc:creator>lenovo</dc:creator>
  <cp:lastModifiedBy>依依&amp;Viola</cp:lastModifiedBy>
  <dcterms:modified xsi:type="dcterms:W3CDTF">2026-10-05T06:50:52Z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eyJoZGlkIjoiMDNkMTdkNDBhZjg1MzFhMjhlNTRmOGUxMGJmYzY0NGYiLCJ1c2VySWQiOiI4NDc1NjkzNTAifQ==</vt:lpwstr>
  </property>
  <property fmtid="{D5CDD505-2E9C-101B-9397-08002B2CF9AE}" pid="4" name="ICV">
    <vt:lpwstr>6BD493E497A4442A9BC1731D80CA55C9_12</vt:lpwstr>
  </property>
</Properties>
</file>