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97679D">
      <w:pPr>
        <w:pStyle w:val="165"/>
        <w:keepNext w:val="0"/>
        <w:keepLines w:val="0"/>
        <w:pageBreakBefore w:val="0"/>
        <w:widowControl/>
        <w:kinsoku/>
        <w:wordWrap/>
        <w:overflowPunct/>
        <w:topLinePunct w:val="0"/>
        <w:autoSpaceDE/>
        <w:autoSpaceDN/>
        <w:bidi w:val="0"/>
        <w:adjustRightInd/>
        <w:snapToGrid/>
        <w:spacing w:before="0" w:after="64" w:line="308" w:lineRule="auto"/>
        <w:ind w:left="0" w:right="0" w:firstLine="267" w:firstLineChars="74"/>
        <w:jc w:val="center"/>
        <w:textAlignment w:val="auto"/>
        <w:rPr>
          <w:rFonts w:hint="default" w:eastAsia="黑体"/>
          <w:lang w:val="en-US" w:eastAsia="zh-CN"/>
        </w:rPr>
      </w:pPr>
      <w:r>
        <w:rPr>
          <w:rFonts w:hint="eastAsia"/>
          <w:lang w:val="en-US" w:eastAsia="zh-CN"/>
        </w:rPr>
        <w:t>最终结论素材</w:t>
      </w:r>
    </w:p>
    <w:p w14:paraId="78A16187">
      <w:pPr>
        <w:pStyle w:val="166"/>
        <w:keepNext w:val="0"/>
        <w:keepLines w:val="0"/>
        <w:pageBreakBefore w:val="0"/>
        <w:widowControl/>
        <w:kinsoku/>
        <w:wordWrap/>
        <w:overflowPunct/>
        <w:topLinePunct w:val="0"/>
        <w:autoSpaceDE/>
        <w:autoSpaceDN/>
        <w:bidi w:val="0"/>
        <w:adjustRightInd/>
        <w:snapToGrid/>
        <w:spacing w:before="0" w:after="64" w:line="308" w:lineRule="auto"/>
        <w:ind w:right="0"/>
        <w:textAlignment w:val="auto"/>
      </w:pPr>
      <w:r>
        <w:t>摘要</w:t>
      </w:r>
    </w:p>
    <w:p w14:paraId="23C19687">
      <w:pPr>
        <w:pStyle w:val="30"/>
        <w:keepNext w:val="0"/>
        <w:keepLines w:val="0"/>
        <w:widowControl/>
        <w:suppressLineNumbers w:val="0"/>
        <w:shd w:val="clear" w:fill="FFFFFF"/>
        <w:spacing w:before="120" w:beforeAutospacing="0" w:after="120" w:afterAutospacing="0"/>
        <w:ind w:left="0" w:right="0" w:firstLine="420" w:firstLineChars="20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本报告以本学期B/C/D已完成的PostgreSQL基数估计实验为事实基础，系统分析传统统计在什么条件下能够给出稳定估计、在什么条件下会出现明显失真，以及这些失真为什么会推动学习型基数估计方法的发展。实验覆盖20条SQL、36个查询配置组合、144份执行计划和364条节点记录。总体结果并不是“查询越复杂，估计就越差”：单表组、两表组和多表组的Q-error中位数分别约为1.003、1.010和1.066，大部分查询都比较准确。真正具有解释价值的是少数能够明确暴露相关性问题的案例：S16、S19表明同表强相关和倾斜组合可以通过PostgreSQL Extended Statistics得到明显修正；S20表明当相关关系跨越多张表时，单表统计的表达范围会成为限制；T09进一步说明，即使底层过滤节点都估计得很准，误差仍可能在Join处重新产生；T11则补充说明，统计信息的采样误差也会影响局部代价估计。</w:t>
      </w:r>
    </w:p>
    <w:p w14:paraId="6BE4F1E0">
      <w:pPr>
        <w:pStyle w:val="30"/>
        <w:keepNext w:val="0"/>
        <w:keepLines w:val="0"/>
        <w:widowControl/>
        <w:suppressLineNumbers w:val="0"/>
        <w:shd w:val="clear" w:fill="FFFFFF"/>
        <w:spacing w:before="120" w:beforeAutospacing="0" w:after="120" w:afterAutospacing="0"/>
        <w:ind w:left="0" w:right="0" w:firstLine="420" w:firstLineChars="20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在此基础上，报告将MSCN、DeepDB、NeuroCard和PRICE作为四个重点模型：MSCN代表“从历史查询中学习查询到基数的关系”，DeepDB代表“从数据本身学习联合分布”，NeuroCard进一步把联合分布扩展到多表连接，PRICE则把研究重点推进到跨数据库迁移与部署成本。FactorJoin、ALECE和ZeroCard作为补充，用于说明近年学习型基数估计正在从单纯追求更低Q-error，逐步走向多表建模、动态适应和低成本部署。进一步分析把讨论从“估得更准”推进到“更容易部署、更稳定接入、更可评价”，指出学习型CE从研究原型走向数据库组件仍面临训练数据成本、冷启动、workload drift、模型维护、推理开销、可解释性、内核集成与跨库迁移等工程问题；前沿趋势也相应地从“单库准确率”转向“跨库可迁移、系统级收益、协同共生、冷启动与在线适应、可解释与轻量化推理、端到端学习优化、工作负载级优化、知识与数据混合驱动、云原生与分布式、LLM辅助语义理解、硬件感知优化”等方向。报告还通过趋势时间线图、趋势–工程问题映射矩阵、“趋势–证据–影响–本组接口”四栏表和定性雷达图等可视化方式，对上述内容进行结构化呈现。</w:t>
      </w:r>
    </w:p>
    <w:p w14:paraId="1729A0F5">
      <w:pPr>
        <w:pStyle w:val="30"/>
        <w:keepNext w:val="0"/>
        <w:keepLines w:val="0"/>
        <w:widowControl/>
        <w:suppressLineNumbers w:val="0"/>
        <w:shd w:val="clear" w:fill="FFFFFF"/>
        <w:spacing w:before="120" w:beforeAutospacing="0" w:after="0" w:afterAutospacing="0"/>
        <w:ind w:left="0" w:right="0" w:firstLine="420" w:firstLineChars="200"/>
        <w:rPr>
          <w:rFonts w:hint="eastAsia" w:ascii="宋体" w:hAnsi="宋体" w:eastAsia="宋体" w:cs="宋体"/>
          <w:i w:val="0"/>
          <w:iCs w:val="0"/>
          <w:caps w:val="0"/>
          <w:color w:val="0F1115"/>
          <w:spacing w:val="0"/>
          <w:sz w:val="21"/>
          <w:szCs w:val="21"/>
          <w:shd w:val="clear" w:fill="FFFFFF"/>
        </w:rPr>
      </w:pPr>
      <w:r>
        <w:rPr>
          <w:rFonts w:hint="eastAsia" w:ascii="宋体" w:hAnsi="宋体" w:eastAsia="宋体" w:cs="宋体"/>
          <w:i w:val="0"/>
          <w:iCs w:val="0"/>
          <w:caps w:val="0"/>
          <w:color w:val="0F1115"/>
          <w:spacing w:val="0"/>
          <w:sz w:val="21"/>
          <w:szCs w:val="21"/>
          <w:shd w:val="clear" w:fill="FFFFFF"/>
        </w:rPr>
        <w:t>本组未训练、推理或评测任何AI模型，所有关于学习型方法的内容均为文献调研与问题映射，不能写成“本实验验证了AI优于PostgreSQL”。Q-error改善不自动等于计划切换或查询加速；评价应结合计划质量、端到端延迟、泛化能力、训练成本、推理开销、更新成本与内核集成难度。整组研究主线至此收束：从实验问题出发，划出传统机制边界，映射AI方法回应，再延伸到工程落地与前沿趋势，最终回到传统优化器与学习型方法协同关系的理性判断。</w:t>
      </w:r>
    </w:p>
    <w:p w14:paraId="781A7A33">
      <w:pPr>
        <w:pStyle w:val="30"/>
        <w:keepNext w:val="0"/>
        <w:keepLines w:val="0"/>
        <w:widowControl/>
        <w:suppressLineNumbers w:val="0"/>
        <w:shd w:val="clear" w:fill="FFFFFF"/>
        <w:spacing w:before="120" w:beforeAutospacing="0" w:after="0" w:afterAutospacing="0"/>
        <w:ind w:left="0" w:right="0" w:firstLine="420" w:firstLineChars="200"/>
        <w:rPr>
          <w:rFonts w:hint="eastAsia" w:ascii="宋体" w:hAnsi="宋体" w:eastAsia="宋体" w:cs="宋体"/>
          <w:i w:val="0"/>
          <w:iCs w:val="0"/>
          <w:caps w:val="0"/>
          <w:color w:val="0F1115"/>
          <w:spacing w:val="0"/>
          <w:sz w:val="21"/>
          <w:szCs w:val="21"/>
          <w:shd w:val="clear" w:fill="FFFFFF"/>
        </w:rPr>
      </w:pPr>
    </w:p>
    <w:p w14:paraId="02106C77">
      <w:pPr>
        <w:pStyle w:val="166"/>
        <w:keepNext w:val="0"/>
        <w:keepLines w:val="0"/>
        <w:pageBreakBefore w:val="0"/>
        <w:widowControl/>
        <w:kinsoku/>
        <w:wordWrap/>
        <w:overflowPunct/>
        <w:topLinePunct w:val="0"/>
        <w:autoSpaceDE/>
        <w:autoSpaceDN/>
        <w:bidi w:val="0"/>
        <w:adjustRightInd/>
        <w:snapToGrid/>
        <w:spacing w:before="0" w:after="64" w:line="308" w:lineRule="auto"/>
        <w:ind w:right="0"/>
        <w:textAlignment w:val="auto"/>
      </w:pPr>
      <w:r>
        <w:t>一、实验基础与总体判断</w:t>
      </w:r>
    </w:p>
    <w:p w14:paraId="30EC2D71">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B/C 实验在 PostgreSQL 17.6、TPC-H SF=1 和一组可控合成数据上完成，共采集 20 条 SQL、36 个查询配置组合、144 份执行计划和 364 条节点记录。查询既包含单表过滤、两表连接、多表连接，也包含专门设计的独立属性、同表强相关、数据倾斜和跨表相关场景。每个配置先预热一次，再正式执行三次，并保存 Estimated Rows、Actual Rows、Cost、Actual Time 和节点类型等信息。这样的实验设计有两个优点：一方面可以观察真实 TPC-H 数据上的估计表现，另一方面又可以用合成数据控制“相关性到底发生在哪里”，从而把误差原因解释得更清楚。</w:t>
      </w:r>
    </w:p>
    <w:p w14:paraId="1C125BB6">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如果只看 TPC-H 部分，PostgreSQL 的总体表现其实相当稳定。单表查询 Q-error 中位数为 1.003，两表查询为 1.010，多表查询为 1.066；12 条查询中只有 T09 出现明显的大误差，Q-error 达到 10.371，而五表连接 T11 和六表连接 T12 的 Q-error 仍然只有 1.008。这个结果非常重要，因为它说明“表越多，估计一定越差”并不成立。影响估计准确性的关键不是表数本身，而是过滤条件、连接键和数据分布之间是否存在传统统计难以表示的关系。</w:t>
      </w:r>
    </w:p>
    <w:p w14:paraId="5A2C2C7C">
      <w:pPr>
        <w:keepNext w:val="0"/>
        <w:keepLines w:val="0"/>
        <w:pageBreakBefore w:val="0"/>
        <w:widowControl/>
        <w:kinsoku/>
        <w:wordWrap/>
        <w:overflowPunct/>
        <w:topLinePunct w:val="0"/>
        <w:autoSpaceDE/>
        <w:autoSpaceDN/>
        <w:bidi w:val="0"/>
        <w:adjustRightInd/>
        <w:snapToGrid/>
        <w:spacing w:after="64" w:line="308" w:lineRule="auto"/>
        <w:ind w:left="0" w:right="0" w:firstLine="155" w:firstLineChars="74"/>
        <w:textAlignment w:val="auto"/>
      </w:pPr>
      <w:r>
        <w:br w:type="page"/>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7"/>
        <w:gridCol w:w="1361"/>
        <w:gridCol w:w="1361"/>
        <w:gridCol w:w="1191"/>
        <w:gridCol w:w="3969"/>
      </w:tblGrid>
      <w:tr w14:paraId="331AD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57" w:type="dxa"/>
            <w:shd w:val="clear" w:color="auto" w:fill="2F5F8F"/>
            <w:vAlign w:val="center"/>
          </w:tcPr>
          <w:p w14:paraId="3198DE0A">
            <w:pPr>
              <w:keepNext w:val="0"/>
              <w:keepLines w:val="0"/>
              <w:pageBreakBefore w:val="0"/>
              <w:widowControl/>
              <w:kinsoku/>
              <w:wordWrap/>
              <w:overflowPunct/>
              <w:topLinePunct w:val="0"/>
              <w:autoSpaceDE/>
              <w:autoSpaceDN/>
              <w:bidi w:val="0"/>
              <w:adjustRightInd/>
              <w:snapToGrid/>
              <w:spacing w:after="64" w:line="308" w:lineRule="auto"/>
              <w:ind w:left="0" w:right="0" w:firstLine="126" w:firstLineChars="74"/>
              <w:jc w:val="center"/>
              <w:textAlignment w:val="auto"/>
            </w:pPr>
            <w:r>
              <w:rPr>
                <w:rFonts w:ascii="宋体" w:hAnsi="宋体" w:eastAsia="宋体"/>
                <w:b/>
                <w:color w:val="FFFFFF"/>
                <w:sz w:val="17"/>
              </w:rPr>
              <w:t>查询/场景</w:t>
            </w:r>
          </w:p>
        </w:tc>
        <w:tc>
          <w:tcPr>
            <w:tcW w:w="1361" w:type="dxa"/>
            <w:shd w:val="clear" w:color="auto" w:fill="2F5F8F"/>
            <w:vAlign w:val="center"/>
          </w:tcPr>
          <w:p w14:paraId="1D760729">
            <w:pPr>
              <w:keepNext w:val="0"/>
              <w:keepLines w:val="0"/>
              <w:pageBreakBefore w:val="0"/>
              <w:widowControl/>
              <w:kinsoku/>
              <w:wordWrap/>
              <w:overflowPunct/>
              <w:topLinePunct w:val="0"/>
              <w:autoSpaceDE/>
              <w:autoSpaceDN/>
              <w:bidi w:val="0"/>
              <w:adjustRightInd/>
              <w:snapToGrid/>
              <w:spacing w:after="64" w:line="308" w:lineRule="auto"/>
              <w:ind w:left="0" w:right="0" w:firstLine="126" w:firstLineChars="74"/>
              <w:jc w:val="center"/>
              <w:textAlignment w:val="auto"/>
            </w:pPr>
            <w:r>
              <w:rPr>
                <w:rFonts w:ascii="宋体" w:hAnsi="宋体" w:eastAsia="宋体"/>
                <w:b/>
                <w:color w:val="FFFFFF"/>
                <w:sz w:val="17"/>
              </w:rPr>
              <w:t>估计行数</w:t>
            </w:r>
          </w:p>
        </w:tc>
        <w:tc>
          <w:tcPr>
            <w:tcW w:w="1361" w:type="dxa"/>
            <w:shd w:val="clear" w:color="auto" w:fill="2F5F8F"/>
            <w:vAlign w:val="center"/>
          </w:tcPr>
          <w:p w14:paraId="17320444">
            <w:pPr>
              <w:keepNext w:val="0"/>
              <w:keepLines w:val="0"/>
              <w:pageBreakBefore w:val="0"/>
              <w:widowControl/>
              <w:kinsoku/>
              <w:wordWrap/>
              <w:overflowPunct/>
              <w:topLinePunct w:val="0"/>
              <w:autoSpaceDE/>
              <w:autoSpaceDN/>
              <w:bidi w:val="0"/>
              <w:adjustRightInd/>
              <w:snapToGrid/>
              <w:spacing w:after="64" w:line="308" w:lineRule="auto"/>
              <w:ind w:left="0" w:right="0" w:firstLine="126" w:firstLineChars="74"/>
              <w:jc w:val="center"/>
              <w:textAlignment w:val="auto"/>
            </w:pPr>
            <w:r>
              <w:rPr>
                <w:rFonts w:ascii="宋体" w:hAnsi="宋体" w:eastAsia="宋体"/>
                <w:b/>
                <w:color w:val="FFFFFF"/>
                <w:sz w:val="17"/>
              </w:rPr>
              <w:t>实际行数</w:t>
            </w:r>
          </w:p>
        </w:tc>
        <w:tc>
          <w:tcPr>
            <w:tcW w:w="1191" w:type="dxa"/>
            <w:shd w:val="clear" w:color="auto" w:fill="2F5F8F"/>
            <w:vAlign w:val="center"/>
          </w:tcPr>
          <w:p w14:paraId="56B0ACB0">
            <w:pPr>
              <w:keepNext w:val="0"/>
              <w:keepLines w:val="0"/>
              <w:pageBreakBefore w:val="0"/>
              <w:widowControl/>
              <w:kinsoku/>
              <w:wordWrap/>
              <w:overflowPunct/>
              <w:topLinePunct w:val="0"/>
              <w:autoSpaceDE/>
              <w:autoSpaceDN/>
              <w:bidi w:val="0"/>
              <w:adjustRightInd/>
              <w:snapToGrid/>
              <w:spacing w:after="64" w:line="308" w:lineRule="auto"/>
              <w:ind w:left="0" w:right="0" w:firstLine="126" w:firstLineChars="74"/>
              <w:jc w:val="center"/>
              <w:textAlignment w:val="auto"/>
            </w:pPr>
            <w:r>
              <w:rPr>
                <w:rFonts w:ascii="宋体" w:hAnsi="宋体" w:eastAsia="宋体"/>
                <w:b/>
                <w:color w:val="FFFFFF"/>
                <w:sz w:val="17"/>
              </w:rPr>
              <w:t>Q-error</w:t>
            </w:r>
          </w:p>
        </w:tc>
        <w:tc>
          <w:tcPr>
            <w:tcW w:w="3969" w:type="dxa"/>
            <w:shd w:val="clear" w:color="auto" w:fill="2F5F8F"/>
            <w:vAlign w:val="center"/>
          </w:tcPr>
          <w:p w14:paraId="1D2E638A">
            <w:pPr>
              <w:keepNext w:val="0"/>
              <w:keepLines w:val="0"/>
              <w:pageBreakBefore w:val="0"/>
              <w:widowControl/>
              <w:kinsoku/>
              <w:wordWrap/>
              <w:overflowPunct/>
              <w:topLinePunct w:val="0"/>
              <w:autoSpaceDE/>
              <w:autoSpaceDN/>
              <w:bidi w:val="0"/>
              <w:adjustRightInd/>
              <w:snapToGrid/>
              <w:spacing w:after="64" w:line="308" w:lineRule="auto"/>
              <w:ind w:left="0" w:right="0" w:firstLine="126" w:firstLineChars="74"/>
              <w:jc w:val="center"/>
              <w:textAlignment w:val="auto"/>
            </w:pPr>
            <w:r>
              <w:rPr>
                <w:rFonts w:ascii="宋体" w:hAnsi="宋体" w:eastAsia="宋体"/>
                <w:b/>
                <w:color w:val="FFFFFF"/>
                <w:sz w:val="17"/>
              </w:rPr>
              <w:t>主要观察</w:t>
            </w:r>
          </w:p>
        </w:tc>
      </w:tr>
      <w:tr w14:paraId="5065E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46D1210C">
            <w:pPr>
              <w:keepNext w:val="0"/>
              <w:keepLines w:val="0"/>
              <w:pageBreakBefore w:val="0"/>
              <w:widowControl/>
              <w:kinsoku/>
              <w:wordWrap/>
              <w:overflowPunct/>
              <w:topLinePunct w:val="0"/>
              <w:autoSpaceDE/>
              <w:autoSpaceDN/>
              <w:bidi w:val="0"/>
              <w:adjustRightInd/>
              <w:snapToGrid/>
              <w:spacing w:after="64" w:line="308" w:lineRule="auto"/>
              <w:ind w:left="0" w:right="0" w:firstLine="118" w:firstLineChars="74"/>
              <w:jc w:val="left"/>
              <w:textAlignment w:val="auto"/>
            </w:pPr>
            <w:r>
              <w:rPr>
                <w:rFonts w:ascii="宋体" w:hAnsi="宋体" w:eastAsia="宋体"/>
                <w:b w:val="0"/>
                <w:sz w:val="16"/>
              </w:rPr>
              <w:t>T09 三表连接</w:t>
            </w:r>
          </w:p>
        </w:tc>
        <w:tc>
          <w:tcPr>
            <w:tcW w:w="1361" w:type="dxa"/>
            <w:vAlign w:val="center"/>
          </w:tcPr>
          <w:p w14:paraId="5CBE2580">
            <w:pPr>
              <w:keepNext w:val="0"/>
              <w:keepLines w:val="0"/>
              <w:pageBreakBefore w:val="0"/>
              <w:widowControl/>
              <w:kinsoku/>
              <w:wordWrap/>
              <w:overflowPunct/>
              <w:topLinePunct w:val="0"/>
              <w:autoSpaceDE/>
              <w:autoSpaceDN/>
              <w:bidi w:val="0"/>
              <w:adjustRightInd/>
              <w:snapToGrid/>
              <w:spacing w:after="64" w:line="308" w:lineRule="auto"/>
              <w:ind w:left="0" w:right="0" w:firstLine="118" w:firstLineChars="74"/>
              <w:jc w:val="left"/>
              <w:textAlignment w:val="auto"/>
            </w:pPr>
            <w:r>
              <w:rPr>
                <w:rFonts w:ascii="宋体" w:hAnsi="宋体" w:eastAsia="宋体"/>
                <w:b w:val="0"/>
                <w:sz w:val="16"/>
              </w:rPr>
              <w:t>316,503</w:t>
            </w:r>
          </w:p>
        </w:tc>
        <w:tc>
          <w:tcPr>
            <w:tcW w:w="1361" w:type="dxa"/>
            <w:vAlign w:val="center"/>
          </w:tcPr>
          <w:p w14:paraId="4A36193F">
            <w:pPr>
              <w:keepNext w:val="0"/>
              <w:keepLines w:val="0"/>
              <w:pageBreakBefore w:val="0"/>
              <w:widowControl/>
              <w:kinsoku/>
              <w:wordWrap/>
              <w:overflowPunct/>
              <w:topLinePunct w:val="0"/>
              <w:autoSpaceDE/>
              <w:autoSpaceDN/>
              <w:bidi w:val="0"/>
              <w:adjustRightInd/>
              <w:snapToGrid/>
              <w:spacing w:after="64" w:line="308" w:lineRule="auto"/>
              <w:ind w:left="0" w:right="0" w:firstLine="118" w:firstLineChars="74"/>
              <w:jc w:val="left"/>
              <w:textAlignment w:val="auto"/>
            </w:pPr>
            <w:r>
              <w:rPr>
                <w:rFonts w:ascii="宋体" w:hAnsi="宋体" w:eastAsia="宋体"/>
                <w:b w:val="0"/>
                <w:sz w:val="16"/>
              </w:rPr>
              <w:t>30,519</w:t>
            </w:r>
          </w:p>
        </w:tc>
        <w:tc>
          <w:tcPr>
            <w:tcW w:w="1191" w:type="dxa"/>
            <w:vAlign w:val="center"/>
          </w:tcPr>
          <w:p w14:paraId="6CF8AD76">
            <w:pPr>
              <w:keepNext w:val="0"/>
              <w:keepLines w:val="0"/>
              <w:pageBreakBefore w:val="0"/>
              <w:widowControl/>
              <w:kinsoku/>
              <w:wordWrap/>
              <w:overflowPunct/>
              <w:topLinePunct w:val="0"/>
              <w:autoSpaceDE/>
              <w:autoSpaceDN/>
              <w:bidi w:val="0"/>
              <w:adjustRightInd/>
              <w:snapToGrid/>
              <w:spacing w:after="64" w:line="308" w:lineRule="auto"/>
              <w:ind w:left="0" w:right="0" w:firstLine="118" w:firstLineChars="74"/>
              <w:jc w:val="left"/>
              <w:textAlignment w:val="auto"/>
            </w:pPr>
            <w:r>
              <w:rPr>
                <w:rFonts w:ascii="宋体" w:hAnsi="宋体" w:eastAsia="宋体"/>
                <w:b w:val="0"/>
                <w:sz w:val="16"/>
              </w:rPr>
              <w:t>10.371</w:t>
            </w:r>
          </w:p>
        </w:tc>
        <w:tc>
          <w:tcPr>
            <w:tcW w:w="3969" w:type="dxa"/>
            <w:vAlign w:val="center"/>
          </w:tcPr>
          <w:p w14:paraId="2F0F1271">
            <w:pPr>
              <w:keepNext w:val="0"/>
              <w:keepLines w:val="0"/>
              <w:pageBreakBefore w:val="0"/>
              <w:widowControl/>
              <w:kinsoku/>
              <w:wordWrap/>
              <w:overflowPunct/>
              <w:topLinePunct w:val="0"/>
              <w:autoSpaceDE/>
              <w:autoSpaceDN/>
              <w:bidi w:val="0"/>
              <w:adjustRightInd/>
              <w:snapToGrid/>
              <w:spacing w:after="64" w:line="308" w:lineRule="auto"/>
              <w:ind w:left="0" w:right="0" w:firstLine="118" w:firstLineChars="74"/>
              <w:jc w:val="left"/>
              <w:textAlignment w:val="auto"/>
            </w:pPr>
            <w:r>
              <w:rPr>
                <w:rFonts w:ascii="宋体" w:hAnsi="宋体" w:eastAsia="宋体"/>
                <w:b w:val="0"/>
                <w:sz w:val="16"/>
              </w:rPr>
              <w:t>底层节点基本准确，误差集中在顶层 Join</w:t>
            </w:r>
          </w:p>
        </w:tc>
      </w:tr>
      <w:tr w14:paraId="70EAC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shd w:val="clear" w:color="auto" w:fill="F5F7FA"/>
            <w:vAlign w:val="center"/>
          </w:tcPr>
          <w:p w14:paraId="33898EC3">
            <w:pPr>
              <w:keepNext w:val="0"/>
              <w:keepLines w:val="0"/>
              <w:pageBreakBefore w:val="0"/>
              <w:widowControl/>
              <w:kinsoku/>
              <w:wordWrap/>
              <w:overflowPunct/>
              <w:topLinePunct w:val="0"/>
              <w:autoSpaceDE/>
              <w:autoSpaceDN/>
              <w:bidi w:val="0"/>
              <w:adjustRightInd/>
              <w:snapToGrid/>
              <w:spacing w:after="64" w:line="308" w:lineRule="auto"/>
              <w:ind w:left="0" w:right="0" w:firstLine="118" w:firstLineChars="74"/>
              <w:jc w:val="left"/>
              <w:textAlignment w:val="auto"/>
            </w:pPr>
            <w:r>
              <w:rPr>
                <w:rFonts w:ascii="宋体" w:hAnsi="宋体" w:eastAsia="宋体"/>
                <w:b w:val="0"/>
                <w:sz w:val="16"/>
              </w:rPr>
              <w:t>T11 五表连接</w:t>
            </w:r>
          </w:p>
        </w:tc>
        <w:tc>
          <w:tcPr>
            <w:tcW w:w="1361" w:type="dxa"/>
            <w:shd w:val="clear" w:color="auto" w:fill="F5F7FA"/>
            <w:vAlign w:val="center"/>
          </w:tcPr>
          <w:p w14:paraId="7DCDA6FA">
            <w:pPr>
              <w:keepNext w:val="0"/>
              <w:keepLines w:val="0"/>
              <w:pageBreakBefore w:val="0"/>
              <w:widowControl/>
              <w:kinsoku/>
              <w:wordWrap/>
              <w:overflowPunct/>
              <w:topLinePunct w:val="0"/>
              <w:autoSpaceDE/>
              <w:autoSpaceDN/>
              <w:bidi w:val="0"/>
              <w:adjustRightInd/>
              <w:snapToGrid/>
              <w:spacing w:after="64" w:line="308" w:lineRule="auto"/>
              <w:ind w:left="0" w:right="0" w:firstLine="118" w:firstLineChars="74"/>
              <w:jc w:val="left"/>
              <w:textAlignment w:val="auto"/>
            </w:pPr>
            <w:r>
              <w:rPr>
                <w:rFonts w:ascii="宋体" w:hAnsi="宋体" w:eastAsia="宋体"/>
                <w:b w:val="0"/>
                <w:sz w:val="16"/>
              </w:rPr>
              <w:t>182,589</w:t>
            </w:r>
          </w:p>
        </w:tc>
        <w:tc>
          <w:tcPr>
            <w:tcW w:w="1361" w:type="dxa"/>
            <w:shd w:val="clear" w:color="auto" w:fill="F5F7FA"/>
            <w:vAlign w:val="center"/>
          </w:tcPr>
          <w:p w14:paraId="299A658B">
            <w:pPr>
              <w:keepNext w:val="0"/>
              <w:keepLines w:val="0"/>
              <w:pageBreakBefore w:val="0"/>
              <w:widowControl/>
              <w:kinsoku/>
              <w:wordWrap/>
              <w:overflowPunct/>
              <w:topLinePunct w:val="0"/>
              <w:autoSpaceDE/>
              <w:autoSpaceDN/>
              <w:bidi w:val="0"/>
              <w:adjustRightInd/>
              <w:snapToGrid/>
              <w:spacing w:after="64" w:line="308" w:lineRule="auto"/>
              <w:ind w:left="0" w:right="0" w:firstLine="118" w:firstLineChars="74"/>
              <w:jc w:val="left"/>
              <w:textAlignment w:val="auto"/>
            </w:pPr>
            <w:r>
              <w:rPr>
                <w:rFonts w:ascii="宋体" w:hAnsi="宋体" w:eastAsia="宋体"/>
                <w:b w:val="0"/>
                <w:sz w:val="16"/>
              </w:rPr>
              <w:t>184,082</w:t>
            </w:r>
          </w:p>
        </w:tc>
        <w:tc>
          <w:tcPr>
            <w:tcW w:w="1191" w:type="dxa"/>
            <w:shd w:val="clear" w:color="auto" w:fill="F5F7FA"/>
            <w:vAlign w:val="center"/>
          </w:tcPr>
          <w:p w14:paraId="491BD15C">
            <w:pPr>
              <w:keepNext w:val="0"/>
              <w:keepLines w:val="0"/>
              <w:pageBreakBefore w:val="0"/>
              <w:widowControl/>
              <w:kinsoku/>
              <w:wordWrap/>
              <w:overflowPunct/>
              <w:topLinePunct w:val="0"/>
              <w:autoSpaceDE/>
              <w:autoSpaceDN/>
              <w:bidi w:val="0"/>
              <w:adjustRightInd/>
              <w:snapToGrid/>
              <w:spacing w:after="64" w:line="308" w:lineRule="auto"/>
              <w:ind w:left="0" w:right="0" w:firstLine="118" w:firstLineChars="74"/>
              <w:jc w:val="left"/>
              <w:textAlignment w:val="auto"/>
            </w:pPr>
            <w:r>
              <w:rPr>
                <w:rFonts w:ascii="宋体" w:hAnsi="宋体" w:eastAsia="宋体"/>
                <w:b w:val="0"/>
                <w:sz w:val="16"/>
              </w:rPr>
              <w:t>1.008</w:t>
            </w:r>
          </w:p>
        </w:tc>
        <w:tc>
          <w:tcPr>
            <w:tcW w:w="3969" w:type="dxa"/>
            <w:shd w:val="clear" w:color="auto" w:fill="F5F7FA"/>
            <w:vAlign w:val="center"/>
          </w:tcPr>
          <w:p w14:paraId="71B87FC5">
            <w:pPr>
              <w:keepNext w:val="0"/>
              <w:keepLines w:val="0"/>
              <w:pageBreakBefore w:val="0"/>
              <w:widowControl/>
              <w:kinsoku/>
              <w:wordWrap/>
              <w:overflowPunct/>
              <w:topLinePunct w:val="0"/>
              <w:autoSpaceDE/>
              <w:autoSpaceDN/>
              <w:bidi w:val="0"/>
              <w:adjustRightInd/>
              <w:snapToGrid/>
              <w:spacing w:after="64" w:line="308" w:lineRule="auto"/>
              <w:ind w:left="0" w:right="0" w:firstLine="118" w:firstLineChars="74"/>
              <w:jc w:val="left"/>
              <w:textAlignment w:val="auto"/>
            </w:pPr>
            <w:r>
              <w:rPr>
                <w:rFonts w:ascii="宋体" w:hAnsi="宋体" w:eastAsia="宋体"/>
                <w:b w:val="0"/>
                <w:sz w:val="16"/>
              </w:rPr>
              <w:t>根节点非常准确，但局部 n_distinct 采样仍影响内层工作量估计</w:t>
            </w:r>
          </w:p>
        </w:tc>
      </w:tr>
      <w:tr w14:paraId="3064D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3090FE32">
            <w:pPr>
              <w:keepNext w:val="0"/>
              <w:keepLines w:val="0"/>
              <w:pageBreakBefore w:val="0"/>
              <w:widowControl/>
              <w:kinsoku/>
              <w:wordWrap/>
              <w:overflowPunct/>
              <w:topLinePunct w:val="0"/>
              <w:autoSpaceDE/>
              <w:autoSpaceDN/>
              <w:bidi w:val="0"/>
              <w:adjustRightInd/>
              <w:snapToGrid/>
              <w:spacing w:after="64" w:line="308" w:lineRule="auto"/>
              <w:ind w:left="0" w:right="0" w:firstLine="118" w:firstLineChars="74"/>
              <w:jc w:val="left"/>
              <w:textAlignment w:val="auto"/>
            </w:pPr>
            <w:r>
              <w:rPr>
                <w:rFonts w:ascii="宋体" w:hAnsi="宋体" w:eastAsia="宋体"/>
                <w:b w:val="0"/>
                <w:sz w:val="16"/>
              </w:rPr>
              <w:t>S16 同表强相关</w:t>
            </w:r>
          </w:p>
        </w:tc>
        <w:tc>
          <w:tcPr>
            <w:tcW w:w="1361" w:type="dxa"/>
            <w:vAlign w:val="center"/>
          </w:tcPr>
          <w:p w14:paraId="195CB858">
            <w:pPr>
              <w:keepNext w:val="0"/>
              <w:keepLines w:val="0"/>
              <w:pageBreakBefore w:val="0"/>
              <w:widowControl/>
              <w:kinsoku/>
              <w:wordWrap/>
              <w:overflowPunct/>
              <w:topLinePunct w:val="0"/>
              <w:autoSpaceDE/>
              <w:autoSpaceDN/>
              <w:bidi w:val="0"/>
              <w:adjustRightInd/>
              <w:snapToGrid/>
              <w:spacing w:after="64" w:line="308" w:lineRule="auto"/>
              <w:ind w:left="0" w:right="0" w:firstLine="118" w:firstLineChars="74"/>
              <w:jc w:val="left"/>
              <w:textAlignment w:val="auto"/>
            </w:pPr>
            <w:r>
              <w:rPr>
                <w:rFonts w:ascii="宋体" w:hAnsi="宋体" w:eastAsia="宋体"/>
                <w:b w:val="0"/>
                <w:sz w:val="16"/>
              </w:rPr>
              <w:t>30 → 3,000</w:t>
            </w:r>
          </w:p>
        </w:tc>
        <w:tc>
          <w:tcPr>
            <w:tcW w:w="1361" w:type="dxa"/>
            <w:vAlign w:val="center"/>
          </w:tcPr>
          <w:p w14:paraId="42FEBECD">
            <w:pPr>
              <w:keepNext w:val="0"/>
              <w:keepLines w:val="0"/>
              <w:pageBreakBefore w:val="0"/>
              <w:widowControl/>
              <w:kinsoku/>
              <w:wordWrap/>
              <w:overflowPunct/>
              <w:topLinePunct w:val="0"/>
              <w:autoSpaceDE/>
              <w:autoSpaceDN/>
              <w:bidi w:val="0"/>
              <w:adjustRightInd/>
              <w:snapToGrid/>
              <w:spacing w:after="64" w:line="308" w:lineRule="auto"/>
              <w:ind w:left="0" w:right="0" w:firstLine="118" w:firstLineChars="74"/>
              <w:jc w:val="left"/>
              <w:textAlignment w:val="auto"/>
            </w:pPr>
            <w:r>
              <w:rPr>
                <w:rFonts w:ascii="宋体" w:hAnsi="宋体" w:eastAsia="宋体"/>
                <w:b w:val="0"/>
                <w:sz w:val="16"/>
              </w:rPr>
              <w:t>3,000</w:t>
            </w:r>
          </w:p>
        </w:tc>
        <w:tc>
          <w:tcPr>
            <w:tcW w:w="1191" w:type="dxa"/>
            <w:vAlign w:val="center"/>
          </w:tcPr>
          <w:p w14:paraId="1A1914A1">
            <w:pPr>
              <w:keepNext w:val="0"/>
              <w:keepLines w:val="0"/>
              <w:pageBreakBefore w:val="0"/>
              <w:widowControl/>
              <w:kinsoku/>
              <w:wordWrap/>
              <w:overflowPunct/>
              <w:topLinePunct w:val="0"/>
              <w:autoSpaceDE/>
              <w:autoSpaceDN/>
              <w:bidi w:val="0"/>
              <w:adjustRightInd/>
              <w:snapToGrid/>
              <w:spacing w:after="64" w:line="308" w:lineRule="auto"/>
              <w:ind w:left="0" w:right="0" w:firstLine="118" w:firstLineChars="74"/>
              <w:jc w:val="left"/>
              <w:textAlignment w:val="auto"/>
            </w:pPr>
            <w:r>
              <w:rPr>
                <w:rFonts w:ascii="宋体" w:hAnsi="宋体" w:eastAsia="宋体"/>
                <w:b w:val="0"/>
                <w:sz w:val="16"/>
              </w:rPr>
              <w:t>100 → 1</w:t>
            </w:r>
          </w:p>
        </w:tc>
        <w:tc>
          <w:tcPr>
            <w:tcW w:w="3969" w:type="dxa"/>
            <w:vAlign w:val="center"/>
          </w:tcPr>
          <w:p w14:paraId="429C5EF1">
            <w:pPr>
              <w:keepNext w:val="0"/>
              <w:keepLines w:val="0"/>
              <w:pageBreakBefore w:val="0"/>
              <w:widowControl/>
              <w:kinsoku/>
              <w:wordWrap/>
              <w:overflowPunct/>
              <w:topLinePunct w:val="0"/>
              <w:autoSpaceDE/>
              <w:autoSpaceDN/>
              <w:bidi w:val="0"/>
              <w:adjustRightInd/>
              <w:snapToGrid/>
              <w:spacing w:after="64" w:line="308" w:lineRule="auto"/>
              <w:ind w:left="0" w:right="0" w:firstLine="118" w:firstLineChars="74"/>
              <w:jc w:val="left"/>
              <w:textAlignment w:val="auto"/>
            </w:pPr>
            <w:r>
              <w:rPr>
                <w:rFonts w:ascii="宋体" w:hAnsi="宋体" w:eastAsia="宋体"/>
                <w:b w:val="0"/>
                <w:sz w:val="16"/>
              </w:rPr>
              <w:t>Extended Statistics 能修正同表联合关系</w:t>
            </w:r>
          </w:p>
        </w:tc>
      </w:tr>
      <w:tr w14:paraId="7C935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shd w:val="clear" w:color="auto" w:fill="F5F7FA"/>
            <w:vAlign w:val="center"/>
          </w:tcPr>
          <w:p w14:paraId="4F236A3B">
            <w:pPr>
              <w:keepNext w:val="0"/>
              <w:keepLines w:val="0"/>
              <w:pageBreakBefore w:val="0"/>
              <w:widowControl/>
              <w:kinsoku/>
              <w:wordWrap/>
              <w:overflowPunct/>
              <w:topLinePunct w:val="0"/>
              <w:autoSpaceDE/>
              <w:autoSpaceDN/>
              <w:bidi w:val="0"/>
              <w:adjustRightInd/>
              <w:snapToGrid/>
              <w:spacing w:after="64" w:line="308" w:lineRule="auto"/>
              <w:ind w:left="0" w:right="0" w:firstLine="118" w:firstLineChars="74"/>
              <w:jc w:val="left"/>
              <w:textAlignment w:val="auto"/>
            </w:pPr>
            <w:r>
              <w:rPr>
                <w:rFonts w:ascii="宋体" w:hAnsi="宋体" w:eastAsia="宋体"/>
                <w:b w:val="0"/>
                <w:sz w:val="16"/>
              </w:rPr>
              <w:t>S19 倾斜稀有组合</w:t>
            </w:r>
          </w:p>
        </w:tc>
        <w:tc>
          <w:tcPr>
            <w:tcW w:w="1361" w:type="dxa"/>
            <w:shd w:val="clear" w:color="auto" w:fill="F5F7FA"/>
            <w:vAlign w:val="center"/>
          </w:tcPr>
          <w:p w14:paraId="158D221B">
            <w:pPr>
              <w:keepNext w:val="0"/>
              <w:keepLines w:val="0"/>
              <w:pageBreakBefore w:val="0"/>
              <w:widowControl/>
              <w:kinsoku/>
              <w:wordWrap/>
              <w:overflowPunct/>
              <w:topLinePunct w:val="0"/>
              <w:autoSpaceDE/>
              <w:autoSpaceDN/>
              <w:bidi w:val="0"/>
              <w:adjustRightInd/>
              <w:snapToGrid/>
              <w:spacing w:after="64" w:line="308" w:lineRule="auto"/>
              <w:ind w:left="0" w:right="0" w:firstLine="118" w:firstLineChars="74"/>
              <w:jc w:val="left"/>
              <w:textAlignment w:val="auto"/>
            </w:pPr>
            <w:r>
              <w:rPr>
                <w:rFonts w:ascii="宋体" w:hAnsi="宋体" w:eastAsia="宋体"/>
                <w:b w:val="0"/>
                <w:sz w:val="16"/>
              </w:rPr>
              <w:t>8 → 1,515</w:t>
            </w:r>
          </w:p>
        </w:tc>
        <w:tc>
          <w:tcPr>
            <w:tcW w:w="1361" w:type="dxa"/>
            <w:shd w:val="clear" w:color="auto" w:fill="F5F7FA"/>
            <w:vAlign w:val="center"/>
          </w:tcPr>
          <w:p w14:paraId="4A4B5590">
            <w:pPr>
              <w:keepNext w:val="0"/>
              <w:keepLines w:val="0"/>
              <w:pageBreakBefore w:val="0"/>
              <w:widowControl/>
              <w:kinsoku/>
              <w:wordWrap/>
              <w:overflowPunct/>
              <w:topLinePunct w:val="0"/>
              <w:autoSpaceDE/>
              <w:autoSpaceDN/>
              <w:bidi w:val="0"/>
              <w:adjustRightInd/>
              <w:snapToGrid/>
              <w:spacing w:after="64" w:line="308" w:lineRule="auto"/>
              <w:ind w:left="0" w:right="0" w:firstLine="118" w:firstLineChars="74"/>
              <w:jc w:val="left"/>
              <w:textAlignment w:val="auto"/>
            </w:pPr>
            <w:r>
              <w:rPr>
                <w:rFonts w:ascii="宋体" w:hAnsi="宋体" w:eastAsia="宋体"/>
                <w:b w:val="0"/>
                <w:sz w:val="16"/>
              </w:rPr>
              <w:t>1,515</w:t>
            </w:r>
          </w:p>
        </w:tc>
        <w:tc>
          <w:tcPr>
            <w:tcW w:w="1191" w:type="dxa"/>
            <w:shd w:val="clear" w:color="auto" w:fill="F5F7FA"/>
            <w:vAlign w:val="center"/>
          </w:tcPr>
          <w:p w14:paraId="63A479D0">
            <w:pPr>
              <w:keepNext w:val="0"/>
              <w:keepLines w:val="0"/>
              <w:pageBreakBefore w:val="0"/>
              <w:widowControl/>
              <w:kinsoku/>
              <w:wordWrap/>
              <w:overflowPunct/>
              <w:topLinePunct w:val="0"/>
              <w:autoSpaceDE/>
              <w:autoSpaceDN/>
              <w:bidi w:val="0"/>
              <w:adjustRightInd/>
              <w:snapToGrid/>
              <w:spacing w:after="64" w:line="308" w:lineRule="auto"/>
              <w:ind w:left="0" w:right="0" w:firstLine="118" w:firstLineChars="74"/>
              <w:jc w:val="left"/>
              <w:textAlignment w:val="auto"/>
            </w:pPr>
            <w:r>
              <w:rPr>
                <w:rFonts w:ascii="宋体" w:hAnsi="宋体" w:eastAsia="宋体"/>
                <w:b w:val="0"/>
                <w:sz w:val="16"/>
              </w:rPr>
              <w:t>189.375 → 1</w:t>
            </w:r>
          </w:p>
        </w:tc>
        <w:tc>
          <w:tcPr>
            <w:tcW w:w="3969" w:type="dxa"/>
            <w:shd w:val="clear" w:color="auto" w:fill="F5F7FA"/>
            <w:vAlign w:val="center"/>
          </w:tcPr>
          <w:p w14:paraId="42068D3C">
            <w:pPr>
              <w:keepNext w:val="0"/>
              <w:keepLines w:val="0"/>
              <w:pageBreakBefore w:val="0"/>
              <w:widowControl/>
              <w:kinsoku/>
              <w:wordWrap/>
              <w:overflowPunct/>
              <w:topLinePunct w:val="0"/>
              <w:autoSpaceDE/>
              <w:autoSpaceDN/>
              <w:bidi w:val="0"/>
              <w:adjustRightInd/>
              <w:snapToGrid/>
              <w:spacing w:after="64" w:line="308" w:lineRule="auto"/>
              <w:ind w:left="0" w:right="0" w:firstLine="118" w:firstLineChars="74"/>
              <w:jc w:val="left"/>
              <w:textAlignment w:val="auto"/>
            </w:pPr>
            <w:r>
              <w:rPr>
                <w:rFonts w:ascii="宋体" w:hAnsi="宋体" w:eastAsia="宋体"/>
                <w:b w:val="0"/>
                <w:sz w:val="16"/>
              </w:rPr>
              <w:t>单列频率不足以表达稀有组合，扩展统计修正明显</w:t>
            </w:r>
          </w:p>
        </w:tc>
      </w:tr>
      <w:tr w14:paraId="4EDDD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3C020466">
            <w:pPr>
              <w:keepNext w:val="0"/>
              <w:keepLines w:val="0"/>
              <w:pageBreakBefore w:val="0"/>
              <w:widowControl/>
              <w:kinsoku/>
              <w:wordWrap/>
              <w:overflowPunct/>
              <w:topLinePunct w:val="0"/>
              <w:autoSpaceDE/>
              <w:autoSpaceDN/>
              <w:bidi w:val="0"/>
              <w:adjustRightInd/>
              <w:snapToGrid/>
              <w:spacing w:after="64" w:line="308" w:lineRule="auto"/>
              <w:ind w:left="0" w:right="0" w:firstLine="118" w:firstLineChars="74"/>
              <w:jc w:val="left"/>
              <w:textAlignment w:val="auto"/>
            </w:pPr>
            <w:r>
              <w:rPr>
                <w:rFonts w:ascii="宋体" w:hAnsi="宋体" w:eastAsia="宋体"/>
                <w:b w:val="0"/>
                <w:sz w:val="16"/>
              </w:rPr>
              <w:t>S20 跨表相关</w:t>
            </w:r>
          </w:p>
        </w:tc>
        <w:tc>
          <w:tcPr>
            <w:tcW w:w="1361" w:type="dxa"/>
            <w:vAlign w:val="center"/>
          </w:tcPr>
          <w:p w14:paraId="5D7CB491">
            <w:pPr>
              <w:keepNext w:val="0"/>
              <w:keepLines w:val="0"/>
              <w:pageBreakBefore w:val="0"/>
              <w:widowControl/>
              <w:kinsoku/>
              <w:wordWrap/>
              <w:overflowPunct/>
              <w:topLinePunct w:val="0"/>
              <w:autoSpaceDE/>
              <w:autoSpaceDN/>
              <w:bidi w:val="0"/>
              <w:adjustRightInd/>
              <w:snapToGrid/>
              <w:spacing w:after="64" w:line="308" w:lineRule="auto"/>
              <w:ind w:left="0" w:right="0" w:firstLine="118" w:firstLineChars="74"/>
              <w:jc w:val="left"/>
              <w:textAlignment w:val="auto"/>
            </w:pPr>
            <w:r>
              <w:rPr>
                <w:rFonts w:ascii="宋体" w:hAnsi="宋体" w:eastAsia="宋体"/>
                <w:b w:val="0"/>
                <w:sz w:val="16"/>
              </w:rPr>
              <w:t>30</w:t>
            </w:r>
          </w:p>
        </w:tc>
        <w:tc>
          <w:tcPr>
            <w:tcW w:w="1361" w:type="dxa"/>
            <w:vAlign w:val="center"/>
          </w:tcPr>
          <w:p w14:paraId="43E0291D">
            <w:pPr>
              <w:keepNext w:val="0"/>
              <w:keepLines w:val="0"/>
              <w:pageBreakBefore w:val="0"/>
              <w:widowControl/>
              <w:kinsoku/>
              <w:wordWrap/>
              <w:overflowPunct/>
              <w:topLinePunct w:val="0"/>
              <w:autoSpaceDE/>
              <w:autoSpaceDN/>
              <w:bidi w:val="0"/>
              <w:adjustRightInd/>
              <w:snapToGrid/>
              <w:spacing w:after="64" w:line="308" w:lineRule="auto"/>
              <w:ind w:left="0" w:right="0" w:firstLine="118" w:firstLineChars="74"/>
              <w:jc w:val="left"/>
              <w:textAlignment w:val="auto"/>
            </w:pPr>
            <w:r>
              <w:rPr>
                <w:rFonts w:ascii="宋体" w:hAnsi="宋体" w:eastAsia="宋体"/>
                <w:b w:val="0"/>
                <w:sz w:val="16"/>
              </w:rPr>
              <w:t>3,000</w:t>
            </w:r>
          </w:p>
        </w:tc>
        <w:tc>
          <w:tcPr>
            <w:tcW w:w="1191" w:type="dxa"/>
            <w:vAlign w:val="center"/>
          </w:tcPr>
          <w:p w14:paraId="2C5F6E1F">
            <w:pPr>
              <w:keepNext w:val="0"/>
              <w:keepLines w:val="0"/>
              <w:pageBreakBefore w:val="0"/>
              <w:widowControl/>
              <w:kinsoku/>
              <w:wordWrap/>
              <w:overflowPunct/>
              <w:topLinePunct w:val="0"/>
              <w:autoSpaceDE/>
              <w:autoSpaceDN/>
              <w:bidi w:val="0"/>
              <w:adjustRightInd/>
              <w:snapToGrid/>
              <w:spacing w:after="64" w:line="308" w:lineRule="auto"/>
              <w:ind w:left="0" w:right="0" w:firstLine="118" w:firstLineChars="74"/>
              <w:jc w:val="left"/>
              <w:textAlignment w:val="auto"/>
            </w:pPr>
            <w:r>
              <w:rPr>
                <w:rFonts w:ascii="宋体" w:hAnsi="宋体" w:eastAsia="宋体"/>
                <w:b w:val="0"/>
                <w:sz w:val="16"/>
              </w:rPr>
              <w:t>100</w:t>
            </w:r>
          </w:p>
        </w:tc>
        <w:tc>
          <w:tcPr>
            <w:tcW w:w="3969" w:type="dxa"/>
            <w:vAlign w:val="center"/>
          </w:tcPr>
          <w:p w14:paraId="6F427ECA">
            <w:pPr>
              <w:keepNext w:val="0"/>
              <w:keepLines w:val="0"/>
              <w:pageBreakBefore w:val="0"/>
              <w:widowControl/>
              <w:kinsoku/>
              <w:wordWrap/>
              <w:overflowPunct/>
              <w:topLinePunct w:val="0"/>
              <w:autoSpaceDE/>
              <w:autoSpaceDN/>
              <w:bidi w:val="0"/>
              <w:adjustRightInd/>
              <w:snapToGrid/>
              <w:spacing w:after="64" w:line="308" w:lineRule="auto"/>
              <w:ind w:left="0" w:right="0" w:firstLine="118" w:firstLineChars="74"/>
              <w:jc w:val="left"/>
              <w:textAlignment w:val="auto"/>
            </w:pPr>
            <w:r>
              <w:rPr>
                <w:rFonts w:ascii="宋体" w:hAnsi="宋体" w:eastAsia="宋体"/>
                <w:b w:val="0"/>
                <w:sz w:val="16"/>
              </w:rPr>
              <w:t>同表扩展统计无效，跨表联合关系仍不可见</w:t>
            </w:r>
          </w:p>
        </w:tc>
      </w:tr>
    </w:tbl>
    <w:p w14:paraId="0FF668BB">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因此，本报告将“传统统计是否失效”改写为一个更具体的问题：传统优化器已经能处理哪些关系，哪些关系仍然超出了现有统计结构的表达范围？沿着这个问题继续分析，可以把 S16/S19 与 S20/T09 分成两组。前一组说明传统数据库已经能够通过多列统计修正相当一部分同表相关问题；后一组则说明跨表相关和 Join 后联合关系仍然是明显难点。这个分界正好对应学习型基数估计从“单表联合分布”向“多表联合分布”和“查询驱动预测”发展的原因。</w:t>
      </w:r>
    </w:p>
    <w:p w14:paraId="0A8972F8">
      <w:pPr>
        <w:pStyle w:val="166"/>
        <w:keepNext w:val="0"/>
        <w:keepLines w:val="0"/>
        <w:pageBreakBefore w:val="0"/>
        <w:widowControl/>
        <w:kinsoku/>
        <w:wordWrap/>
        <w:overflowPunct/>
        <w:topLinePunct w:val="0"/>
        <w:autoSpaceDE/>
        <w:autoSpaceDN/>
        <w:bidi w:val="0"/>
        <w:adjustRightInd/>
        <w:snapToGrid/>
        <w:spacing w:before="0" w:after="64" w:line="308" w:lineRule="auto"/>
        <w:ind w:right="0"/>
        <w:textAlignment w:val="auto"/>
      </w:pPr>
      <w:r>
        <w:t>二、五个关键实验案例的详细分析</w:t>
      </w:r>
    </w:p>
    <w:p w14:paraId="753F5D9B">
      <w:pPr>
        <w:pStyle w:val="167"/>
        <w:keepNext w:val="0"/>
        <w:keepLines w:val="0"/>
        <w:pageBreakBefore w:val="0"/>
        <w:widowControl/>
        <w:kinsoku/>
        <w:wordWrap/>
        <w:overflowPunct/>
        <w:topLinePunct w:val="0"/>
        <w:autoSpaceDE/>
        <w:autoSpaceDN/>
        <w:bidi w:val="0"/>
        <w:adjustRightInd/>
        <w:snapToGrid/>
        <w:spacing w:before="0" w:after="64" w:line="308" w:lineRule="auto"/>
        <w:ind w:right="0"/>
        <w:textAlignment w:val="auto"/>
      </w:pPr>
      <w:r>
        <w:t>（一）S16：同表强相关——独立性假设为什么会把 3000 行估成 30 行</w:t>
      </w:r>
    </w:p>
    <w:p w14:paraId="273E549B">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S16 使用一个 30 万行的相关表，city 和 zipcode 都各有 100 种取值，并且每个单列取值都出现 3000 次。只看单列频率时，这张表与独立对照表没有明显区别；真正的差异在于两个字段之间的组合方式。在相关表中，city="C00" 与 zipcode="Z00" 几乎是绑定出现的，而不是随机组合。</w:t>
      </w:r>
    </w:p>
    <w:p w14:paraId="1E91C69A">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如果优化器把两个条件近似看成相互独立，就会分别得到 1/100 的选择率，再把两个选择率相乘：30 万 × 1/100 × 1/100 = 30。因此 PostgreSQL 基线阶段估计 30 行。实际数据中，一旦 city 已经等于 C00，zipcode 几乎就确定为 Z00，因此真实联合选择率更接近 1/100，结果是 3000 行。Q-error=100 并不是因为 PostgreSQL 不知道 C00 或 Z00 各自出现多少次，而是因为它没有在默认单列统计中保存“C00 与 Z00 是一起出现的”这一关系。</w:t>
      </w:r>
    </w:p>
    <w:p w14:paraId="0EEB4927">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创建同表 Extended Statistics 后，S16 的估计由 30 修正为 3000，Q-error 从 100 降到 1。这个结果说明，传统优化器并非只能依靠单列直方图。只要相关关系发生在同一张表内，而且数据库能够建立多列依赖统计，许多强相关问题就可以在不引入机器学习模型的情况下得到解决。S16 因此更适合作为一个“边界起点”：它告诉我们 AI 的价值不应简单建立在“属性相关”四个字上，而要继续寻找传统多列统计仍然看不到的关系。</w:t>
      </w:r>
    </w:p>
    <w:p w14:paraId="79CB9306">
      <w:pPr>
        <w:pStyle w:val="167"/>
        <w:keepNext w:val="0"/>
        <w:keepLines w:val="0"/>
        <w:pageBreakBefore w:val="0"/>
        <w:widowControl/>
        <w:kinsoku/>
        <w:wordWrap/>
        <w:overflowPunct/>
        <w:topLinePunct w:val="0"/>
        <w:autoSpaceDE/>
        <w:autoSpaceDN/>
        <w:bidi w:val="0"/>
        <w:adjustRightInd/>
        <w:snapToGrid/>
        <w:spacing w:before="0" w:after="64" w:line="308" w:lineRule="auto"/>
        <w:ind w:right="0"/>
        <w:textAlignment w:val="auto"/>
      </w:pPr>
      <w:r>
        <w:t>（二）S19：数据倾斜与相关性叠加——为什么稀有组合比热门组合更难估</w:t>
      </w:r>
    </w:p>
    <w:p w14:paraId="4CBD5DD3">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S19 来自一个明显倾斜的合成表。C00/Z00 是非常热门的组合，占据了大约一半数据；其余 99 个同号组合平分剩余数据。这样的设计让优化器同时面对两个问题：一方面不同取值的频率并不均匀，另一方面 city 与 zipcode 又不是独立的。</w:t>
      </w:r>
    </w:p>
    <w:p w14:paraId="7947CB90">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实验中，热门组合 S18 的估计为 75,000、实际 150,000，Q-error 为 2；而稀有组合 S19 的估计只有 8、实际为 1,515，Q-error 达到 189.375。二者来自同一张表，却出现了完全不同的误差幅度。原因在于 PostgreSQL 的单列统计能够识别非常热门的取值，因此热门组合至少不会被完全当成普通值；但对于大量稀有值，单列统计往往只能知道“这个值本身很少见”，仍然不知道两个稀有值之间存在稳定的联合关系。两个小概率再被近似相乘，就会得到过小的结果。</w:t>
      </w:r>
    </w:p>
    <w:p w14:paraId="52291551">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扩展统计加入后，S18 和 S19 都被修正到 Q-error=1。S19 的分析意义在于，它把“数据倾斜”和“列相关”区分开来：真正造成极端低估的不是倾斜本身，而是倾斜背景下的联合关系没有被表示。这也解释了为什么 DeepDB、BayesCard 等方法会把学习对象从单列频率推进到联合分布或依赖结构——它们试图让模型直接学习“哪些取值经常一起出现”，而不是在查询到来时再把多个单列概率机械相乘。</w:t>
      </w:r>
    </w:p>
    <w:p w14:paraId="5B874A97">
      <w:pPr>
        <w:pStyle w:val="167"/>
        <w:keepNext w:val="0"/>
        <w:keepLines w:val="0"/>
        <w:pageBreakBefore w:val="0"/>
        <w:widowControl/>
        <w:kinsoku/>
        <w:wordWrap/>
        <w:overflowPunct/>
        <w:topLinePunct w:val="0"/>
        <w:autoSpaceDE/>
        <w:autoSpaceDN/>
        <w:bidi w:val="0"/>
        <w:adjustRightInd/>
        <w:snapToGrid/>
        <w:spacing w:before="0" w:after="64" w:line="308" w:lineRule="auto"/>
        <w:ind w:right="0"/>
        <w:textAlignment w:val="auto"/>
      </w:pPr>
      <w:r>
        <w:t>（三）S20：跨表相关——单表统计全部正确，Join 仍然低估 100 倍</w:t>
      </w:r>
    </w:p>
    <w:p w14:paraId="06E0E434">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S20 是整个</w:t>
      </w:r>
      <w:r>
        <w:rPr>
          <w:rFonts w:hint="eastAsia"/>
          <w:lang w:val="en-US" w:eastAsia="zh-CN"/>
        </w:rPr>
        <w:t>AI方法对比</w:t>
      </w:r>
      <w:r>
        <w:t>部分最关键的案例。实验构造了 1 万名客户和 30 万笔订单，每名客户固定有 30 笔订单。客户表只保存 city，订单表只保存 zipcode，而且订单的 zipcode 与其客户的 city 编码保持一致。查询同时要求 customer.city="C00" 和 orders.zipcode="Z00"，再按 customer_id 连接两张表。</w:t>
      </w:r>
    </w:p>
    <w:p w14:paraId="601E1329">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单独看两侧过滤，PostgreSQL 完全估对：C00 客户估计 100 行、实际 100 行；Z00 订单估计 3000 行、实际 3000 行。但 Join 结果只估计 30 行，实际却有 3000 行。优化器相当于把 3000 笔 Z00 订单看成均匀分散在 1 万名客户上，因此认为 100 名 C00 客户只会接到其中约 1% 的订单，即 30 行。真实数据却是另一种结构：所有 Z00 订单恰好都属于 C00 客户，所以最终 3000 行全部保留下来。</w:t>
      </w:r>
    </w:p>
    <w:p w14:paraId="00740570">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这里最有价值的地方在于，两侧单表统计并没有错，真正缺失的是“客户城市”和“订单邮编”之间的跨表关系。即使在 orders 表内部建立 customer_id 与 zipcode 的扩展统计，也仍然无法直接表达 customer.city 与 orders.zipcode 的联合规律。实验中的三阶段对照非常清楚：S16 和 S19 在扩展统计后都降到 Q-error=1，而 S20 始终保持 Q-error=100，Cost 与 Hash Join 计划也保持不变。传统统计的边界因此被具体地划在了“跨表联合关系”这里。</w:t>
      </w:r>
    </w:p>
    <w:p w14:paraId="791B2103">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这一现象与 NeuroCard、DeepDB、FactorJoin 等方法的研究动机高度一致。它们虽然实现方式不同，但都试图让估计器看到比单表统计更完整的联合结构：NeuroCard 直接学习多表连接空间的分布，DeepDB 用概率模型描述数据之间的联合关系，FactorJoin 则把多表 Join 转化为一组概率因子的推断。S20 因而是</w:t>
      </w:r>
      <w:r>
        <w:rPr>
          <w:rFonts w:hint="eastAsia"/>
          <w:lang w:val="en-US" w:eastAsia="zh-CN"/>
        </w:rPr>
        <w:t>AI方法对比</w:t>
      </w:r>
      <w:r>
        <w:t>中最适合用来解释“为什么学习型多表 CE 会出现”的实验。</w:t>
      </w:r>
    </w:p>
    <w:p w14:paraId="24FB1EAE">
      <w:pPr>
        <w:keepNext w:val="0"/>
        <w:keepLines w:val="0"/>
        <w:pageBreakBefore w:val="0"/>
        <w:widowControl/>
        <w:kinsoku/>
        <w:wordWrap/>
        <w:overflowPunct/>
        <w:topLinePunct w:val="0"/>
        <w:autoSpaceDE/>
        <w:autoSpaceDN/>
        <w:bidi w:val="0"/>
        <w:adjustRightInd/>
        <w:snapToGrid/>
        <w:spacing w:after="64" w:line="308" w:lineRule="auto"/>
        <w:ind w:left="0" w:right="0" w:firstLine="155" w:firstLineChars="74"/>
        <w:jc w:val="center"/>
        <w:textAlignment w:val="auto"/>
      </w:pPr>
      <w:r>
        <w:drawing>
          <wp:inline distT="0" distB="0" distL="114300" distR="114300">
            <wp:extent cx="5615940" cy="277177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616000" cy="2771801"/>
                    </a:xfrm>
                    <a:prstGeom prst="rect">
                      <a:avLst/>
                    </a:prstGeom>
                  </pic:spPr>
                </pic:pic>
              </a:graphicData>
            </a:graphic>
          </wp:inline>
        </w:drawing>
      </w:r>
    </w:p>
    <w:p w14:paraId="31EBBD3A">
      <w:pPr>
        <w:keepNext w:val="0"/>
        <w:keepLines w:val="0"/>
        <w:pageBreakBefore w:val="0"/>
        <w:widowControl/>
        <w:kinsoku/>
        <w:wordWrap/>
        <w:overflowPunct/>
        <w:topLinePunct w:val="0"/>
        <w:autoSpaceDE/>
        <w:autoSpaceDN/>
        <w:bidi w:val="0"/>
        <w:adjustRightInd/>
        <w:snapToGrid/>
        <w:spacing w:after="64" w:line="308" w:lineRule="auto"/>
        <w:ind w:left="0" w:right="0" w:firstLine="133" w:firstLineChars="74"/>
        <w:jc w:val="center"/>
        <w:textAlignment w:val="auto"/>
      </w:pPr>
      <w:r>
        <w:rPr>
          <w:color w:val="5A5A5A"/>
          <w:sz w:val="18"/>
        </w:rPr>
        <w:t>图 1  同表扩展统计的修正效果及其跨表边界（B/C 实验图）</w:t>
      </w:r>
    </w:p>
    <w:p w14:paraId="1BE18AC0">
      <w:pPr>
        <w:pStyle w:val="167"/>
        <w:keepNext w:val="0"/>
        <w:keepLines w:val="0"/>
        <w:pageBreakBefore w:val="0"/>
        <w:widowControl/>
        <w:kinsoku/>
        <w:wordWrap/>
        <w:overflowPunct/>
        <w:topLinePunct w:val="0"/>
        <w:autoSpaceDE/>
        <w:autoSpaceDN/>
        <w:bidi w:val="0"/>
        <w:adjustRightInd/>
        <w:snapToGrid/>
        <w:spacing w:before="0" w:after="64" w:line="308" w:lineRule="auto"/>
        <w:ind w:right="0"/>
        <w:textAlignment w:val="auto"/>
      </w:pPr>
      <w:r>
        <w:t>（四）T09：误差并不是一路累积，而是在顶层 Join 处重新产生</w:t>
      </w:r>
    </w:p>
    <w:p w14:paraId="55C35E9C">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T09 是 TPC-H 派生查询中最有代表性的真实数据案例。该查询同时连接 customer、orders 和 lineitem，并带有客户类别、订单日期和发货日期条件。底层三个过滤节点都非常准确：lineitem 估计 3,247,322 行、实际 3,241,776 行；orders 估计 728,685 行、实际 727,305 行；customer 估计 30,095 行、实际 30,142 行。customer 与 orders 的中间 Hash Join 也几乎准确，估计 146,199 行、实际 147,126 行。</w:t>
      </w:r>
    </w:p>
    <w:p w14:paraId="0D269F23">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然而到了最上层 Join，估计突然变成 316,503 行，而实际只有 30,519 行，Q-error 达到 10.371。这个结果比“多表误差会层层放大”更值得分析，因为 T09 中并不存在明显的底层错误。误差是在把满足订单日期条件的 orders 与满足发货日期条件的 lineitem 连接起来时重新产生的。数据库需要判断两个筛选结果在 orderkey 上究竟有多少重合，而传统估计主要依赖连接键不同值数和近似均匀分布。</w:t>
      </w:r>
    </w:p>
    <w:p w14:paraId="038F758B">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从业务含义看，订单日期和发货日期不是互不相关的两个随机属性。发货发生在下单之后，因此“较早下单”和“较晚发货”之间存在时间关系。优化器分别估计两个条件时可以很准确，但在 Join 时若仍把两边满足条件的 orderkey 看成近似均匀重合，就会高估共同出现的订单数量。D 的节点级分析甚至可以把这个估计式复现出来：3,247,322 × 146,199 ÷ 1,500,000 ≈ 316,503，与 PostgreSQL 的 Plan Rows 基本一致。公式按它自己的假设算得没有问题，问题出在“两个筛选后的集合究竟怎样重合”这一信息没有被现有统计充分表达。</w:t>
      </w:r>
    </w:p>
    <w:p w14:paraId="0A57F208">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因此，T09 对应两类学习思路。第一类是 MSCN 这样的查询驱动方法，让模型从大量历史查询中直接学习“表、谓词、连接结构与最终基数之间的关系”；第二类是 NeuroCard、FactorJoin 这样的多表分布方法，直接把 Join 关系本身纳入建模。相比 S20 的人为强相关，T09 更接近真实业务数据，因此特别适合在汇报中说明：学习型 CE 的价值不只存在于合成数据上，真实数据库中也会出现“单表都准、Join 才错”的情况。</w:t>
      </w:r>
    </w:p>
    <w:p w14:paraId="103CC55B">
      <w:pPr>
        <w:pStyle w:val="167"/>
        <w:keepNext w:val="0"/>
        <w:keepLines w:val="0"/>
        <w:pageBreakBefore w:val="0"/>
        <w:widowControl/>
        <w:kinsoku/>
        <w:wordWrap/>
        <w:overflowPunct/>
        <w:topLinePunct w:val="0"/>
        <w:autoSpaceDE/>
        <w:autoSpaceDN/>
        <w:bidi w:val="0"/>
        <w:adjustRightInd/>
        <w:snapToGrid/>
        <w:spacing w:before="0" w:after="64" w:line="308" w:lineRule="auto"/>
        <w:ind w:right="0"/>
        <w:textAlignment w:val="auto"/>
      </w:pPr>
      <w:r>
        <w:t>（五）T11：总体结果准确，并不代表每一层统计都准确</w:t>
      </w:r>
    </w:p>
    <w:p w14:paraId="2F39328B">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T11 是一个五表连接查询，根节点 Estimated Rows 为 182,589，Actual Rows 为 184,082，Q-error 只有 1.008。从最终输出看，它几乎可以算作“估得很准”的例子。但 D 对执行计划向下拆解后发现，lineitem.l_orderkey 的 n_distinct 统计值约为 390,916，而根据 SF=1 数据和订单规模，真实不同订单键数量约为 150 万。这个采样差异会影响 Nested Loop 内层 Index Only Scan 的每循环工作量：计划估计约 15 行，实际约 4 行。</w:t>
      </w:r>
    </w:p>
    <w:p w14:paraId="296EE676">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T11 说明基数估计有两个层次：一是“最终返回多少行”，二是“为了得到这些行，中间节点要处理多少数据”。最终结果准确，并不意味着优化器对每个内部步骤的工作量都认识准确。某些误差可能在更高层被其他约束或主键统计抵消，所以根节点仍然接近真实值；但局部代价计算仍会受到影响。</w:t>
      </w:r>
    </w:p>
    <w:p w14:paraId="5930DF2F">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从 AI 方法角度看，T11 的启示不是“机器学习可以消灭采样误差”，而是学习型估计可以尝试把更多数据状态、查询结构和历史反馈综合起来，降低对某一个单独统计量的依赖。ALECE 这类方法将数据库当前数据状态和查询一起编码，就是这一方向的代表。T11 也提醒我们，评价 learned CE 时最好观察节点级结果和最终计划，而不仅仅看根节点的一个 Q-error。</w:t>
      </w:r>
    </w:p>
    <w:p w14:paraId="44797A42">
      <w:pPr>
        <w:pStyle w:val="167"/>
        <w:keepNext w:val="0"/>
        <w:keepLines w:val="0"/>
        <w:pageBreakBefore w:val="0"/>
        <w:widowControl/>
        <w:kinsoku/>
        <w:wordWrap/>
        <w:overflowPunct/>
        <w:topLinePunct w:val="0"/>
        <w:autoSpaceDE/>
        <w:autoSpaceDN/>
        <w:bidi w:val="0"/>
        <w:adjustRightInd/>
        <w:snapToGrid/>
        <w:spacing w:before="0" w:after="64" w:line="308" w:lineRule="auto"/>
        <w:ind w:right="0"/>
        <w:textAlignment w:val="auto"/>
      </w:pPr>
      <w:r>
        <w:t>（六）从 D 的计划分析继续往下看：为什么 100 倍误差有时也不会让查询变慢</w:t>
      </w:r>
    </w:p>
    <w:p w14:paraId="4044D4B5">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把 C 的 Q-error 结果与 D 的执行计划分析结合起来，会得到一个比“估计越准越好”更有解释力的结论：基数误差是否真正影响性能，取决于误差出现在什么位置，以及这个位置之后还有没有可选择的执行方案。S16 的 Q-error 从 100 降到 1，但合成表没有 city/zipcode 二级索引，访问方式始终只能是 Seq Scan，因此计划和 Cost 都没有变化。S20 的 100 倍误差发生在根节点，根节点之后已经没有新的 Join 或排序决策可被误导；同时该查询的绝大部分代价来自扫描 30 万行 orders，输出从 30 行变成 3</w:t>
      </w:r>
      <w:r>
        <w:rPr>
          <w:rFonts w:hint="eastAsia"/>
          <w:lang w:val="en-US" w:eastAsia="zh-CN"/>
        </w:rPr>
        <w:t xml:space="preserve"> </w:t>
      </w:r>
      <w:r>
        <w:t>000 行并不足以改变 Hash Join 的选择。</w:t>
      </w:r>
    </w:p>
    <w:p w14:paraId="30213D83">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T09 也有类似特点。10.371 倍误差发生在最上层 Hash Join，而 lineitem 扫描和下层 customer-orders Join 的估计都很准确。由于主要成本仍来自数百万行 lineitem 的顺序扫描，顶层输出规模的高估只占总代价中的较小部分，所以计划仍保持 Hash Join。换句话说，Q-error 描述的是“行数估计差了多少倍”，但查询性能还要继续经过 Cost 计算、候选计划比较和实际执行这几层。</w:t>
      </w:r>
    </w:p>
    <w:p w14:paraId="28A73A83">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因此，一个更适合本组实验的判断是：基数误差的影响取决于三个因素——误差有多大、误差出现得多早、后续还有多少计划选择空间。若 100 倍低估发生在一个还要继续与多张表连接的中间节点，就可能影响 Join Order、Join Algorithm 或内存预算；若同样的误差出现在根节点，或者当前只有一种访问路径，它对性能的影响就可能很小。这个结论也决定了</w:t>
      </w:r>
      <w:r>
        <w:rPr>
          <w:rFonts w:hint="eastAsia"/>
          <w:lang w:val="en-US" w:eastAsia="zh-CN"/>
        </w:rPr>
        <w:t>我们</w:t>
      </w:r>
      <w:r>
        <w:t>对 AI 方法的评价方式：除了 Q-error，还应关注模型是否真正帮助优化器选到了更合适的计划。</w:t>
      </w:r>
    </w:p>
    <w:p w14:paraId="53BD26D8">
      <w:pPr>
        <w:pStyle w:val="166"/>
        <w:keepNext w:val="0"/>
        <w:keepLines w:val="0"/>
        <w:pageBreakBefore w:val="0"/>
        <w:widowControl/>
        <w:kinsoku/>
        <w:wordWrap/>
        <w:overflowPunct/>
        <w:topLinePunct w:val="0"/>
        <w:autoSpaceDE/>
        <w:autoSpaceDN/>
        <w:bidi w:val="0"/>
        <w:adjustRightInd/>
        <w:snapToGrid/>
        <w:spacing w:before="0" w:after="64" w:line="308" w:lineRule="auto"/>
        <w:ind w:right="0"/>
        <w:textAlignment w:val="auto"/>
      </w:pPr>
      <w:r>
        <w:t>三、把实验现象翻译成 AI 方法要解决的任务</w:t>
      </w:r>
    </w:p>
    <w:p w14:paraId="0B3E5BE8">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五个案例放在一起后，可以把传统基数估计的困难分成四个层次。第一层是同表多列相关，S16/S19 已经证明 PostgreSQL 的扩展统计能够处理相当一部分；第二层是跨表相关，S20 显示单表统计结构本身无法直接表达；第三层是 Join 后才出现的联合关系，T09 显示即使底层都准，连接选择率仍可能失真；第四层是数据和工作负载会持续变化，T11 所体现的统计采样问题以及实际系统中的分布漂移都会使静态统计逐渐失去代表性。不同 AI 方法之所以形成不同路线，本质上就是它们选择了不同的“学习对象”。</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551"/>
        <w:gridCol w:w="2835"/>
        <w:gridCol w:w="1984"/>
      </w:tblGrid>
      <w:tr w14:paraId="07A61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shd w:val="clear" w:color="auto" w:fill="2F5F8F"/>
            <w:vAlign w:val="center"/>
          </w:tcPr>
          <w:p w14:paraId="7C416C36">
            <w:pPr>
              <w:keepNext w:val="0"/>
              <w:keepLines w:val="0"/>
              <w:pageBreakBefore w:val="0"/>
              <w:widowControl/>
              <w:kinsoku/>
              <w:wordWrap/>
              <w:overflowPunct/>
              <w:topLinePunct w:val="0"/>
              <w:autoSpaceDE/>
              <w:autoSpaceDN/>
              <w:bidi w:val="0"/>
              <w:adjustRightInd/>
              <w:snapToGrid/>
              <w:spacing w:after="64" w:line="308" w:lineRule="auto"/>
              <w:ind w:left="0" w:right="0" w:firstLine="126" w:firstLineChars="74"/>
              <w:jc w:val="center"/>
              <w:textAlignment w:val="auto"/>
            </w:pPr>
            <w:r>
              <w:rPr>
                <w:rFonts w:ascii="宋体" w:hAnsi="宋体" w:eastAsia="宋体"/>
                <w:b/>
                <w:color w:val="FFFFFF"/>
                <w:sz w:val="17"/>
              </w:rPr>
              <w:t>实验现象</w:t>
            </w:r>
          </w:p>
        </w:tc>
        <w:tc>
          <w:tcPr>
            <w:tcW w:w="2551" w:type="dxa"/>
            <w:shd w:val="clear" w:color="auto" w:fill="2F5F8F"/>
            <w:vAlign w:val="center"/>
          </w:tcPr>
          <w:p w14:paraId="1726561D">
            <w:pPr>
              <w:keepNext w:val="0"/>
              <w:keepLines w:val="0"/>
              <w:pageBreakBefore w:val="0"/>
              <w:widowControl/>
              <w:kinsoku/>
              <w:wordWrap/>
              <w:overflowPunct/>
              <w:topLinePunct w:val="0"/>
              <w:autoSpaceDE/>
              <w:autoSpaceDN/>
              <w:bidi w:val="0"/>
              <w:adjustRightInd/>
              <w:snapToGrid/>
              <w:spacing w:after="64" w:line="308" w:lineRule="auto"/>
              <w:ind w:left="0" w:right="0" w:firstLine="126" w:firstLineChars="74"/>
              <w:jc w:val="center"/>
              <w:textAlignment w:val="auto"/>
            </w:pPr>
            <w:r>
              <w:rPr>
                <w:rFonts w:ascii="宋体" w:hAnsi="宋体" w:eastAsia="宋体"/>
                <w:b/>
                <w:color w:val="FFFFFF"/>
                <w:sz w:val="17"/>
              </w:rPr>
              <w:t>传统机制的边界</w:t>
            </w:r>
          </w:p>
        </w:tc>
        <w:tc>
          <w:tcPr>
            <w:tcW w:w="2835" w:type="dxa"/>
            <w:shd w:val="clear" w:color="auto" w:fill="2F5F8F"/>
            <w:vAlign w:val="center"/>
          </w:tcPr>
          <w:p w14:paraId="7F1AE4B0">
            <w:pPr>
              <w:keepNext w:val="0"/>
              <w:keepLines w:val="0"/>
              <w:pageBreakBefore w:val="0"/>
              <w:widowControl/>
              <w:kinsoku/>
              <w:wordWrap/>
              <w:overflowPunct/>
              <w:topLinePunct w:val="0"/>
              <w:autoSpaceDE/>
              <w:autoSpaceDN/>
              <w:bidi w:val="0"/>
              <w:adjustRightInd/>
              <w:snapToGrid/>
              <w:spacing w:after="64" w:line="308" w:lineRule="auto"/>
              <w:ind w:left="0" w:right="0" w:firstLine="126" w:firstLineChars="74"/>
              <w:jc w:val="center"/>
              <w:textAlignment w:val="auto"/>
            </w:pPr>
            <w:r>
              <w:rPr>
                <w:rFonts w:ascii="宋体" w:hAnsi="宋体" w:eastAsia="宋体"/>
                <w:b/>
                <w:color w:val="FFFFFF"/>
                <w:sz w:val="17"/>
              </w:rPr>
              <w:t>AI 方法希望学习什么</w:t>
            </w:r>
          </w:p>
        </w:tc>
        <w:tc>
          <w:tcPr>
            <w:tcW w:w="1984" w:type="dxa"/>
            <w:shd w:val="clear" w:color="auto" w:fill="2F5F8F"/>
            <w:vAlign w:val="center"/>
          </w:tcPr>
          <w:p w14:paraId="191EE285">
            <w:pPr>
              <w:keepNext w:val="0"/>
              <w:keepLines w:val="0"/>
              <w:pageBreakBefore w:val="0"/>
              <w:widowControl/>
              <w:kinsoku/>
              <w:wordWrap/>
              <w:overflowPunct/>
              <w:topLinePunct w:val="0"/>
              <w:autoSpaceDE/>
              <w:autoSpaceDN/>
              <w:bidi w:val="0"/>
              <w:adjustRightInd/>
              <w:snapToGrid/>
              <w:spacing w:after="64" w:line="308" w:lineRule="auto"/>
              <w:ind w:left="0" w:right="0" w:firstLine="126" w:firstLineChars="74"/>
              <w:jc w:val="center"/>
              <w:textAlignment w:val="auto"/>
            </w:pPr>
            <w:r>
              <w:rPr>
                <w:rFonts w:ascii="宋体" w:hAnsi="宋体" w:eastAsia="宋体"/>
                <w:b/>
                <w:color w:val="FFFFFF"/>
                <w:sz w:val="17"/>
              </w:rPr>
              <w:t>代表方法</w:t>
            </w:r>
          </w:p>
        </w:tc>
      </w:tr>
      <w:tr w14:paraId="0FA5F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77A99F0">
            <w:pPr>
              <w:keepNext w:val="0"/>
              <w:keepLines w:val="0"/>
              <w:pageBreakBefore w:val="0"/>
              <w:widowControl/>
              <w:kinsoku/>
              <w:wordWrap/>
              <w:overflowPunct/>
              <w:topLinePunct w:val="0"/>
              <w:autoSpaceDE/>
              <w:autoSpaceDN/>
              <w:bidi w:val="0"/>
              <w:adjustRightInd/>
              <w:snapToGrid/>
              <w:spacing w:after="64" w:line="308" w:lineRule="auto"/>
              <w:ind w:left="0" w:right="0" w:firstLine="118" w:firstLineChars="74"/>
              <w:jc w:val="left"/>
              <w:textAlignment w:val="auto"/>
            </w:pPr>
            <w:r>
              <w:rPr>
                <w:rFonts w:ascii="宋体" w:hAnsi="宋体" w:eastAsia="宋体"/>
                <w:b w:val="0"/>
                <w:sz w:val="16"/>
              </w:rPr>
              <w:t>S16/S19：同表相关、倾斜组合</w:t>
            </w:r>
          </w:p>
        </w:tc>
        <w:tc>
          <w:tcPr>
            <w:tcW w:w="2551" w:type="dxa"/>
            <w:vAlign w:val="center"/>
          </w:tcPr>
          <w:p w14:paraId="456156DB">
            <w:pPr>
              <w:keepNext w:val="0"/>
              <w:keepLines w:val="0"/>
              <w:pageBreakBefore w:val="0"/>
              <w:widowControl/>
              <w:kinsoku/>
              <w:wordWrap/>
              <w:overflowPunct/>
              <w:topLinePunct w:val="0"/>
              <w:autoSpaceDE/>
              <w:autoSpaceDN/>
              <w:bidi w:val="0"/>
              <w:adjustRightInd/>
              <w:snapToGrid/>
              <w:spacing w:after="64" w:line="308" w:lineRule="auto"/>
              <w:ind w:left="0" w:right="0" w:firstLine="118" w:firstLineChars="74"/>
              <w:jc w:val="left"/>
              <w:textAlignment w:val="auto"/>
            </w:pPr>
            <w:r>
              <w:rPr>
                <w:rFonts w:ascii="宋体" w:hAnsi="宋体" w:eastAsia="宋体"/>
                <w:b w:val="0"/>
                <w:sz w:val="16"/>
              </w:rPr>
              <w:t>单列统计缺少多列联合关系；扩展统计可部分解决</w:t>
            </w:r>
          </w:p>
        </w:tc>
        <w:tc>
          <w:tcPr>
            <w:tcW w:w="2835" w:type="dxa"/>
            <w:vAlign w:val="center"/>
          </w:tcPr>
          <w:p w14:paraId="4B3671D0">
            <w:pPr>
              <w:keepNext w:val="0"/>
              <w:keepLines w:val="0"/>
              <w:pageBreakBefore w:val="0"/>
              <w:widowControl/>
              <w:kinsoku/>
              <w:wordWrap/>
              <w:overflowPunct/>
              <w:topLinePunct w:val="0"/>
              <w:autoSpaceDE/>
              <w:autoSpaceDN/>
              <w:bidi w:val="0"/>
              <w:adjustRightInd/>
              <w:snapToGrid/>
              <w:spacing w:after="64" w:line="308" w:lineRule="auto"/>
              <w:ind w:left="0" w:right="0" w:firstLine="118" w:firstLineChars="74"/>
              <w:jc w:val="left"/>
              <w:textAlignment w:val="auto"/>
            </w:pPr>
            <w:r>
              <w:rPr>
                <w:rFonts w:ascii="宋体" w:hAnsi="宋体" w:eastAsia="宋体"/>
                <w:b w:val="0"/>
                <w:sz w:val="16"/>
              </w:rPr>
              <w:t>直接学习多列联合分布或属性依赖</w:t>
            </w:r>
          </w:p>
        </w:tc>
        <w:tc>
          <w:tcPr>
            <w:tcW w:w="1984" w:type="dxa"/>
            <w:vAlign w:val="center"/>
          </w:tcPr>
          <w:p w14:paraId="4EC81CC2">
            <w:pPr>
              <w:keepNext w:val="0"/>
              <w:keepLines w:val="0"/>
              <w:pageBreakBefore w:val="0"/>
              <w:widowControl/>
              <w:kinsoku/>
              <w:wordWrap/>
              <w:overflowPunct/>
              <w:topLinePunct w:val="0"/>
              <w:autoSpaceDE/>
              <w:autoSpaceDN/>
              <w:bidi w:val="0"/>
              <w:adjustRightInd/>
              <w:snapToGrid/>
              <w:spacing w:after="64" w:line="308" w:lineRule="auto"/>
              <w:ind w:left="0" w:right="0" w:firstLine="118" w:firstLineChars="74"/>
              <w:jc w:val="left"/>
              <w:textAlignment w:val="auto"/>
            </w:pPr>
            <w:r>
              <w:rPr>
                <w:rFonts w:ascii="宋体" w:hAnsi="宋体" w:eastAsia="宋体"/>
                <w:b w:val="0"/>
                <w:sz w:val="16"/>
              </w:rPr>
              <w:t>DeepDB、BayesCard</w:t>
            </w:r>
          </w:p>
        </w:tc>
      </w:tr>
      <w:tr w14:paraId="1D501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5F7FA"/>
            <w:vAlign w:val="center"/>
          </w:tcPr>
          <w:p w14:paraId="58336E91">
            <w:pPr>
              <w:keepNext w:val="0"/>
              <w:keepLines w:val="0"/>
              <w:pageBreakBefore w:val="0"/>
              <w:widowControl/>
              <w:kinsoku/>
              <w:wordWrap/>
              <w:overflowPunct/>
              <w:topLinePunct w:val="0"/>
              <w:autoSpaceDE/>
              <w:autoSpaceDN/>
              <w:bidi w:val="0"/>
              <w:adjustRightInd/>
              <w:snapToGrid/>
              <w:spacing w:after="64" w:line="308" w:lineRule="auto"/>
              <w:ind w:left="0" w:right="0" w:firstLine="118" w:firstLineChars="74"/>
              <w:jc w:val="left"/>
              <w:textAlignment w:val="auto"/>
            </w:pPr>
            <w:r>
              <w:rPr>
                <w:rFonts w:ascii="宋体" w:hAnsi="宋体" w:eastAsia="宋体"/>
                <w:b w:val="0"/>
                <w:sz w:val="16"/>
              </w:rPr>
              <w:t>S20：跨表相关</w:t>
            </w:r>
          </w:p>
        </w:tc>
        <w:tc>
          <w:tcPr>
            <w:tcW w:w="2551" w:type="dxa"/>
            <w:shd w:val="clear" w:color="auto" w:fill="F5F7FA"/>
            <w:vAlign w:val="center"/>
          </w:tcPr>
          <w:p w14:paraId="72B11AF6">
            <w:pPr>
              <w:keepNext w:val="0"/>
              <w:keepLines w:val="0"/>
              <w:pageBreakBefore w:val="0"/>
              <w:widowControl/>
              <w:kinsoku/>
              <w:wordWrap/>
              <w:overflowPunct/>
              <w:topLinePunct w:val="0"/>
              <w:autoSpaceDE/>
              <w:autoSpaceDN/>
              <w:bidi w:val="0"/>
              <w:adjustRightInd/>
              <w:snapToGrid/>
              <w:spacing w:after="64" w:line="308" w:lineRule="auto"/>
              <w:ind w:left="0" w:right="0" w:firstLine="118" w:firstLineChars="74"/>
              <w:jc w:val="left"/>
              <w:textAlignment w:val="auto"/>
            </w:pPr>
            <w:r>
              <w:rPr>
                <w:rFonts w:ascii="宋体" w:hAnsi="宋体" w:eastAsia="宋体"/>
                <w:b w:val="0"/>
                <w:sz w:val="16"/>
              </w:rPr>
              <w:t>单表统计看不到跨表联合关系</w:t>
            </w:r>
          </w:p>
        </w:tc>
        <w:tc>
          <w:tcPr>
            <w:tcW w:w="2835" w:type="dxa"/>
            <w:shd w:val="clear" w:color="auto" w:fill="F5F7FA"/>
            <w:vAlign w:val="center"/>
          </w:tcPr>
          <w:p w14:paraId="2BCA72A1">
            <w:pPr>
              <w:keepNext w:val="0"/>
              <w:keepLines w:val="0"/>
              <w:pageBreakBefore w:val="0"/>
              <w:widowControl/>
              <w:kinsoku/>
              <w:wordWrap/>
              <w:overflowPunct/>
              <w:topLinePunct w:val="0"/>
              <w:autoSpaceDE/>
              <w:autoSpaceDN/>
              <w:bidi w:val="0"/>
              <w:adjustRightInd/>
              <w:snapToGrid/>
              <w:spacing w:after="64" w:line="308" w:lineRule="auto"/>
              <w:ind w:left="0" w:right="0" w:firstLine="118" w:firstLineChars="74"/>
              <w:jc w:val="left"/>
              <w:textAlignment w:val="auto"/>
            </w:pPr>
            <w:r>
              <w:rPr>
                <w:rFonts w:ascii="宋体" w:hAnsi="宋体" w:eastAsia="宋体"/>
                <w:b w:val="0"/>
                <w:sz w:val="16"/>
              </w:rPr>
              <w:t>学习多表数据分布或 Join 概率结构</w:t>
            </w:r>
          </w:p>
        </w:tc>
        <w:tc>
          <w:tcPr>
            <w:tcW w:w="1984" w:type="dxa"/>
            <w:shd w:val="clear" w:color="auto" w:fill="F5F7FA"/>
            <w:vAlign w:val="center"/>
          </w:tcPr>
          <w:p w14:paraId="710E5AFF">
            <w:pPr>
              <w:keepNext w:val="0"/>
              <w:keepLines w:val="0"/>
              <w:pageBreakBefore w:val="0"/>
              <w:widowControl/>
              <w:kinsoku/>
              <w:wordWrap/>
              <w:overflowPunct/>
              <w:topLinePunct w:val="0"/>
              <w:autoSpaceDE/>
              <w:autoSpaceDN/>
              <w:bidi w:val="0"/>
              <w:adjustRightInd/>
              <w:snapToGrid/>
              <w:spacing w:after="64" w:line="308" w:lineRule="auto"/>
              <w:ind w:left="0" w:right="0" w:firstLine="118" w:firstLineChars="74"/>
              <w:jc w:val="left"/>
              <w:textAlignment w:val="auto"/>
            </w:pPr>
            <w:r>
              <w:rPr>
                <w:rFonts w:ascii="宋体" w:hAnsi="宋体" w:eastAsia="宋体"/>
                <w:b w:val="0"/>
                <w:sz w:val="16"/>
              </w:rPr>
              <w:t>NeuroCard、DeepDB、FactorJoin</w:t>
            </w:r>
          </w:p>
        </w:tc>
      </w:tr>
      <w:tr w14:paraId="310AE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B99A09D">
            <w:pPr>
              <w:keepNext w:val="0"/>
              <w:keepLines w:val="0"/>
              <w:pageBreakBefore w:val="0"/>
              <w:widowControl/>
              <w:kinsoku/>
              <w:wordWrap/>
              <w:overflowPunct/>
              <w:topLinePunct w:val="0"/>
              <w:autoSpaceDE/>
              <w:autoSpaceDN/>
              <w:bidi w:val="0"/>
              <w:adjustRightInd/>
              <w:snapToGrid/>
              <w:spacing w:after="64" w:line="308" w:lineRule="auto"/>
              <w:ind w:left="0" w:right="0" w:firstLine="118" w:firstLineChars="74"/>
              <w:jc w:val="left"/>
              <w:textAlignment w:val="auto"/>
            </w:pPr>
            <w:r>
              <w:rPr>
                <w:rFonts w:ascii="宋体" w:hAnsi="宋体" w:eastAsia="宋体"/>
                <w:b w:val="0"/>
                <w:sz w:val="16"/>
              </w:rPr>
              <w:t>T09：Join 处新生误差</w:t>
            </w:r>
          </w:p>
        </w:tc>
        <w:tc>
          <w:tcPr>
            <w:tcW w:w="2551" w:type="dxa"/>
            <w:vAlign w:val="center"/>
          </w:tcPr>
          <w:p w14:paraId="097A89B9">
            <w:pPr>
              <w:keepNext w:val="0"/>
              <w:keepLines w:val="0"/>
              <w:pageBreakBefore w:val="0"/>
              <w:widowControl/>
              <w:kinsoku/>
              <w:wordWrap/>
              <w:overflowPunct/>
              <w:topLinePunct w:val="0"/>
              <w:autoSpaceDE/>
              <w:autoSpaceDN/>
              <w:bidi w:val="0"/>
              <w:adjustRightInd/>
              <w:snapToGrid/>
              <w:spacing w:after="64" w:line="308" w:lineRule="auto"/>
              <w:ind w:left="0" w:right="0" w:firstLine="118" w:firstLineChars="74"/>
              <w:jc w:val="left"/>
              <w:textAlignment w:val="auto"/>
            </w:pPr>
            <w:r>
              <w:rPr>
                <w:rFonts w:ascii="宋体" w:hAnsi="宋体" w:eastAsia="宋体"/>
                <w:b w:val="0"/>
                <w:sz w:val="16"/>
              </w:rPr>
              <w:t>固定 Join 选择率公式难表达业务相关性</w:t>
            </w:r>
          </w:p>
        </w:tc>
        <w:tc>
          <w:tcPr>
            <w:tcW w:w="2835" w:type="dxa"/>
            <w:vAlign w:val="center"/>
          </w:tcPr>
          <w:p w14:paraId="70114C01">
            <w:pPr>
              <w:keepNext w:val="0"/>
              <w:keepLines w:val="0"/>
              <w:pageBreakBefore w:val="0"/>
              <w:widowControl/>
              <w:kinsoku/>
              <w:wordWrap/>
              <w:overflowPunct/>
              <w:topLinePunct w:val="0"/>
              <w:autoSpaceDE/>
              <w:autoSpaceDN/>
              <w:bidi w:val="0"/>
              <w:adjustRightInd/>
              <w:snapToGrid/>
              <w:spacing w:after="64" w:line="308" w:lineRule="auto"/>
              <w:ind w:left="0" w:right="0" w:firstLine="118" w:firstLineChars="74"/>
              <w:jc w:val="left"/>
              <w:textAlignment w:val="auto"/>
            </w:pPr>
            <w:r>
              <w:rPr>
                <w:rFonts w:ascii="宋体" w:hAnsi="宋体" w:eastAsia="宋体"/>
                <w:b w:val="0"/>
                <w:sz w:val="16"/>
              </w:rPr>
              <w:t>从查询结构或多表分布直接预测 Join 基数</w:t>
            </w:r>
          </w:p>
        </w:tc>
        <w:tc>
          <w:tcPr>
            <w:tcW w:w="1984" w:type="dxa"/>
            <w:vAlign w:val="center"/>
          </w:tcPr>
          <w:p w14:paraId="28558069">
            <w:pPr>
              <w:keepNext w:val="0"/>
              <w:keepLines w:val="0"/>
              <w:pageBreakBefore w:val="0"/>
              <w:widowControl/>
              <w:kinsoku/>
              <w:wordWrap/>
              <w:overflowPunct/>
              <w:topLinePunct w:val="0"/>
              <w:autoSpaceDE/>
              <w:autoSpaceDN/>
              <w:bidi w:val="0"/>
              <w:adjustRightInd/>
              <w:snapToGrid/>
              <w:spacing w:after="64" w:line="308" w:lineRule="auto"/>
              <w:ind w:left="0" w:right="0" w:firstLine="118" w:firstLineChars="74"/>
              <w:jc w:val="left"/>
              <w:textAlignment w:val="auto"/>
            </w:pPr>
            <w:r>
              <w:rPr>
                <w:rFonts w:ascii="宋体" w:hAnsi="宋体" w:eastAsia="宋体"/>
                <w:b w:val="0"/>
                <w:sz w:val="16"/>
              </w:rPr>
              <w:t>MSCN、NeuroCard、FactorJoin</w:t>
            </w:r>
          </w:p>
        </w:tc>
      </w:tr>
      <w:tr w14:paraId="44A45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5F7FA"/>
            <w:vAlign w:val="center"/>
          </w:tcPr>
          <w:p w14:paraId="64AB5FA9">
            <w:pPr>
              <w:keepNext w:val="0"/>
              <w:keepLines w:val="0"/>
              <w:pageBreakBefore w:val="0"/>
              <w:widowControl/>
              <w:kinsoku/>
              <w:wordWrap/>
              <w:overflowPunct/>
              <w:topLinePunct w:val="0"/>
              <w:autoSpaceDE/>
              <w:autoSpaceDN/>
              <w:bidi w:val="0"/>
              <w:adjustRightInd/>
              <w:snapToGrid/>
              <w:spacing w:after="64" w:line="308" w:lineRule="auto"/>
              <w:ind w:left="0" w:right="0" w:firstLine="118" w:firstLineChars="74"/>
              <w:jc w:val="left"/>
              <w:textAlignment w:val="auto"/>
            </w:pPr>
            <w:r>
              <w:rPr>
                <w:rFonts w:ascii="宋体" w:hAnsi="宋体" w:eastAsia="宋体"/>
                <w:b w:val="0"/>
                <w:sz w:val="16"/>
              </w:rPr>
              <w:t>T11 / 动态环境</w:t>
            </w:r>
          </w:p>
        </w:tc>
        <w:tc>
          <w:tcPr>
            <w:tcW w:w="2551" w:type="dxa"/>
            <w:shd w:val="clear" w:color="auto" w:fill="F5F7FA"/>
            <w:vAlign w:val="center"/>
          </w:tcPr>
          <w:p w14:paraId="4A1653B8">
            <w:pPr>
              <w:keepNext w:val="0"/>
              <w:keepLines w:val="0"/>
              <w:pageBreakBefore w:val="0"/>
              <w:widowControl/>
              <w:kinsoku/>
              <w:wordWrap/>
              <w:overflowPunct/>
              <w:topLinePunct w:val="0"/>
              <w:autoSpaceDE/>
              <w:autoSpaceDN/>
              <w:bidi w:val="0"/>
              <w:adjustRightInd/>
              <w:snapToGrid/>
              <w:spacing w:after="64" w:line="308" w:lineRule="auto"/>
              <w:ind w:left="0" w:right="0" w:firstLine="118" w:firstLineChars="74"/>
              <w:jc w:val="left"/>
              <w:textAlignment w:val="auto"/>
            </w:pPr>
            <w:r>
              <w:rPr>
                <w:rFonts w:ascii="宋体" w:hAnsi="宋体" w:eastAsia="宋体"/>
                <w:b w:val="0"/>
                <w:sz w:val="16"/>
              </w:rPr>
              <w:t>采样统计和静态模型会随数据变化失真</w:t>
            </w:r>
          </w:p>
        </w:tc>
        <w:tc>
          <w:tcPr>
            <w:tcW w:w="2835" w:type="dxa"/>
            <w:shd w:val="clear" w:color="auto" w:fill="F5F7FA"/>
            <w:vAlign w:val="center"/>
          </w:tcPr>
          <w:p w14:paraId="301D0176">
            <w:pPr>
              <w:keepNext w:val="0"/>
              <w:keepLines w:val="0"/>
              <w:pageBreakBefore w:val="0"/>
              <w:widowControl/>
              <w:kinsoku/>
              <w:wordWrap/>
              <w:overflowPunct/>
              <w:topLinePunct w:val="0"/>
              <w:autoSpaceDE/>
              <w:autoSpaceDN/>
              <w:bidi w:val="0"/>
              <w:adjustRightInd/>
              <w:snapToGrid/>
              <w:spacing w:after="64" w:line="308" w:lineRule="auto"/>
              <w:ind w:left="0" w:right="0" w:firstLine="118" w:firstLineChars="74"/>
              <w:jc w:val="left"/>
              <w:textAlignment w:val="auto"/>
            </w:pPr>
            <w:r>
              <w:rPr>
                <w:rFonts w:ascii="宋体" w:hAnsi="宋体" w:eastAsia="宋体"/>
                <w:b w:val="0"/>
                <w:sz w:val="16"/>
              </w:rPr>
              <w:t>同时利用查询、数据状态和跨库知识</w:t>
            </w:r>
          </w:p>
        </w:tc>
        <w:tc>
          <w:tcPr>
            <w:tcW w:w="1984" w:type="dxa"/>
            <w:shd w:val="clear" w:color="auto" w:fill="F5F7FA"/>
            <w:vAlign w:val="center"/>
          </w:tcPr>
          <w:p w14:paraId="17F30804">
            <w:pPr>
              <w:keepNext w:val="0"/>
              <w:keepLines w:val="0"/>
              <w:pageBreakBefore w:val="0"/>
              <w:widowControl/>
              <w:kinsoku/>
              <w:wordWrap/>
              <w:overflowPunct/>
              <w:topLinePunct w:val="0"/>
              <w:autoSpaceDE/>
              <w:autoSpaceDN/>
              <w:bidi w:val="0"/>
              <w:adjustRightInd/>
              <w:snapToGrid/>
              <w:spacing w:after="64" w:line="308" w:lineRule="auto"/>
              <w:ind w:left="0" w:right="0" w:firstLine="118" w:firstLineChars="74"/>
              <w:jc w:val="left"/>
              <w:textAlignment w:val="auto"/>
            </w:pPr>
            <w:r>
              <w:rPr>
                <w:rFonts w:ascii="宋体" w:hAnsi="宋体" w:eastAsia="宋体"/>
                <w:b w:val="0"/>
                <w:sz w:val="16"/>
              </w:rPr>
              <w:t>ALECE、PRICE</w:t>
            </w:r>
          </w:p>
        </w:tc>
      </w:tr>
    </w:tbl>
    <w:p w14:paraId="20DB8523">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这个映射也说明，AI CE 并不是一种统一算法。查询驱动方法关注“历史查询教会模型什么”；数据驱动方法关注“数据库本身的联合分布是什么”；多表方法进一步关注“跨表关系如何形成”；预训练方法则关注“这些能力能否在不同数据库之间复用”。因此，在</w:t>
      </w:r>
      <w:r>
        <w:rPr>
          <w:rFonts w:hint="eastAsia"/>
          <w:lang w:val="en-US" w:eastAsia="zh-CN"/>
        </w:rPr>
        <w:t>AI方法对比</w:t>
      </w:r>
      <w:r>
        <w:t>的报告和 PPT 中，比起逐篇介绍论文，更适合按照“实验问题—学习对象—代表方法”来组织内容。</w:t>
      </w:r>
    </w:p>
    <w:p w14:paraId="600B69F5">
      <w:pPr>
        <w:pStyle w:val="166"/>
        <w:keepNext w:val="0"/>
        <w:keepLines w:val="0"/>
        <w:pageBreakBefore w:val="0"/>
        <w:widowControl/>
        <w:kinsoku/>
        <w:wordWrap/>
        <w:overflowPunct/>
        <w:topLinePunct w:val="0"/>
        <w:autoSpaceDE/>
        <w:autoSpaceDN/>
        <w:bidi w:val="0"/>
        <w:adjustRightInd/>
        <w:snapToGrid/>
        <w:spacing w:before="0" w:after="64" w:line="308" w:lineRule="auto"/>
        <w:ind w:right="0"/>
        <w:textAlignment w:val="auto"/>
      </w:pPr>
      <w:r>
        <w:t>四、四个重点模型：解决问题—基本思路—适合场景—局限</w:t>
      </w:r>
    </w:p>
    <w:p w14:paraId="65C4794C">
      <w:pPr>
        <w:pStyle w:val="167"/>
        <w:keepNext w:val="0"/>
        <w:keepLines w:val="0"/>
        <w:pageBreakBefore w:val="0"/>
        <w:widowControl/>
        <w:kinsoku/>
        <w:wordWrap/>
        <w:overflowPunct/>
        <w:topLinePunct w:val="0"/>
        <w:autoSpaceDE/>
        <w:autoSpaceDN/>
        <w:bidi w:val="0"/>
        <w:adjustRightInd/>
        <w:snapToGrid/>
        <w:spacing w:before="0" w:after="64" w:line="308" w:lineRule="auto"/>
        <w:ind w:right="0"/>
        <w:textAlignment w:val="auto"/>
      </w:pPr>
      <w:r>
        <w:t>（一）MSCN：从历史查询中学习“什么样的 Join 会产生多少行”</w:t>
      </w:r>
    </w:p>
    <w:p w14:paraId="548CE41B">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MSCN 是典型的查询驱动方法。传统优化器会先用人工公式分别计算过滤选择率和 Join 选择率，而 MSCN 直接把一条查询中涉及的表、连接条件和过滤谓词编码成模型输入，再用历史查询的真实基数作为答案进行训练。模型学习的不是某个固定公式，而是“这类查询结构、这类谓词组合通常对应多大的结果”。</w:t>
      </w:r>
    </w:p>
    <w:p w14:paraId="5E4C6EB4">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它最适合与 T09 对应。T09 的底层过滤都很准，真正缺失的是订单日期、发货日期和连接键共同作用后的重合关系。MSCN 不要求先把这种业务关系写成一个明确公式，而是可以从相似历史查询中学习这种模式。对于查询模板比较稳定、历史日志比较丰富的数据库，这种方法有机会直接修正传统 Join 选择率公式难以表达的部分。</w:t>
      </w:r>
    </w:p>
    <w:p w14:paraId="7B93C11B">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MSCN 的主要成本在数据准备。训练时需要大量查询及其真实基数，而真实基数通常需要执行查询才能获得；当线上出现训练阶段很少见的新模板，或者底层数据分布发生较大变化时，过去学到的映射也可能失效。因此它的优势主要体现在“充分利用已有 workload 经验”，而不是“对任意新数据库都天然适用”。</w:t>
      </w:r>
    </w:p>
    <w:p w14:paraId="2B92DBC0">
      <w:pPr>
        <w:pStyle w:val="167"/>
        <w:keepNext w:val="0"/>
        <w:keepLines w:val="0"/>
        <w:pageBreakBefore w:val="0"/>
        <w:widowControl/>
        <w:kinsoku/>
        <w:wordWrap/>
        <w:overflowPunct/>
        <w:topLinePunct w:val="0"/>
        <w:autoSpaceDE/>
        <w:autoSpaceDN/>
        <w:bidi w:val="0"/>
        <w:adjustRightInd/>
        <w:snapToGrid/>
        <w:spacing w:before="0" w:after="64" w:line="308" w:lineRule="auto"/>
        <w:ind w:right="0"/>
        <w:textAlignment w:val="auto"/>
      </w:pPr>
      <w:r>
        <w:t>（二）DeepDB：从数据本身学习联合分布</w:t>
      </w:r>
    </w:p>
    <w:p w14:paraId="3111833E">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DeepDB 代表另一条路线：不把大量历史查询作为主要训练对象，而是直接学习数据库中数据的联合分布。可以把它理解为让模型先回答“哪些字段、哪些取值经常一起出现”，之后再根据查询条件推断大约有多少数据满足要求。这样做的好处是，不必为每一种查询模板都事先执行大量 SQL 来获取标签。</w:t>
      </w:r>
    </w:p>
    <w:p w14:paraId="08959A40">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S16 和 S19 与这一思路最直观。两个实验的问题都不是单个字段频率不准，而是多个字段组合出现的规律没有被单列统计表示。DeepDB 的价值就在于把这种“组合规律”直接作为学习对象。S20 又进一步提示，联合分布可能跨表存在，因此数据驱动路线需要进一步扩展到多表场景。</w:t>
      </w:r>
    </w:p>
    <w:p w14:paraId="66D77278">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DeepDB 的限制主要来自模型维护。数据库越复杂，表和列越多，需要表达的联合关系就越多；数据持续更新后，原先学到的分布也需要及时调整。对于查询优化器来说，模型推理还必须足够快，因为估计本身发生在 SQL 真正执行之前，若估计过程过重，就可能抵消优化收益。</w:t>
      </w:r>
    </w:p>
    <w:p w14:paraId="11DF22F6">
      <w:pPr>
        <w:pStyle w:val="167"/>
        <w:keepNext w:val="0"/>
        <w:keepLines w:val="0"/>
        <w:pageBreakBefore w:val="0"/>
        <w:widowControl/>
        <w:kinsoku/>
        <w:wordWrap/>
        <w:overflowPunct/>
        <w:topLinePunct w:val="0"/>
        <w:autoSpaceDE/>
        <w:autoSpaceDN/>
        <w:bidi w:val="0"/>
        <w:adjustRightInd/>
        <w:snapToGrid/>
        <w:spacing w:before="0" w:after="64" w:line="308" w:lineRule="auto"/>
        <w:ind w:right="0"/>
        <w:textAlignment w:val="auto"/>
      </w:pPr>
      <w:r>
        <w:t>（三）NeuroCard：直接面向多表联合分布</w:t>
      </w:r>
    </w:p>
    <w:p w14:paraId="311AC884">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NeuroCard 可以看作数据驱动路线向多表连接的一次重要推进。它使用自回归密度模型去学习多个表连接后的整体分布，希望在估计 Join 时直接利用跨表相关关系，而不是先独立估计每张表，再用简单公式把结果拼起来。</w:t>
      </w:r>
    </w:p>
    <w:p w14:paraId="05AD9B81">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S20 是最适合解释 NeuroCard 的案例：客户城市与订单邮编的关系分散在两张表里，任何单表统计都只能看到关系的一半。NeuroCard 的目标就是让估计器在同一个模型中看到这些跨表组合，从而减少“两个单表都估对、Join 却错 100 倍”的情况。T09 同样可以用它解释，因为订单日期和发货日期的相关性最终也是通过 orderkey 在两张表之间体现出来的。</w:t>
      </w:r>
    </w:p>
    <w:p w14:paraId="61F86383">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相应地，多表建模也比单表建模更重。连接空间会随着表数量增加而迅速扩大，模型需要处理 Join 键、空值、外键关系以及不同连接图；数据更新后如何快速维护模型也更复杂。因此 NeuroCard 的优势很集中：它直接瞄准跨表相关这一难点，但工程上需要在准确性、模型大小和更新成本之间做平衡。</w:t>
      </w:r>
    </w:p>
    <w:p w14:paraId="2550B9BE">
      <w:pPr>
        <w:pStyle w:val="167"/>
        <w:keepNext w:val="0"/>
        <w:keepLines w:val="0"/>
        <w:pageBreakBefore w:val="0"/>
        <w:widowControl/>
        <w:kinsoku/>
        <w:wordWrap/>
        <w:overflowPunct/>
        <w:topLinePunct w:val="0"/>
        <w:autoSpaceDE/>
        <w:autoSpaceDN/>
        <w:bidi w:val="0"/>
        <w:adjustRightInd/>
        <w:snapToGrid/>
        <w:spacing w:before="0" w:after="64" w:line="308" w:lineRule="auto"/>
        <w:ind w:right="0"/>
        <w:textAlignment w:val="auto"/>
      </w:pPr>
      <w:r>
        <w:t>（四）PRICE：从“每个数据库重新训练”走向跨数据库迁移</w:t>
      </w:r>
    </w:p>
    <w:p w14:paraId="215CAAB6">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MSCN、DeepDB 和 NeuroCard 主要在回答“怎样估得更准”，PRICE 更进一步关注“怎样让一个学习型估计器更容易部署到新数据库”。早期 learned CE 往往需要针对目标数据库重新准备训练查询、采集真实基数、训练模型。对于真实系统来说，这种准备成本会直接影响方法能否落地。</w:t>
      </w:r>
    </w:p>
    <w:p w14:paraId="6AA193D3">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PRICE 的思路是在多个数据库上进行预训练，学习一些可以跨数据库复用的分布和查询特征。当面对一个新的数据库时，模型不再完全从零开始，而是尝试直接使用已有知识，再根据少量目标库信息进行调整。它与 S16、S20、T09 不是一一对应的关系，但它解决的是这些 learned CE 方法共同面临的下一步问题：即使模型能够处理相关性，怎样避免每换一个数据库就重新做一遍昂贵训练。</w:t>
      </w:r>
    </w:p>
    <w:p w14:paraId="2D86E538">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因此，PRICE 很适合作为</w:t>
      </w:r>
      <w:r>
        <w:rPr>
          <w:rFonts w:hint="eastAsia"/>
          <w:lang w:val="en-US" w:eastAsia="zh-CN"/>
        </w:rPr>
        <w:t>AI方法对比的</w:t>
      </w:r>
      <w:r>
        <w:t>演进终点。MSCN 体现“从 workload 学”，DeepDB/NeuroCard 体现“从数据分布学”，PRICE 体现“把已经学到的能力迁移到新库”。这条路线说明 learned CE 的研究重点正在从单库准确率扩展到部署成本和迁移能力。</w:t>
      </w:r>
    </w:p>
    <w:p w14:paraId="2D4F7CEB">
      <w:pPr>
        <w:pStyle w:val="166"/>
        <w:keepNext w:val="0"/>
        <w:keepLines w:val="0"/>
        <w:pageBreakBefore w:val="0"/>
        <w:widowControl/>
        <w:kinsoku/>
        <w:wordWrap/>
        <w:overflowPunct/>
        <w:topLinePunct w:val="0"/>
        <w:autoSpaceDE/>
        <w:autoSpaceDN/>
        <w:bidi w:val="0"/>
        <w:adjustRightInd/>
        <w:snapToGrid/>
        <w:spacing w:before="0" w:after="64" w:line="308" w:lineRule="auto"/>
        <w:ind w:right="0"/>
        <w:textAlignment w:val="auto"/>
      </w:pPr>
      <w:r>
        <w:t>五、补充方法与近年演进：FactorJoin、ALECE、ZeroCard</w:t>
      </w:r>
    </w:p>
    <w:p w14:paraId="3651A3B3">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FactorJoin（2023）仍然聚焦多表 Join，但强调更轻量的概率推断。它先学习单表的条件分布，再把多表连接表示成若干概率因子的组合，从而估计 Join 结果。与 NeuroCard 相比，它更强调避免完整物化多表连接空间，并降低训练与推理成本。对本组而言，FactorJoin 同样可以对应 S20 和 T09，用于说明“跨表 CE”并不只有大型神经网络这一条实现路线。</w:t>
      </w:r>
    </w:p>
    <w:p w14:paraId="1A4F2366">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ALECE（2023/2024）把注意力放在动态 workload 上。它同时编码查询和数据库当前的数据状态，使估计器能够感知数据分布正在发生的变化。这个方向与 T11 的启示相通：优化器依赖的统计信息不是永远准确的，数据更新、采样和 workload 漂移都会改变估计条件。ALECE 因此代表从“静态学习模型”走向“随数据状态变化而调整”的一类方法。</w:t>
      </w:r>
    </w:p>
    <w:p w14:paraId="218ABE38">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ZeroCard（2025 预印本）则把部署门槛进一步压低，目标是尽量减少对目标数据库原始数据、查询日志和重新训练的依赖。它更多利用 schema 语义与预训练知识完成估计。虽然这一方向仍处在较新的研究阶段，但它与 PRICE 一起反映了一个明显趋势：学习型 CE 的竞争焦点已经不再只是“谁的 Q-error 更低”，还包括“新数据库上需要准备多少数据”“是否需要重训”“隐私受限时能否使用”等工程问题。</w:t>
      </w:r>
    </w:p>
    <w:p w14:paraId="6C72E8F7">
      <w:pPr>
        <w:pStyle w:val="166"/>
        <w:keepNext w:val="0"/>
        <w:keepLines w:val="0"/>
        <w:pageBreakBefore w:val="0"/>
        <w:widowControl/>
        <w:kinsoku/>
        <w:wordWrap/>
        <w:overflowPunct/>
        <w:topLinePunct w:val="0"/>
        <w:autoSpaceDE/>
        <w:autoSpaceDN/>
        <w:bidi w:val="0"/>
        <w:adjustRightInd/>
        <w:snapToGrid/>
        <w:spacing w:before="0" w:after="64" w:line="308" w:lineRule="auto"/>
        <w:ind w:right="0"/>
        <w:textAlignment w:val="auto"/>
      </w:pPr>
      <w:r>
        <w:t>六、AI CE 方法综合比较与本组实验映射</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1"/>
        <w:gridCol w:w="1550"/>
        <w:gridCol w:w="2065"/>
        <w:gridCol w:w="2854"/>
        <w:gridCol w:w="2258"/>
      </w:tblGrid>
      <w:tr w14:paraId="5CB6D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47" w:type="dxa"/>
            <w:shd w:val="clear" w:color="auto" w:fill="2F5F8F"/>
            <w:vAlign w:val="center"/>
          </w:tcPr>
          <w:p w14:paraId="5BA08458">
            <w:pPr>
              <w:keepNext w:val="0"/>
              <w:keepLines w:val="0"/>
              <w:pageBreakBefore w:val="0"/>
              <w:widowControl/>
              <w:kinsoku/>
              <w:wordWrap/>
              <w:overflowPunct/>
              <w:topLinePunct w:val="0"/>
              <w:autoSpaceDE/>
              <w:autoSpaceDN/>
              <w:bidi w:val="0"/>
              <w:adjustRightInd/>
              <w:snapToGrid/>
              <w:spacing w:after="64" w:line="308" w:lineRule="auto"/>
              <w:ind w:left="0" w:right="0" w:firstLine="126" w:firstLineChars="74"/>
              <w:jc w:val="center"/>
              <w:textAlignment w:val="auto"/>
            </w:pPr>
            <w:r>
              <w:rPr>
                <w:rFonts w:ascii="宋体" w:hAnsi="宋体" w:eastAsia="宋体"/>
                <w:b/>
                <w:color w:val="FFFFFF"/>
                <w:sz w:val="17"/>
              </w:rPr>
              <w:t>方法</w:t>
            </w:r>
          </w:p>
        </w:tc>
        <w:tc>
          <w:tcPr>
            <w:tcW w:w="1587" w:type="dxa"/>
            <w:shd w:val="clear" w:color="auto" w:fill="2F5F8F"/>
            <w:vAlign w:val="center"/>
          </w:tcPr>
          <w:p w14:paraId="6C16446F">
            <w:pPr>
              <w:keepNext w:val="0"/>
              <w:keepLines w:val="0"/>
              <w:pageBreakBefore w:val="0"/>
              <w:widowControl/>
              <w:kinsoku/>
              <w:wordWrap/>
              <w:overflowPunct/>
              <w:topLinePunct w:val="0"/>
              <w:autoSpaceDE/>
              <w:autoSpaceDN/>
              <w:bidi w:val="0"/>
              <w:adjustRightInd/>
              <w:snapToGrid/>
              <w:spacing w:after="64" w:line="308" w:lineRule="auto"/>
              <w:ind w:left="0" w:right="0" w:firstLine="126" w:firstLineChars="74"/>
              <w:jc w:val="center"/>
              <w:textAlignment w:val="auto"/>
            </w:pPr>
            <w:r>
              <w:rPr>
                <w:rFonts w:ascii="宋体" w:hAnsi="宋体" w:eastAsia="宋体"/>
                <w:b/>
                <w:color w:val="FFFFFF"/>
                <w:sz w:val="17"/>
              </w:rPr>
              <w:t>主要路线</w:t>
            </w:r>
          </w:p>
        </w:tc>
        <w:tc>
          <w:tcPr>
            <w:tcW w:w="2098" w:type="dxa"/>
            <w:shd w:val="clear" w:color="auto" w:fill="2F5F8F"/>
            <w:vAlign w:val="center"/>
          </w:tcPr>
          <w:p w14:paraId="7203BA6F">
            <w:pPr>
              <w:keepNext w:val="0"/>
              <w:keepLines w:val="0"/>
              <w:pageBreakBefore w:val="0"/>
              <w:widowControl/>
              <w:kinsoku/>
              <w:wordWrap/>
              <w:overflowPunct/>
              <w:topLinePunct w:val="0"/>
              <w:autoSpaceDE/>
              <w:autoSpaceDN/>
              <w:bidi w:val="0"/>
              <w:adjustRightInd/>
              <w:snapToGrid/>
              <w:spacing w:after="64" w:line="308" w:lineRule="auto"/>
              <w:ind w:left="0" w:right="0" w:firstLine="126" w:firstLineChars="74"/>
              <w:jc w:val="center"/>
              <w:textAlignment w:val="auto"/>
            </w:pPr>
            <w:r>
              <w:rPr>
                <w:rFonts w:ascii="宋体" w:hAnsi="宋体" w:eastAsia="宋体"/>
                <w:b/>
                <w:color w:val="FFFFFF"/>
                <w:sz w:val="17"/>
              </w:rPr>
              <w:t>最相关实验/问题</w:t>
            </w:r>
          </w:p>
        </w:tc>
        <w:tc>
          <w:tcPr>
            <w:tcW w:w="2948" w:type="dxa"/>
            <w:shd w:val="clear" w:color="auto" w:fill="2F5F8F"/>
            <w:vAlign w:val="center"/>
          </w:tcPr>
          <w:p w14:paraId="7ADA3F6A">
            <w:pPr>
              <w:keepNext w:val="0"/>
              <w:keepLines w:val="0"/>
              <w:pageBreakBefore w:val="0"/>
              <w:widowControl/>
              <w:kinsoku/>
              <w:wordWrap/>
              <w:overflowPunct/>
              <w:topLinePunct w:val="0"/>
              <w:autoSpaceDE/>
              <w:autoSpaceDN/>
              <w:bidi w:val="0"/>
              <w:adjustRightInd/>
              <w:snapToGrid/>
              <w:spacing w:after="64" w:line="308" w:lineRule="auto"/>
              <w:ind w:left="0" w:right="0" w:firstLine="126" w:firstLineChars="74"/>
              <w:jc w:val="center"/>
              <w:textAlignment w:val="auto"/>
            </w:pPr>
            <w:r>
              <w:rPr>
                <w:rFonts w:ascii="宋体" w:hAnsi="宋体" w:eastAsia="宋体"/>
                <w:b/>
                <w:color w:val="FFFFFF"/>
                <w:sz w:val="17"/>
              </w:rPr>
              <w:t>核心价值</w:t>
            </w:r>
          </w:p>
        </w:tc>
        <w:tc>
          <w:tcPr>
            <w:tcW w:w="2324" w:type="dxa"/>
            <w:shd w:val="clear" w:color="auto" w:fill="2F5F8F"/>
            <w:vAlign w:val="center"/>
          </w:tcPr>
          <w:p w14:paraId="2E3A6BC6">
            <w:pPr>
              <w:keepNext w:val="0"/>
              <w:keepLines w:val="0"/>
              <w:pageBreakBefore w:val="0"/>
              <w:widowControl/>
              <w:kinsoku/>
              <w:wordWrap/>
              <w:overflowPunct/>
              <w:topLinePunct w:val="0"/>
              <w:autoSpaceDE/>
              <w:autoSpaceDN/>
              <w:bidi w:val="0"/>
              <w:adjustRightInd/>
              <w:snapToGrid/>
              <w:spacing w:after="64" w:line="308" w:lineRule="auto"/>
              <w:ind w:left="0" w:right="0" w:firstLine="126" w:firstLineChars="74"/>
              <w:jc w:val="center"/>
              <w:textAlignment w:val="auto"/>
            </w:pPr>
            <w:r>
              <w:rPr>
                <w:rFonts w:ascii="宋体" w:hAnsi="宋体" w:eastAsia="宋体"/>
                <w:b/>
                <w:color w:val="FFFFFF"/>
                <w:sz w:val="17"/>
              </w:rPr>
              <w:t>主要局限</w:t>
            </w:r>
          </w:p>
        </w:tc>
      </w:tr>
      <w:tr w14:paraId="2BD9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42C3108">
            <w:pPr>
              <w:keepNext w:val="0"/>
              <w:keepLines w:val="0"/>
              <w:pageBreakBefore w:val="0"/>
              <w:widowControl/>
              <w:kinsoku/>
              <w:wordWrap/>
              <w:overflowPunct/>
              <w:topLinePunct w:val="0"/>
              <w:autoSpaceDE/>
              <w:autoSpaceDN/>
              <w:bidi w:val="0"/>
              <w:adjustRightInd/>
              <w:snapToGrid/>
              <w:spacing w:after="64" w:line="308" w:lineRule="auto"/>
              <w:ind w:left="0" w:right="0" w:firstLine="111" w:firstLineChars="74"/>
              <w:jc w:val="left"/>
              <w:textAlignment w:val="auto"/>
            </w:pPr>
            <w:r>
              <w:rPr>
                <w:rFonts w:ascii="宋体" w:hAnsi="宋体" w:eastAsia="宋体"/>
                <w:b w:val="0"/>
                <w:sz w:val="15"/>
              </w:rPr>
              <w:t>MSCN</w:t>
            </w:r>
          </w:p>
        </w:tc>
        <w:tc>
          <w:tcPr>
            <w:tcW w:w="1587" w:type="dxa"/>
            <w:vAlign w:val="center"/>
          </w:tcPr>
          <w:p w14:paraId="18E2A4FF">
            <w:pPr>
              <w:keepNext w:val="0"/>
              <w:keepLines w:val="0"/>
              <w:pageBreakBefore w:val="0"/>
              <w:widowControl/>
              <w:kinsoku/>
              <w:wordWrap/>
              <w:overflowPunct/>
              <w:topLinePunct w:val="0"/>
              <w:autoSpaceDE/>
              <w:autoSpaceDN/>
              <w:bidi w:val="0"/>
              <w:adjustRightInd/>
              <w:snapToGrid/>
              <w:spacing w:after="64" w:line="308" w:lineRule="auto"/>
              <w:ind w:left="0" w:right="0" w:firstLine="111" w:firstLineChars="74"/>
              <w:jc w:val="left"/>
              <w:textAlignment w:val="auto"/>
            </w:pPr>
            <w:r>
              <w:rPr>
                <w:rFonts w:ascii="宋体" w:hAnsi="宋体" w:eastAsia="宋体"/>
                <w:b w:val="0"/>
                <w:sz w:val="15"/>
              </w:rPr>
              <w:t>查询驱动</w:t>
            </w:r>
          </w:p>
        </w:tc>
        <w:tc>
          <w:tcPr>
            <w:tcW w:w="2098" w:type="dxa"/>
            <w:vAlign w:val="center"/>
          </w:tcPr>
          <w:p w14:paraId="287E3507">
            <w:pPr>
              <w:keepNext w:val="0"/>
              <w:keepLines w:val="0"/>
              <w:pageBreakBefore w:val="0"/>
              <w:widowControl/>
              <w:kinsoku/>
              <w:wordWrap/>
              <w:overflowPunct/>
              <w:topLinePunct w:val="0"/>
              <w:autoSpaceDE/>
              <w:autoSpaceDN/>
              <w:bidi w:val="0"/>
              <w:adjustRightInd/>
              <w:snapToGrid/>
              <w:spacing w:after="64" w:line="308" w:lineRule="auto"/>
              <w:ind w:left="0" w:right="0" w:firstLine="111" w:firstLineChars="74"/>
              <w:jc w:val="left"/>
              <w:textAlignment w:val="auto"/>
            </w:pPr>
            <w:r>
              <w:rPr>
                <w:rFonts w:ascii="宋体" w:hAnsi="宋体" w:eastAsia="宋体"/>
                <w:b w:val="0"/>
                <w:sz w:val="15"/>
              </w:rPr>
              <w:t>T09：Join 处新生误差</w:t>
            </w:r>
          </w:p>
        </w:tc>
        <w:tc>
          <w:tcPr>
            <w:tcW w:w="2948" w:type="dxa"/>
            <w:vAlign w:val="center"/>
          </w:tcPr>
          <w:p w14:paraId="53DAE401">
            <w:pPr>
              <w:keepNext w:val="0"/>
              <w:keepLines w:val="0"/>
              <w:pageBreakBefore w:val="0"/>
              <w:widowControl/>
              <w:kinsoku/>
              <w:wordWrap/>
              <w:overflowPunct/>
              <w:topLinePunct w:val="0"/>
              <w:autoSpaceDE/>
              <w:autoSpaceDN/>
              <w:bidi w:val="0"/>
              <w:adjustRightInd/>
              <w:snapToGrid/>
              <w:spacing w:after="64" w:line="308" w:lineRule="auto"/>
              <w:ind w:left="0" w:right="0" w:firstLine="111" w:firstLineChars="74"/>
              <w:jc w:val="left"/>
              <w:textAlignment w:val="auto"/>
            </w:pPr>
            <w:r>
              <w:rPr>
                <w:rFonts w:ascii="宋体" w:hAnsi="宋体" w:eastAsia="宋体"/>
                <w:b w:val="0"/>
                <w:sz w:val="15"/>
              </w:rPr>
              <w:t>从历史查询直接学习“查询结构→基数”，减少对固定 Join 公式的依赖</w:t>
            </w:r>
          </w:p>
        </w:tc>
        <w:tc>
          <w:tcPr>
            <w:tcW w:w="2324" w:type="dxa"/>
            <w:vAlign w:val="center"/>
          </w:tcPr>
          <w:p w14:paraId="060E6F2A">
            <w:pPr>
              <w:keepNext w:val="0"/>
              <w:keepLines w:val="0"/>
              <w:pageBreakBefore w:val="0"/>
              <w:widowControl/>
              <w:kinsoku/>
              <w:wordWrap/>
              <w:overflowPunct/>
              <w:topLinePunct w:val="0"/>
              <w:autoSpaceDE/>
              <w:autoSpaceDN/>
              <w:bidi w:val="0"/>
              <w:adjustRightInd/>
              <w:snapToGrid/>
              <w:spacing w:after="64" w:line="308" w:lineRule="auto"/>
              <w:ind w:left="0" w:right="0" w:firstLine="111" w:firstLineChars="74"/>
              <w:jc w:val="left"/>
              <w:textAlignment w:val="auto"/>
            </w:pPr>
            <w:r>
              <w:rPr>
                <w:rFonts w:ascii="宋体" w:hAnsi="宋体" w:eastAsia="宋体"/>
                <w:b w:val="0"/>
                <w:sz w:val="15"/>
              </w:rPr>
              <w:t>需要大量真实基数标签；新模板和分布变化会影响泛化</w:t>
            </w:r>
          </w:p>
        </w:tc>
      </w:tr>
      <w:tr w14:paraId="41228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shd w:val="clear" w:color="auto" w:fill="F5F7FA"/>
            <w:vAlign w:val="center"/>
          </w:tcPr>
          <w:p w14:paraId="243059E7">
            <w:pPr>
              <w:keepNext w:val="0"/>
              <w:keepLines w:val="0"/>
              <w:pageBreakBefore w:val="0"/>
              <w:widowControl/>
              <w:kinsoku/>
              <w:wordWrap/>
              <w:overflowPunct/>
              <w:topLinePunct w:val="0"/>
              <w:autoSpaceDE/>
              <w:autoSpaceDN/>
              <w:bidi w:val="0"/>
              <w:adjustRightInd/>
              <w:snapToGrid/>
              <w:spacing w:after="64" w:line="308" w:lineRule="auto"/>
              <w:ind w:left="0" w:right="0" w:firstLine="111" w:firstLineChars="74"/>
              <w:jc w:val="left"/>
              <w:textAlignment w:val="auto"/>
            </w:pPr>
            <w:r>
              <w:rPr>
                <w:rFonts w:ascii="宋体" w:hAnsi="宋体" w:eastAsia="宋体"/>
                <w:b w:val="0"/>
                <w:sz w:val="15"/>
              </w:rPr>
              <w:t>DeepDB</w:t>
            </w:r>
          </w:p>
        </w:tc>
        <w:tc>
          <w:tcPr>
            <w:tcW w:w="1587" w:type="dxa"/>
            <w:shd w:val="clear" w:color="auto" w:fill="F5F7FA"/>
            <w:vAlign w:val="center"/>
          </w:tcPr>
          <w:p w14:paraId="37F61B6A">
            <w:pPr>
              <w:keepNext w:val="0"/>
              <w:keepLines w:val="0"/>
              <w:pageBreakBefore w:val="0"/>
              <w:widowControl/>
              <w:kinsoku/>
              <w:wordWrap/>
              <w:overflowPunct/>
              <w:topLinePunct w:val="0"/>
              <w:autoSpaceDE/>
              <w:autoSpaceDN/>
              <w:bidi w:val="0"/>
              <w:adjustRightInd/>
              <w:snapToGrid/>
              <w:spacing w:after="64" w:line="308" w:lineRule="auto"/>
              <w:ind w:left="0" w:right="0" w:firstLine="111" w:firstLineChars="74"/>
              <w:jc w:val="left"/>
              <w:textAlignment w:val="auto"/>
            </w:pPr>
            <w:r>
              <w:rPr>
                <w:rFonts w:ascii="宋体" w:hAnsi="宋体" w:eastAsia="宋体"/>
                <w:b w:val="0"/>
                <w:sz w:val="15"/>
              </w:rPr>
              <w:t>数据驱动</w:t>
            </w:r>
          </w:p>
        </w:tc>
        <w:tc>
          <w:tcPr>
            <w:tcW w:w="2098" w:type="dxa"/>
            <w:shd w:val="clear" w:color="auto" w:fill="F5F7FA"/>
            <w:vAlign w:val="center"/>
          </w:tcPr>
          <w:p w14:paraId="7D89C5BA">
            <w:pPr>
              <w:keepNext w:val="0"/>
              <w:keepLines w:val="0"/>
              <w:pageBreakBefore w:val="0"/>
              <w:widowControl/>
              <w:kinsoku/>
              <w:wordWrap/>
              <w:overflowPunct/>
              <w:topLinePunct w:val="0"/>
              <w:autoSpaceDE/>
              <w:autoSpaceDN/>
              <w:bidi w:val="0"/>
              <w:adjustRightInd/>
              <w:snapToGrid/>
              <w:spacing w:after="64" w:line="308" w:lineRule="auto"/>
              <w:ind w:left="0" w:right="0" w:firstLine="111" w:firstLineChars="74"/>
              <w:jc w:val="left"/>
              <w:textAlignment w:val="auto"/>
            </w:pPr>
            <w:r>
              <w:rPr>
                <w:rFonts w:ascii="宋体" w:hAnsi="宋体" w:eastAsia="宋体"/>
                <w:b w:val="0"/>
                <w:sz w:val="15"/>
              </w:rPr>
              <w:t>S16/S19/S20：联合分布</w:t>
            </w:r>
          </w:p>
        </w:tc>
        <w:tc>
          <w:tcPr>
            <w:tcW w:w="2948" w:type="dxa"/>
            <w:shd w:val="clear" w:color="auto" w:fill="F5F7FA"/>
            <w:vAlign w:val="center"/>
          </w:tcPr>
          <w:p w14:paraId="27F583B4">
            <w:pPr>
              <w:keepNext w:val="0"/>
              <w:keepLines w:val="0"/>
              <w:pageBreakBefore w:val="0"/>
              <w:widowControl/>
              <w:kinsoku/>
              <w:wordWrap/>
              <w:overflowPunct/>
              <w:topLinePunct w:val="0"/>
              <w:autoSpaceDE/>
              <w:autoSpaceDN/>
              <w:bidi w:val="0"/>
              <w:adjustRightInd/>
              <w:snapToGrid/>
              <w:spacing w:after="64" w:line="308" w:lineRule="auto"/>
              <w:ind w:left="0" w:right="0" w:firstLine="111" w:firstLineChars="74"/>
              <w:jc w:val="left"/>
              <w:textAlignment w:val="auto"/>
            </w:pPr>
            <w:r>
              <w:rPr>
                <w:rFonts w:ascii="宋体" w:hAnsi="宋体" w:eastAsia="宋体"/>
                <w:b w:val="0"/>
                <w:sz w:val="15"/>
              </w:rPr>
              <w:t>直接学习数据联合分布，不必为每个查询模板准备大量标签</w:t>
            </w:r>
          </w:p>
        </w:tc>
        <w:tc>
          <w:tcPr>
            <w:tcW w:w="2324" w:type="dxa"/>
            <w:shd w:val="clear" w:color="auto" w:fill="F5F7FA"/>
            <w:vAlign w:val="center"/>
          </w:tcPr>
          <w:p w14:paraId="251B3946">
            <w:pPr>
              <w:keepNext w:val="0"/>
              <w:keepLines w:val="0"/>
              <w:pageBreakBefore w:val="0"/>
              <w:widowControl/>
              <w:kinsoku/>
              <w:wordWrap/>
              <w:overflowPunct/>
              <w:topLinePunct w:val="0"/>
              <w:autoSpaceDE/>
              <w:autoSpaceDN/>
              <w:bidi w:val="0"/>
              <w:adjustRightInd/>
              <w:snapToGrid/>
              <w:spacing w:after="64" w:line="308" w:lineRule="auto"/>
              <w:ind w:left="0" w:right="0" w:firstLine="111" w:firstLineChars="74"/>
              <w:jc w:val="left"/>
              <w:textAlignment w:val="auto"/>
            </w:pPr>
            <w:r>
              <w:rPr>
                <w:rFonts w:ascii="宋体" w:hAnsi="宋体" w:eastAsia="宋体"/>
                <w:b w:val="0"/>
                <w:sz w:val="15"/>
              </w:rPr>
              <w:t>复杂 schema 下模型构建、更新和推理成本较高</w:t>
            </w:r>
          </w:p>
        </w:tc>
      </w:tr>
      <w:tr w14:paraId="3178B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096B1FF9">
            <w:pPr>
              <w:keepNext w:val="0"/>
              <w:keepLines w:val="0"/>
              <w:pageBreakBefore w:val="0"/>
              <w:widowControl/>
              <w:kinsoku/>
              <w:wordWrap/>
              <w:overflowPunct/>
              <w:topLinePunct w:val="0"/>
              <w:autoSpaceDE/>
              <w:autoSpaceDN/>
              <w:bidi w:val="0"/>
              <w:adjustRightInd/>
              <w:snapToGrid/>
              <w:spacing w:after="64" w:line="308" w:lineRule="auto"/>
              <w:ind w:left="0" w:right="0" w:firstLine="111" w:firstLineChars="74"/>
              <w:jc w:val="left"/>
              <w:textAlignment w:val="auto"/>
            </w:pPr>
            <w:r>
              <w:rPr>
                <w:rFonts w:ascii="宋体" w:hAnsi="宋体" w:eastAsia="宋体"/>
                <w:b w:val="0"/>
                <w:sz w:val="15"/>
              </w:rPr>
              <w:t>NeuroCard</w:t>
            </w:r>
          </w:p>
        </w:tc>
        <w:tc>
          <w:tcPr>
            <w:tcW w:w="1587" w:type="dxa"/>
            <w:vAlign w:val="center"/>
          </w:tcPr>
          <w:p w14:paraId="66F98CF8">
            <w:pPr>
              <w:keepNext w:val="0"/>
              <w:keepLines w:val="0"/>
              <w:pageBreakBefore w:val="0"/>
              <w:widowControl/>
              <w:kinsoku/>
              <w:wordWrap/>
              <w:overflowPunct/>
              <w:topLinePunct w:val="0"/>
              <w:autoSpaceDE/>
              <w:autoSpaceDN/>
              <w:bidi w:val="0"/>
              <w:adjustRightInd/>
              <w:snapToGrid/>
              <w:spacing w:after="64" w:line="308" w:lineRule="auto"/>
              <w:ind w:left="0" w:right="0" w:firstLine="111" w:firstLineChars="74"/>
              <w:jc w:val="left"/>
              <w:textAlignment w:val="auto"/>
            </w:pPr>
            <w:r>
              <w:rPr>
                <w:rFonts w:ascii="宋体" w:hAnsi="宋体" w:eastAsia="宋体"/>
                <w:b w:val="0"/>
                <w:sz w:val="15"/>
              </w:rPr>
              <w:t>多表数据驱动</w:t>
            </w:r>
          </w:p>
        </w:tc>
        <w:tc>
          <w:tcPr>
            <w:tcW w:w="2098" w:type="dxa"/>
            <w:vAlign w:val="center"/>
          </w:tcPr>
          <w:p w14:paraId="42F3B7FA">
            <w:pPr>
              <w:keepNext w:val="0"/>
              <w:keepLines w:val="0"/>
              <w:pageBreakBefore w:val="0"/>
              <w:widowControl/>
              <w:kinsoku/>
              <w:wordWrap/>
              <w:overflowPunct/>
              <w:topLinePunct w:val="0"/>
              <w:autoSpaceDE/>
              <w:autoSpaceDN/>
              <w:bidi w:val="0"/>
              <w:adjustRightInd/>
              <w:snapToGrid/>
              <w:spacing w:after="64" w:line="308" w:lineRule="auto"/>
              <w:ind w:left="0" w:right="0" w:firstLine="111" w:firstLineChars="74"/>
              <w:jc w:val="left"/>
              <w:textAlignment w:val="auto"/>
            </w:pPr>
            <w:r>
              <w:rPr>
                <w:rFonts w:ascii="宋体" w:hAnsi="宋体" w:eastAsia="宋体"/>
                <w:b w:val="0"/>
                <w:sz w:val="15"/>
              </w:rPr>
              <w:t>S20、T09：跨表相关</w:t>
            </w:r>
          </w:p>
        </w:tc>
        <w:tc>
          <w:tcPr>
            <w:tcW w:w="2948" w:type="dxa"/>
            <w:vAlign w:val="center"/>
          </w:tcPr>
          <w:p w14:paraId="1BEAFB51">
            <w:pPr>
              <w:keepNext w:val="0"/>
              <w:keepLines w:val="0"/>
              <w:pageBreakBefore w:val="0"/>
              <w:widowControl/>
              <w:kinsoku/>
              <w:wordWrap/>
              <w:overflowPunct/>
              <w:topLinePunct w:val="0"/>
              <w:autoSpaceDE/>
              <w:autoSpaceDN/>
              <w:bidi w:val="0"/>
              <w:adjustRightInd/>
              <w:snapToGrid/>
              <w:spacing w:after="64" w:line="308" w:lineRule="auto"/>
              <w:ind w:left="0" w:right="0" w:firstLine="111" w:firstLineChars="74"/>
              <w:jc w:val="left"/>
              <w:textAlignment w:val="auto"/>
            </w:pPr>
            <w:r>
              <w:rPr>
                <w:rFonts w:ascii="宋体" w:hAnsi="宋体" w:eastAsia="宋体"/>
                <w:b w:val="0"/>
                <w:sz w:val="15"/>
              </w:rPr>
              <w:t>把多表联合关系直接纳入一个模型，最贴近跨表相关问题</w:t>
            </w:r>
          </w:p>
        </w:tc>
        <w:tc>
          <w:tcPr>
            <w:tcW w:w="2324" w:type="dxa"/>
            <w:vAlign w:val="center"/>
          </w:tcPr>
          <w:p w14:paraId="1045ABE6">
            <w:pPr>
              <w:keepNext w:val="0"/>
              <w:keepLines w:val="0"/>
              <w:pageBreakBefore w:val="0"/>
              <w:widowControl/>
              <w:kinsoku/>
              <w:wordWrap/>
              <w:overflowPunct/>
              <w:topLinePunct w:val="0"/>
              <w:autoSpaceDE/>
              <w:autoSpaceDN/>
              <w:bidi w:val="0"/>
              <w:adjustRightInd/>
              <w:snapToGrid/>
              <w:spacing w:after="64" w:line="308" w:lineRule="auto"/>
              <w:ind w:left="0" w:right="0" w:firstLine="111" w:firstLineChars="74"/>
              <w:jc w:val="left"/>
              <w:textAlignment w:val="auto"/>
            </w:pPr>
            <w:r>
              <w:rPr>
                <w:rFonts w:ascii="宋体" w:hAnsi="宋体" w:eastAsia="宋体"/>
                <w:b w:val="0"/>
                <w:sz w:val="15"/>
              </w:rPr>
              <w:t>多表空间大，采样与模型维护复杂</w:t>
            </w:r>
          </w:p>
        </w:tc>
      </w:tr>
      <w:tr w14:paraId="25354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shd w:val="clear" w:color="auto" w:fill="F5F7FA"/>
            <w:vAlign w:val="center"/>
          </w:tcPr>
          <w:p w14:paraId="7D931450">
            <w:pPr>
              <w:keepNext w:val="0"/>
              <w:keepLines w:val="0"/>
              <w:pageBreakBefore w:val="0"/>
              <w:widowControl/>
              <w:kinsoku/>
              <w:wordWrap/>
              <w:overflowPunct/>
              <w:topLinePunct w:val="0"/>
              <w:autoSpaceDE/>
              <w:autoSpaceDN/>
              <w:bidi w:val="0"/>
              <w:adjustRightInd/>
              <w:snapToGrid/>
              <w:spacing w:after="64" w:line="308" w:lineRule="auto"/>
              <w:ind w:left="0" w:right="0" w:firstLine="111" w:firstLineChars="74"/>
              <w:jc w:val="left"/>
              <w:textAlignment w:val="auto"/>
            </w:pPr>
            <w:r>
              <w:rPr>
                <w:rFonts w:ascii="宋体" w:hAnsi="宋体" w:eastAsia="宋体"/>
                <w:b w:val="0"/>
                <w:sz w:val="15"/>
              </w:rPr>
              <w:t>FactorJoin</w:t>
            </w:r>
          </w:p>
        </w:tc>
        <w:tc>
          <w:tcPr>
            <w:tcW w:w="1587" w:type="dxa"/>
            <w:shd w:val="clear" w:color="auto" w:fill="F5F7FA"/>
            <w:vAlign w:val="center"/>
          </w:tcPr>
          <w:p w14:paraId="6E9B5B50">
            <w:pPr>
              <w:keepNext w:val="0"/>
              <w:keepLines w:val="0"/>
              <w:pageBreakBefore w:val="0"/>
              <w:widowControl/>
              <w:kinsoku/>
              <w:wordWrap/>
              <w:overflowPunct/>
              <w:topLinePunct w:val="0"/>
              <w:autoSpaceDE/>
              <w:autoSpaceDN/>
              <w:bidi w:val="0"/>
              <w:adjustRightInd/>
              <w:snapToGrid/>
              <w:spacing w:after="64" w:line="308" w:lineRule="auto"/>
              <w:ind w:left="0" w:right="0" w:firstLine="111" w:firstLineChars="74"/>
              <w:jc w:val="left"/>
              <w:textAlignment w:val="auto"/>
            </w:pPr>
            <w:r>
              <w:rPr>
                <w:rFonts w:ascii="宋体" w:hAnsi="宋体" w:eastAsia="宋体"/>
                <w:b w:val="0"/>
                <w:sz w:val="15"/>
              </w:rPr>
              <w:t>Join 专用概率方法</w:t>
            </w:r>
          </w:p>
        </w:tc>
        <w:tc>
          <w:tcPr>
            <w:tcW w:w="2098" w:type="dxa"/>
            <w:shd w:val="clear" w:color="auto" w:fill="F5F7FA"/>
            <w:vAlign w:val="center"/>
          </w:tcPr>
          <w:p w14:paraId="707D83B4">
            <w:pPr>
              <w:keepNext w:val="0"/>
              <w:keepLines w:val="0"/>
              <w:pageBreakBefore w:val="0"/>
              <w:widowControl/>
              <w:kinsoku/>
              <w:wordWrap/>
              <w:overflowPunct/>
              <w:topLinePunct w:val="0"/>
              <w:autoSpaceDE/>
              <w:autoSpaceDN/>
              <w:bidi w:val="0"/>
              <w:adjustRightInd/>
              <w:snapToGrid/>
              <w:spacing w:after="64" w:line="308" w:lineRule="auto"/>
              <w:ind w:left="0" w:right="0" w:firstLine="111" w:firstLineChars="74"/>
              <w:jc w:val="left"/>
              <w:textAlignment w:val="auto"/>
            </w:pPr>
            <w:r>
              <w:rPr>
                <w:rFonts w:ascii="宋体" w:hAnsi="宋体" w:eastAsia="宋体"/>
                <w:b w:val="0"/>
                <w:sz w:val="15"/>
              </w:rPr>
              <w:t>S20、T09</w:t>
            </w:r>
          </w:p>
        </w:tc>
        <w:tc>
          <w:tcPr>
            <w:tcW w:w="2948" w:type="dxa"/>
            <w:shd w:val="clear" w:color="auto" w:fill="F5F7FA"/>
            <w:vAlign w:val="center"/>
          </w:tcPr>
          <w:p w14:paraId="194AABF4">
            <w:pPr>
              <w:keepNext w:val="0"/>
              <w:keepLines w:val="0"/>
              <w:pageBreakBefore w:val="0"/>
              <w:widowControl/>
              <w:kinsoku/>
              <w:wordWrap/>
              <w:overflowPunct/>
              <w:topLinePunct w:val="0"/>
              <w:autoSpaceDE/>
              <w:autoSpaceDN/>
              <w:bidi w:val="0"/>
              <w:adjustRightInd/>
              <w:snapToGrid/>
              <w:spacing w:after="64" w:line="308" w:lineRule="auto"/>
              <w:ind w:left="0" w:right="0" w:firstLine="111" w:firstLineChars="74"/>
              <w:jc w:val="left"/>
              <w:textAlignment w:val="auto"/>
            </w:pPr>
            <w:r>
              <w:rPr>
                <w:rFonts w:ascii="宋体" w:hAnsi="宋体" w:eastAsia="宋体"/>
                <w:b w:val="0"/>
                <w:sz w:val="15"/>
              </w:rPr>
              <w:t>用因子分解做多表 Join 推断，强调效率与可部署性</w:t>
            </w:r>
          </w:p>
        </w:tc>
        <w:tc>
          <w:tcPr>
            <w:tcW w:w="2324" w:type="dxa"/>
            <w:shd w:val="clear" w:color="auto" w:fill="F5F7FA"/>
            <w:vAlign w:val="center"/>
          </w:tcPr>
          <w:p w14:paraId="6BA9B137">
            <w:pPr>
              <w:keepNext w:val="0"/>
              <w:keepLines w:val="0"/>
              <w:pageBreakBefore w:val="0"/>
              <w:widowControl/>
              <w:kinsoku/>
              <w:wordWrap/>
              <w:overflowPunct/>
              <w:topLinePunct w:val="0"/>
              <w:autoSpaceDE/>
              <w:autoSpaceDN/>
              <w:bidi w:val="0"/>
              <w:adjustRightInd/>
              <w:snapToGrid/>
              <w:spacing w:after="64" w:line="308" w:lineRule="auto"/>
              <w:ind w:left="0" w:right="0" w:firstLine="111" w:firstLineChars="74"/>
              <w:jc w:val="left"/>
              <w:textAlignment w:val="auto"/>
            </w:pPr>
            <w:r>
              <w:rPr>
                <w:rFonts w:ascii="宋体" w:hAnsi="宋体" w:eastAsia="宋体"/>
                <w:b w:val="0"/>
                <w:sz w:val="15"/>
              </w:rPr>
              <w:t>仍依赖分解假设和单表分布模型质量</w:t>
            </w:r>
          </w:p>
        </w:tc>
      </w:tr>
      <w:tr w14:paraId="580A1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349BC196">
            <w:pPr>
              <w:keepNext w:val="0"/>
              <w:keepLines w:val="0"/>
              <w:pageBreakBefore w:val="0"/>
              <w:widowControl/>
              <w:kinsoku/>
              <w:wordWrap/>
              <w:overflowPunct/>
              <w:topLinePunct w:val="0"/>
              <w:autoSpaceDE/>
              <w:autoSpaceDN/>
              <w:bidi w:val="0"/>
              <w:adjustRightInd/>
              <w:snapToGrid/>
              <w:spacing w:after="64" w:line="308" w:lineRule="auto"/>
              <w:ind w:left="0" w:right="0" w:firstLine="111" w:firstLineChars="74"/>
              <w:jc w:val="left"/>
              <w:textAlignment w:val="auto"/>
            </w:pPr>
            <w:r>
              <w:rPr>
                <w:rFonts w:ascii="宋体" w:hAnsi="宋体" w:eastAsia="宋体"/>
                <w:b w:val="0"/>
                <w:sz w:val="15"/>
              </w:rPr>
              <w:t>ALECE</w:t>
            </w:r>
          </w:p>
        </w:tc>
        <w:tc>
          <w:tcPr>
            <w:tcW w:w="1587" w:type="dxa"/>
            <w:vAlign w:val="center"/>
          </w:tcPr>
          <w:p w14:paraId="7BD74477">
            <w:pPr>
              <w:keepNext w:val="0"/>
              <w:keepLines w:val="0"/>
              <w:pageBreakBefore w:val="0"/>
              <w:widowControl/>
              <w:kinsoku/>
              <w:wordWrap/>
              <w:overflowPunct/>
              <w:topLinePunct w:val="0"/>
              <w:autoSpaceDE/>
              <w:autoSpaceDN/>
              <w:bidi w:val="0"/>
              <w:adjustRightInd/>
              <w:snapToGrid/>
              <w:spacing w:after="64" w:line="308" w:lineRule="auto"/>
              <w:ind w:left="0" w:right="0" w:firstLine="111" w:firstLineChars="74"/>
              <w:jc w:val="left"/>
              <w:textAlignment w:val="auto"/>
            </w:pPr>
            <w:r>
              <w:rPr>
                <w:rFonts w:ascii="宋体" w:hAnsi="宋体" w:eastAsia="宋体"/>
                <w:b w:val="0"/>
                <w:sz w:val="15"/>
              </w:rPr>
              <w:t>动态 learned CE</w:t>
            </w:r>
          </w:p>
        </w:tc>
        <w:tc>
          <w:tcPr>
            <w:tcW w:w="2098" w:type="dxa"/>
            <w:vAlign w:val="center"/>
          </w:tcPr>
          <w:p w14:paraId="64E09882">
            <w:pPr>
              <w:keepNext w:val="0"/>
              <w:keepLines w:val="0"/>
              <w:pageBreakBefore w:val="0"/>
              <w:widowControl/>
              <w:kinsoku/>
              <w:wordWrap/>
              <w:overflowPunct/>
              <w:topLinePunct w:val="0"/>
              <w:autoSpaceDE/>
              <w:autoSpaceDN/>
              <w:bidi w:val="0"/>
              <w:adjustRightInd/>
              <w:snapToGrid/>
              <w:spacing w:after="64" w:line="308" w:lineRule="auto"/>
              <w:ind w:left="0" w:right="0" w:firstLine="111" w:firstLineChars="74"/>
              <w:jc w:val="left"/>
              <w:textAlignment w:val="auto"/>
            </w:pPr>
            <w:r>
              <w:rPr>
                <w:rFonts w:ascii="宋体" w:hAnsi="宋体" w:eastAsia="宋体"/>
                <w:b w:val="0"/>
                <w:sz w:val="15"/>
              </w:rPr>
              <w:t>T11/数据变化问题</w:t>
            </w:r>
          </w:p>
        </w:tc>
        <w:tc>
          <w:tcPr>
            <w:tcW w:w="2948" w:type="dxa"/>
            <w:vAlign w:val="center"/>
          </w:tcPr>
          <w:p w14:paraId="53C5A888">
            <w:pPr>
              <w:keepNext w:val="0"/>
              <w:keepLines w:val="0"/>
              <w:pageBreakBefore w:val="0"/>
              <w:widowControl/>
              <w:kinsoku/>
              <w:wordWrap/>
              <w:overflowPunct/>
              <w:topLinePunct w:val="0"/>
              <w:autoSpaceDE/>
              <w:autoSpaceDN/>
              <w:bidi w:val="0"/>
              <w:adjustRightInd/>
              <w:snapToGrid/>
              <w:spacing w:after="64" w:line="308" w:lineRule="auto"/>
              <w:ind w:left="0" w:right="0" w:firstLine="111" w:firstLineChars="74"/>
              <w:jc w:val="left"/>
              <w:textAlignment w:val="auto"/>
            </w:pPr>
            <w:r>
              <w:rPr>
                <w:rFonts w:ascii="宋体" w:hAnsi="宋体" w:eastAsia="宋体"/>
                <w:b w:val="0"/>
                <w:sz w:val="15"/>
              </w:rPr>
              <w:t>将查询与当前数据状态共同建模，适合动态 workload</w:t>
            </w:r>
          </w:p>
        </w:tc>
        <w:tc>
          <w:tcPr>
            <w:tcW w:w="2324" w:type="dxa"/>
            <w:vAlign w:val="center"/>
          </w:tcPr>
          <w:p w14:paraId="3A910A6C">
            <w:pPr>
              <w:keepNext w:val="0"/>
              <w:keepLines w:val="0"/>
              <w:pageBreakBefore w:val="0"/>
              <w:widowControl/>
              <w:kinsoku/>
              <w:wordWrap/>
              <w:overflowPunct/>
              <w:topLinePunct w:val="0"/>
              <w:autoSpaceDE/>
              <w:autoSpaceDN/>
              <w:bidi w:val="0"/>
              <w:adjustRightInd/>
              <w:snapToGrid/>
              <w:spacing w:after="64" w:line="308" w:lineRule="auto"/>
              <w:ind w:left="0" w:right="0" w:firstLine="111" w:firstLineChars="74"/>
              <w:jc w:val="left"/>
              <w:textAlignment w:val="auto"/>
            </w:pPr>
            <w:r>
              <w:rPr>
                <w:rFonts w:ascii="宋体" w:hAnsi="宋体" w:eastAsia="宋体"/>
                <w:b w:val="0"/>
                <w:sz w:val="15"/>
              </w:rPr>
              <w:t>需要持续维护状态表示，系统集成成本存在</w:t>
            </w:r>
          </w:p>
        </w:tc>
      </w:tr>
      <w:tr w14:paraId="0ECBE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shd w:val="clear" w:color="auto" w:fill="F5F7FA"/>
            <w:vAlign w:val="center"/>
          </w:tcPr>
          <w:p w14:paraId="7CC8FC44">
            <w:pPr>
              <w:keepNext w:val="0"/>
              <w:keepLines w:val="0"/>
              <w:pageBreakBefore w:val="0"/>
              <w:widowControl/>
              <w:kinsoku/>
              <w:wordWrap/>
              <w:overflowPunct/>
              <w:topLinePunct w:val="0"/>
              <w:autoSpaceDE/>
              <w:autoSpaceDN/>
              <w:bidi w:val="0"/>
              <w:adjustRightInd/>
              <w:snapToGrid/>
              <w:spacing w:after="64" w:line="308" w:lineRule="auto"/>
              <w:ind w:left="0" w:right="0" w:firstLine="111" w:firstLineChars="74"/>
              <w:jc w:val="left"/>
              <w:textAlignment w:val="auto"/>
            </w:pPr>
            <w:r>
              <w:rPr>
                <w:rFonts w:ascii="宋体" w:hAnsi="宋体" w:eastAsia="宋体"/>
                <w:b w:val="0"/>
                <w:sz w:val="15"/>
              </w:rPr>
              <w:t>PRICE</w:t>
            </w:r>
          </w:p>
        </w:tc>
        <w:tc>
          <w:tcPr>
            <w:tcW w:w="1587" w:type="dxa"/>
            <w:shd w:val="clear" w:color="auto" w:fill="F5F7FA"/>
            <w:vAlign w:val="center"/>
          </w:tcPr>
          <w:p w14:paraId="7C56C187">
            <w:pPr>
              <w:keepNext w:val="0"/>
              <w:keepLines w:val="0"/>
              <w:pageBreakBefore w:val="0"/>
              <w:widowControl/>
              <w:kinsoku/>
              <w:wordWrap/>
              <w:overflowPunct/>
              <w:topLinePunct w:val="0"/>
              <w:autoSpaceDE/>
              <w:autoSpaceDN/>
              <w:bidi w:val="0"/>
              <w:adjustRightInd/>
              <w:snapToGrid/>
              <w:spacing w:after="64" w:line="308" w:lineRule="auto"/>
              <w:ind w:left="0" w:right="0" w:firstLine="111" w:firstLineChars="74"/>
              <w:jc w:val="left"/>
              <w:textAlignment w:val="auto"/>
            </w:pPr>
            <w:r>
              <w:rPr>
                <w:rFonts w:ascii="宋体" w:hAnsi="宋体" w:eastAsia="宋体"/>
                <w:b w:val="0"/>
                <w:sz w:val="15"/>
              </w:rPr>
              <w:t>预训练/迁移</w:t>
            </w:r>
          </w:p>
        </w:tc>
        <w:tc>
          <w:tcPr>
            <w:tcW w:w="2098" w:type="dxa"/>
            <w:shd w:val="clear" w:color="auto" w:fill="F5F7FA"/>
            <w:vAlign w:val="center"/>
          </w:tcPr>
          <w:p w14:paraId="73422901">
            <w:pPr>
              <w:keepNext w:val="0"/>
              <w:keepLines w:val="0"/>
              <w:pageBreakBefore w:val="0"/>
              <w:widowControl/>
              <w:kinsoku/>
              <w:wordWrap/>
              <w:overflowPunct/>
              <w:topLinePunct w:val="0"/>
              <w:autoSpaceDE/>
              <w:autoSpaceDN/>
              <w:bidi w:val="0"/>
              <w:adjustRightInd/>
              <w:snapToGrid/>
              <w:spacing w:after="64" w:line="308" w:lineRule="auto"/>
              <w:ind w:left="0" w:right="0" w:firstLine="111" w:firstLineChars="74"/>
              <w:jc w:val="left"/>
              <w:textAlignment w:val="auto"/>
            </w:pPr>
            <w:r>
              <w:rPr>
                <w:rFonts w:ascii="宋体" w:hAnsi="宋体" w:eastAsia="宋体"/>
                <w:b w:val="0"/>
                <w:sz w:val="15"/>
              </w:rPr>
              <w:t>新数据库部署成本</w:t>
            </w:r>
          </w:p>
        </w:tc>
        <w:tc>
          <w:tcPr>
            <w:tcW w:w="2948" w:type="dxa"/>
            <w:shd w:val="clear" w:color="auto" w:fill="F5F7FA"/>
            <w:vAlign w:val="center"/>
          </w:tcPr>
          <w:p w14:paraId="60094BB3">
            <w:pPr>
              <w:keepNext w:val="0"/>
              <w:keepLines w:val="0"/>
              <w:pageBreakBefore w:val="0"/>
              <w:widowControl/>
              <w:kinsoku/>
              <w:wordWrap/>
              <w:overflowPunct/>
              <w:topLinePunct w:val="0"/>
              <w:autoSpaceDE/>
              <w:autoSpaceDN/>
              <w:bidi w:val="0"/>
              <w:adjustRightInd/>
              <w:snapToGrid/>
              <w:spacing w:after="64" w:line="308" w:lineRule="auto"/>
              <w:ind w:left="0" w:right="0" w:firstLine="111" w:firstLineChars="74"/>
              <w:jc w:val="left"/>
              <w:textAlignment w:val="auto"/>
            </w:pPr>
            <w:r>
              <w:rPr>
                <w:rFonts w:ascii="宋体" w:hAnsi="宋体" w:eastAsia="宋体"/>
                <w:b w:val="0"/>
                <w:sz w:val="15"/>
              </w:rPr>
              <w:t>跨数据库预训练，降低每个新库从零训练的准备成本</w:t>
            </w:r>
          </w:p>
        </w:tc>
        <w:tc>
          <w:tcPr>
            <w:tcW w:w="2324" w:type="dxa"/>
            <w:shd w:val="clear" w:color="auto" w:fill="F5F7FA"/>
            <w:vAlign w:val="center"/>
          </w:tcPr>
          <w:p w14:paraId="30100029">
            <w:pPr>
              <w:keepNext w:val="0"/>
              <w:keepLines w:val="0"/>
              <w:pageBreakBefore w:val="0"/>
              <w:widowControl/>
              <w:kinsoku/>
              <w:wordWrap/>
              <w:overflowPunct/>
              <w:topLinePunct w:val="0"/>
              <w:autoSpaceDE/>
              <w:autoSpaceDN/>
              <w:bidi w:val="0"/>
              <w:adjustRightInd/>
              <w:snapToGrid/>
              <w:spacing w:after="64" w:line="308" w:lineRule="auto"/>
              <w:ind w:left="0" w:right="0" w:firstLine="111" w:firstLineChars="74"/>
              <w:jc w:val="left"/>
              <w:textAlignment w:val="auto"/>
            </w:pPr>
            <w:r>
              <w:rPr>
                <w:rFonts w:ascii="宋体" w:hAnsi="宋体" w:eastAsia="宋体"/>
                <w:b w:val="0"/>
                <w:sz w:val="15"/>
              </w:rPr>
              <w:t>schema 与数据分布差异仍影响迁移效果</w:t>
            </w:r>
          </w:p>
        </w:tc>
      </w:tr>
      <w:tr w14:paraId="4970D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6365C8C">
            <w:pPr>
              <w:keepNext w:val="0"/>
              <w:keepLines w:val="0"/>
              <w:pageBreakBefore w:val="0"/>
              <w:widowControl/>
              <w:kinsoku/>
              <w:wordWrap/>
              <w:overflowPunct/>
              <w:topLinePunct w:val="0"/>
              <w:autoSpaceDE/>
              <w:autoSpaceDN/>
              <w:bidi w:val="0"/>
              <w:adjustRightInd/>
              <w:snapToGrid/>
              <w:spacing w:after="64" w:line="308" w:lineRule="auto"/>
              <w:ind w:left="0" w:right="0" w:firstLine="111" w:firstLineChars="74"/>
              <w:jc w:val="left"/>
              <w:textAlignment w:val="auto"/>
            </w:pPr>
            <w:r>
              <w:rPr>
                <w:rFonts w:ascii="宋体" w:hAnsi="宋体" w:eastAsia="宋体"/>
                <w:b w:val="0"/>
                <w:sz w:val="15"/>
              </w:rPr>
              <w:t>ZeroCard</w:t>
            </w:r>
          </w:p>
        </w:tc>
        <w:tc>
          <w:tcPr>
            <w:tcW w:w="1587" w:type="dxa"/>
            <w:vAlign w:val="center"/>
          </w:tcPr>
          <w:p w14:paraId="77C27319">
            <w:pPr>
              <w:keepNext w:val="0"/>
              <w:keepLines w:val="0"/>
              <w:pageBreakBefore w:val="0"/>
              <w:widowControl/>
              <w:kinsoku/>
              <w:wordWrap/>
              <w:overflowPunct/>
              <w:topLinePunct w:val="0"/>
              <w:autoSpaceDE/>
              <w:autoSpaceDN/>
              <w:bidi w:val="0"/>
              <w:adjustRightInd/>
              <w:snapToGrid/>
              <w:spacing w:after="64" w:line="308" w:lineRule="auto"/>
              <w:ind w:left="0" w:right="0" w:firstLine="111" w:firstLineChars="74"/>
              <w:jc w:val="left"/>
              <w:textAlignment w:val="auto"/>
            </w:pPr>
            <w:r>
              <w:rPr>
                <w:rFonts w:ascii="宋体" w:hAnsi="宋体" w:eastAsia="宋体"/>
                <w:b w:val="0"/>
                <w:sz w:val="15"/>
              </w:rPr>
              <w:t>零样本/语义驱动</w:t>
            </w:r>
          </w:p>
        </w:tc>
        <w:tc>
          <w:tcPr>
            <w:tcW w:w="2098" w:type="dxa"/>
            <w:vAlign w:val="center"/>
          </w:tcPr>
          <w:p w14:paraId="413BCD78">
            <w:pPr>
              <w:keepNext w:val="0"/>
              <w:keepLines w:val="0"/>
              <w:pageBreakBefore w:val="0"/>
              <w:widowControl/>
              <w:kinsoku/>
              <w:wordWrap/>
              <w:overflowPunct/>
              <w:topLinePunct w:val="0"/>
              <w:autoSpaceDE/>
              <w:autoSpaceDN/>
              <w:bidi w:val="0"/>
              <w:adjustRightInd/>
              <w:snapToGrid/>
              <w:spacing w:after="64" w:line="308" w:lineRule="auto"/>
              <w:ind w:left="0" w:right="0" w:firstLine="111" w:firstLineChars="74"/>
              <w:jc w:val="left"/>
              <w:textAlignment w:val="auto"/>
            </w:pPr>
            <w:r>
              <w:rPr>
                <w:rFonts w:ascii="宋体" w:hAnsi="宋体" w:eastAsia="宋体"/>
                <w:b w:val="0"/>
                <w:sz w:val="15"/>
              </w:rPr>
              <w:t>冷启动、隐私受限</w:t>
            </w:r>
          </w:p>
        </w:tc>
        <w:tc>
          <w:tcPr>
            <w:tcW w:w="2948" w:type="dxa"/>
            <w:vAlign w:val="center"/>
          </w:tcPr>
          <w:p w14:paraId="29EEAF8C">
            <w:pPr>
              <w:keepNext w:val="0"/>
              <w:keepLines w:val="0"/>
              <w:pageBreakBefore w:val="0"/>
              <w:widowControl/>
              <w:kinsoku/>
              <w:wordWrap/>
              <w:overflowPunct/>
              <w:topLinePunct w:val="0"/>
              <w:autoSpaceDE/>
              <w:autoSpaceDN/>
              <w:bidi w:val="0"/>
              <w:adjustRightInd/>
              <w:snapToGrid/>
              <w:spacing w:after="64" w:line="308" w:lineRule="auto"/>
              <w:ind w:left="0" w:right="0" w:firstLine="111" w:firstLineChars="74"/>
              <w:jc w:val="left"/>
              <w:textAlignment w:val="auto"/>
            </w:pPr>
            <w:r>
              <w:rPr>
                <w:rFonts w:ascii="宋体" w:hAnsi="宋体" w:eastAsia="宋体"/>
                <w:b w:val="0"/>
                <w:sz w:val="15"/>
              </w:rPr>
              <w:t>进一步减少对目标库数据、日志和重训练的依赖</w:t>
            </w:r>
          </w:p>
        </w:tc>
        <w:tc>
          <w:tcPr>
            <w:tcW w:w="2324" w:type="dxa"/>
            <w:vAlign w:val="center"/>
          </w:tcPr>
          <w:p w14:paraId="45B6A382">
            <w:pPr>
              <w:keepNext w:val="0"/>
              <w:keepLines w:val="0"/>
              <w:pageBreakBefore w:val="0"/>
              <w:widowControl/>
              <w:kinsoku/>
              <w:wordWrap/>
              <w:overflowPunct/>
              <w:topLinePunct w:val="0"/>
              <w:autoSpaceDE/>
              <w:autoSpaceDN/>
              <w:bidi w:val="0"/>
              <w:adjustRightInd/>
              <w:snapToGrid/>
              <w:spacing w:after="64" w:line="308" w:lineRule="auto"/>
              <w:ind w:left="0" w:right="0" w:firstLine="111" w:firstLineChars="74"/>
              <w:jc w:val="left"/>
              <w:textAlignment w:val="auto"/>
            </w:pPr>
            <w:r>
              <w:rPr>
                <w:rFonts w:ascii="宋体" w:hAnsi="宋体" w:eastAsia="宋体"/>
                <w:b w:val="0"/>
                <w:sz w:val="15"/>
              </w:rPr>
              <w:t>较新方向，零样本稳定性仍需继续验证</w:t>
            </w:r>
          </w:p>
        </w:tc>
      </w:tr>
    </w:tbl>
    <w:p w14:paraId="15B8C142">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从这张表可以看出，本组实验与 AI 方法之间不是“一条查询对应一个模型”的关系，而是“一类估计困难对应一类学习对象”。S16/S19 说明联合分布很重要，但也同时证明传统扩展统计在同表场景中已经具有较强能力；S20 和 T09 才真正把问题推进到跨表分布与 Join 后相关性；T11 则提醒我们，真实优化器还要面对统计更新和数据状态变化。PRICE、ZeroCard 又把讨论从“怎样估”继续推进到“怎样部署”。这种组织方式比单纯罗列论文更能和 B/C/D 的实验形成一条完整主线。</w:t>
      </w:r>
    </w:p>
    <w:p w14:paraId="1D5076AF">
      <w:pPr>
        <w:keepNext w:val="0"/>
        <w:keepLines w:val="0"/>
        <w:pageBreakBefore w:val="0"/>
        <w:widowControl/>
        <w:kinsoku/>
        <w:wordWrap/>
        <w:overflowPunct/>
        <w:topLinePunct w:val="0"/>
        <w:autoSpaceDE/>
        <w:autoSpaceDN/>
        <w:bidi w:val="0"/>
        <w:adjustRightInd/>
        <w:snapToGrid/>
        <w:spacing w:after="64" w:line="308" w:lineRule="auto"/>
        <w:ind w:left="0" w:right="0" w:firstLine="155" w:firstLineChars="74"/>
        <w:jc w:val="center"/>
        <w:textAlignment w:val="auto"/>
      </w:pPr>
      <w:r>
        <w:drawing>
          <wp:inline distT="0" distB="0" distL="114300" distR="114300">
            <wp:extent cx="5975985" cy="3391535"/>
            <wp:effectExtent l="0" t="0" r="571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976000" cy="3391728"/>
                    </a:xfrm>
                    <a:prstGeom prst="rect">
                      <a:avLst/>
                    </a:prstGeom>
                  </pic:spPr>
                </pic:pic>
              </a:graphicData>
            </a:graphic>
          </wp:inline>
        </w:drawing>
      </w:r>
    </w:p>
    <w:p w14:paraId="61C30550">
      <w:pPr>
        <w:keepNext w:val="0"/>
        <w:keepLines w:val="0"/>
        <w:pageBreakBefore w:val="0"/>
        <w:widowControl/>
        <w:kinsoku/>
        <w:wordWrap/>
        <w:overflowPunct/>
        <w:topLinePunct w:val="0"/>
        <w:autoSpaceDE/>
        <w:autoSpaceDN/>
        <w:bidi w:val="0"/>
        <w:adjustRightInd/>
        <w:snapToGrid/>
        <w:spacing w:after="64" w:line="308" w:lineRule="auto"/>
        <w:ind w:left="0" w:right="0" w:firstLine="133" w:firstLineChars="74"/>
        <w:jc w:val="center"/>
        <w:textAlignment w:val="auto"/>
      </w:pPr>
      <w:r>
        <w:rPr>
          <w:color w:val="5A5A5A"/>
          <w:sz w:val="18"/>
        </w:rPr>
        <w:t>图 2  本组实验问题—传统机制边界—AI 方法映射</w:t>
      </w:r>
    </w:p>
    <w:p w14:paraId="0B15970A">
      <w:pPr>
        <w:pStyle w:val="166"/>
        <w:keepNext w:val="0"/>
        <w:keepLines w:val="0"/>
        <w:pageBreakBefore w:val="0"/>
        <w:widowControl/>
        <w:kinsoku/>
        <w:wordWrap/>
        <w:overflowPunct/>
        <w:topLinePunct w:val="0"/>
        <w:autoSpaceDE/>
        <w:autoSpaceDN/>
        <w:bidi w:val="0"/>
        <w:adjustRightInd/>
        <w:snapToGrid/>
        <w:spacing w:before="0" w:after="64" w:line="308" w:lineRule="auto"/>
        <w:ind w:right="0"/>
        <w:textAlignment w:val="auto"/>
      </w:pPr>
      <w:r>
        <w:t>七、从 MSCN/DeepDB 到 PRICE：为什么 CE 开始转向可迁移</w:t>
      </w:r>
    </w:p>
    <w:p w14:paraId="20B27364">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如果把这些方法按时间和研究重点放在一起，可以看到学习型基数估计的关注点正在逐步变化。早期 MSCN 的核心问题是：能否用机器学习直接替代一部分人工选择率公式，让模型从 workload 中认识复杂相关 Join。随后 DeepDB、NeuroCard 等方法进一步追问：能否不依赖大量历史查询，而是直接学习数据分布，尤其是多表联合分布。到了 PRICE，问题又向工程部署移动：即使一个模型在某个数据库上很准，如果每个新数据库都需要重新生成训练查询、执行 SQL、收集真实基数并训练模型，实际部署成本仍然很高。</w:t>
      </w:r>
    </w:p>
    <w:p w14:paraId="6CA104BE">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因此，“可迁移”不是一个与准确率无关的额外功能，而是 learned CE 从研究原型走向数据库组件必须面对的问题。传统 PostgreSQL 统计的一个重要优势就是部署成本低：建表后 ANALYZE 即可得到基本统计，不需要历史 workload。学习型方法如果想进入相同的位置，就必须逐步降低训练数据、重训频率和数据库专用配置的要求。PRICE 的跨库预训练、ZeroCard 的零依赖尝试，实际上都在缩小这方面的差距。</w:t>
      </w:r>
    </w:p>
    <w:p w14:paraId="7356704B">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r>
        <w:t>结合本组实验，可以把这条演进概括为三步：第一步是“发现传统公式在哪些相关场景会错”，对应 S16、S19、T09；第二步是“让模型看到传统统计看不到的联合关系”，对应 S20 与 NeuroCard/FactorJoin；第三步是“让这些模型不再只服务于一个数据库”，对应 PRICE 与 ZeroCard。这样，</w:t>
      </w:r>
      <w:r>
        <w:rPr>
          <w:rFonts w:hint="eastAsia"/>
          <w:lang w:val="en-US" w:eastAsia="zh-CN"/>
        </w:rPr>
        <w:t>E</w:t>
      </w:r>
      <w:r>
        <w:t>的第三页 PPT 就可以从方法介绍自然过渡到发展趋势，而不是突然增加一个与实验无关的“最新论文”部分。</w:t>
      </w:r>
    </w:p>
    <w:p w14:paraId="264627E4">
      <w:pPr>
        <w:keepNext w:val="0"/>
        <w:keepLines w:val="0"/>
        <w:pageBreakBefore w:val="0"/>
        <w:widowControl/>
        <w:kinsoku/>
        <w:wordWrap/>
        <w:overflowPunct/>
        <w:topLinePunct w:val="0"/>
        <w:autoSpaceDE/>
        <w:autoSpaceDN/>
        <w:bidi w:val="0"/>
        <w:adjustRightInd/>
        <w:snapToGrid/>
        <w:spacing w:after="64" w:line="308" w:lineRule="auto"/>
        <w:ind w:left="0" w:right="0" w:firstLine="365" w:firstLineChars="174"/>
        <w:textAlignment w:val="auto"/>
      </w:pPr>
    </w:p>
    <w:p w14:paraId="1E36437E">
      <w:pPr>
        <w:pStyle w:val="166"/>
        <w:keepNext w:val="0"/>
        <w:keepLines w:val="0"/>
        <w:pageBreakBefore w:val="0"/>
        <w:widowControl/>
        <w:numPr>
          <w:ilvl w:val="0"/>
          <w:numId w:val="0"/>
        </w:numPr>
        <w:kinsoku/>
        <w:wordWrap/>
        <w:overflowPunct/>
        <w:topLinePunct w:val="0"/>
        <w:autoSpaceDE/>
        <w:autoSpaceDN/>
        <w:bidi w:val="0"/>
        <w:adjustRightInd/>
        <w:snapToGrid/>
        <w:spacing w:before="0" w:after="64" w:line="308" w:lineRule="auto"/>
        <w:ind w:right="0" w:rightChars="0"/>
        <w:textAlignment w:val="auto"/>
        <w:rPr>
          <w:rFonts w:hint="eastAsia"/>
        </w:rPr>
      </w:pPr>
      <w:r>
        <w:rPr>
          <w:rFonts w:hint="eastAsia"/>
          <w:lang w:val="en-US" w:eastAsia="zh-CN"/>
        </w:rPr>
        <w:t>八、</w:t>
      </w:r>
      <w:r>
        <w:rPr>
          <w:rFonts w:hint="eastAsia"/>
        </w:rPr>
        <w:t>从实验结论到工程落地：学习型 CE 还缺什么</w:t>
      </w:r>
    </w:p>
    <w:p w14:paraId="206975F1">
      <w:pPr>
        <w:pStyle w:val="30"/>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64" w:afterAutospacing="0" w:line="308" w:lineRule="auto"/>
        <w:ind w:left="0" w:leftChars="0" w:right="0" w:firstLine="365" w:firstLineChars="174"/>
        <w:textAlignment w:val="auto"/>
        <w:rPr>
          <w:rFonts w:ascii="Segoe UI" w:hAnsi="Segoe UI" w:eastAsia="Segoe UI" w:cs="Segoe UI"/>
          <w:i w:val="0"/>
          <w:iCs w:val="0"/>
          <w:caps w:val="0"/>
          <w:color w:val="0F1115"/>
          <w:spacing w:val="0"/>
          <w:sz w:val="21"/>
          <w:szCs w:val="21"/>
        </w:rPr>
      </w:pPr>
      <w:r>
        <w:rPr>
          <w:rFonts w:hint="default" w:ascii="Segoe UI" w:hAnsi="Segoe UI" w:eastAsia="Segoe UI" w:cs="Segoe UI"/>
          <w:i w:val="0"/>
          <w:iCs w:val="0"/>
          <w:caps w:val="0"/>
          <w:color w:val="0F1115"/>
          <w:spacing w:val="0"/>
          <w:sz w:val="21"/>
          <w:szCs w:val="21"/>
          <w:shd w:val="clear" w:fill="FFFFFF"/>
        </w:rPr>
        <w:t>综合前面的实验分析，传统 CBO 并非全面失效，同表相关可被扩展统计修正，真正困难集中在跨表联合分布、Join 后相关性以及统计输入本身的偏差。前面的分析已经把 MSCN、DeepDB、NeuroCard、PRICE 分别映射到 T09、S16/S19/S20、跨表相关、部署成本等不同问题，但回答“哪类 AI 方法对应哪类实验问题”只是第一步。要判断这些方法能否真正进入数据库优化器，还需要进一步讨论它们从研究原型走向数据库组件还缺什么。至少有以下八个工程问题需要在实验结论之后继续讨论。</w:t>
      </w:r>
    </w:p>
    <w:p w14:paraId="587E12ED">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64" w:afterAutospacing="0" w:line="308" w:lineRule="auto"/>
        <w:ind w:left="0" w:leftChars="0" w:right="0" w:firstLine="0" w:firstLineChars="0"/>
        <w:textAlignment w:val="auto"/>
        <w:rPr>
          <w:rFonts w:hint="eastAsia" w:ascii="黑体" w:hAnsi="黑体" w:eastAsia="黑体" w:cs="黑体"/>
          <w:b/>
          <w:bCs/>
          <w:caps w:val="0"/>
          <w:color w:val="173F69"/>
          <w:spacing w:val="0"/>
          <w:sz w:val="24"/>
          <w:szCs w:val="24"/>
        </w:rPr>
      </w:pPr>
      <w:r>
        <w:rPr>
          <w:rFonts w:hint="eastAsia" w:ascii="黑体" w:hAnsi="黑体" w:eastAsia="黑体" w:cs="黑体"/>
          <w:b/>
          <w:bCs/>
          <w:caps w:val="0"/>
          <w:color w:val="173F69"/>
          <w:spacing w:val="0"/>
          <w:sz w:val="24"/>
          <w:szCs w:val="24"/>
          <w:shd w:val="clear" w:fill="FFFFFF"/>
        </w:rPr>
        <w:t>（一）训练数据成本</w:t>
      </w:r>
    </w:p>
    <w:p w14:paraId="0D66665A">
      <w:pPr>
        <w:pStyle w:val="30"/>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64" w:afterAutospacing="0" w:line="308" w:lineRule="auto"/>
        <w:ind w:left="0" w:leftChars="0" w:right="0" w:firstLine="365" w:firstLineChars="174"/>
        <w:textAlignment w:val="auto"/>
        <w:rPr>
          <w:rFonts w:hint="default" w:ascii="Segoe UI" w:hAnsi="Segoe UI" w:eastAsia="Segoe UI" w:cs="Segoe UI"/>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MSCN 这类查询驱动方法需要大量历史查询及其真实基数作为标签，而真实基数通常需要执行查询才能获得。对于复杂查询，执行成本高、耗时长；如果为了训练模型反复运行大量 SQL，采集成本本身就可能抵消优化收益。前面的分析已指出 MSCN 适合 workload 稳定的场景，但“workload 稳定”本身就是一个较强的工程前提。</w:t>
      </w:r>
    </w:p>
    <w:p w14:paraId="01C6A374">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64" w:afterAutospacing="0" w:line="308" w:lineRule="auto"/>
        <w:ind w:left="0" w:leftChars="0" w:right="0" w:firstLine="0" w:firstLineChars="0"/>
        <w:textAlignment w:val="auto"/>
        <w:rPr>
          <w:rFonts w:hint="eastAsia" w:ascii="黑体" w:hAnsi="黑体" w:eastAsia="黑体" w:cs="黑体"/>
          <w:b/>
          <w:bCs/>
          <w:caps w:val="0"/>
          <w:color w:val="173F69"/>
          <w:spacing w:val="0"/>
          <w:sz w:val="24"/>
          <w:szCs w:val="24"/>
        </w:rPr>
      </w:pPr>
      <w:r>
        <w:rPr>
          <w:rFonts w:hint="eastAsia" w:ascii="黑体" w:hAnsi="黑体" w:eastAsia="黑体" w:cs="黑体"/>
          <w:b/>
          <w:bCs/>
          <w:caps w:val="0"/>
          <w:color w:val="173F69"/>
          <w:spacing w:val="0"/>
          <w:sz w:val="24"/>
          <w:szCs w:val="24"/>
          <w:shd w:val="clear" w:fill="FFFFFF"/>
        </w:rPr>
        <w:t>（二）冷启动</w:t>
      </w:r>
    </w:p>
    <w:p w14:paraId="12EE5929">
      <w:pPr>
        <w:pStyle w:val="30"/>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64" w:afterAutospacing="0" w:line="308" w:lineRule="auto"/>
        <w:ind w:left="0" w:leftChars="0" w:right="0" w:firstLine="365" w:firstLineChars="174"/>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强化学习优化器若未经稳健初始化直接上线，随机探索可能产生灾难性执行计划，导致 CPU 独占、I/O 饱和、内存溢出。前面的分析未展开冷启动细节，但这是学习型 CE 和学习型优化器共同面临的落地瓶颈。当前主流策略是专家轨迹行为克隆、离线代价模拟器预训练、线上渐进微调，但这些策略本身也需要额外工程投入。</w:t>
      </w:r>
    </w:p>
    <w:p w14:paraId="2D42962A">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64" w:afterAutospacing="0" w:line="308" w:lineRule="auto"/>
        <w:ind w:left="0" w:leftChars="0" w:right="0" w:firstLine="0" w:firstLineChars="0"/>
        <w:textAlignment w:val="auto"/>
        <w:rPr>
          <w:rFonts w:hint="eastAsia" w:ascii="黑体" w:hAnsi="黑体" w:eastAsia="黑体" w:cs="黑体"/>
          <w:b/>
          <w:bCs/>
          <w:caps w:val="0"/>
          <w:color w:val="173F69"/>
          <w:spacing w:val="0"/>
          <w:sz w:val="24"/>
          <w:szCs w:val="24"/>
        </w:rPr>
      </w:pPr>
      <w:r>
        <w:rPr>
          <w:rFonts w:hint="eastAsia" w:ascii="黑体" w:hAnsi="黑体" w:eastAsia="黑体" w:cs="黑体"/>
          <w:b/>
          <w:bCs/>
          <w:caps w:val="0"/>
          <w:color w:val="173F69"/>
          <w:spacing w:val="0"/>
          <w:sz w:val="24"/>
          <w:szCs w:val="24"/>
          <w:shd w:val="clear" w:fill="FFFFFF"/>
        </w:rPr>
        <w:t>（三）Workload drift 与泛化</w:t>
      </w:r>
    </w:p>
    <w:p w14:paraId="19893345">
      <w:pPr>
        <w:pStyle w:val="30"/>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64" w:afterAutospacing="0" w:line="308" w:lineRule="auto"/>
        <w:ind w:left="0" w:leftChars="0" w:right="0" w:firstLine="365" w:firstLineChars="174"/>
        <w:textAlignment w:val="auto"/>
        <w:rPr>
          <w:rFonts w:hint="default" w:ascii="Segoe UI" w:hAnsi="Segoe UI" w:eastAsia="Segoe UI" w:cs="Segoe UI"/>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分析 T11 时已经指出，统计信息会随数据变化失真。类似地，学习型模型也会随 workload 漂移而失效：训练时见过的查询模板，线上可能不再出现；线上新出现的模板，训练集中可能完全没有覆盖。数据库负载往往具有动态变化特点，静态训练出的模型需要持续更新或在线微调，否则准确率会逐渐下降。</w:t>
      </w:r>
    </w:p>
    <w:p w14:paraId="57BF3DD0">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64" w:afterAutospacing="0" w:line="308" w:lineRule="auto"/>
        <w:ind w:left="0" w:leftChars="0" w:right="0" w:firstLine="0" w:firstLineChars="0"/>
        <w:textAlignment w:val="auto"/>
        <w:rPr>
          <w:rFonts w:hint="eastAsia" w:ascii="黑体" w:hAnsi="黑体" w:eastAsia="黑体" w:cs="黑体"/>
          <w:b/>
          <w:bCs/>
          <w:caps w:val="0"/>
          <w:color w:val="173F69"/>
          <w:spacing w:val="0"/>
          <w:sz w:val="24"/>
          <w:szCs w:val="24"/>
        </w:rPr>
      </w:pPr>
      <w:r>
        <w:rPr>
          <w:rFonts w:hint="eastAsia" w:ascii="黑体" w:hAnsi="黑体" w:eastAsia="黑体" w:cs="黑体"/>
          <w:b/>
          <w:bCs/>
          <w:caps w:val="0"/>
          <w:color w:val="173F69"/>
          <w:spacing w:val="0"/>
          <w:sz w:val="24"/>
          <w:szCs w:val="24"/>
          <w:shd w:val="clear" w:fill="FFFFFF"/>
        </w:rPr>
        <w:t>（四）模型维护与更新</w:t>
      </w:r>
    </w:p>
    <w:p w14:paraId="287B306C">
      <w:pPr>
        <w:pStyle w:val="30"/>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64" w:afterAutospacing="0" w:line="308" w:lineRule="auto"/>
        <w:ind w:left="0" w:leftChars="0" w:right="0" w:firstLine="365" w:firstLineChars="174"/>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DeepDB 学习联合分布，NeuroCard 学习多表 join space，两者都面临模型维护问题。数据库越复杂，表和列越多，需要表达的联合关系就越多；数据持续更新后，原先学到的分布也需要及时调整。多表建模比单表建模更重，连接空间随表数增加迅速扩大，模型更新成本也更高。维护成本是学习型 CE 能否长期运行的关键，而不是训练一次就结束。</w:t>
      </w:r>
    </w:p>
    <w:p w14:paraId="0A1C508C">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64" w:afterAutospacing="0" w:line="308" w:lineRule="auto"/>
        <w:ind w:left="0" w:leftChars="0" w:right="0" w:firstLine="0" w:firstLineChars="0"/>
        <w:textAlignment w:val="auto"/>
        <w:rPr>
          <w:rFonts w:hint="eastAsia" w:ascii="黑体" w:hAnsi="黑体" w:eastAsia="黑体" w:cs="黑体"/>
          <w:b/>
          <w:bCs/>
          <w:caps w:val="0"/>
          <w:color w:val="173F69"/>
          <w:spacing w:val="0"/>
          <w:sz w:val="24"/>
          <w:szCs w:val="24"/>
        </w:rPr>
      </w:pPr>
      <w:r>
        <w:rPr>
          <w:rFonts w:hint="eastAsia" w:ascii="黑体" w:hAnsi="黑体" w:eastAsia="黑体" w:cs="黑体"/>
          <w:b/>
          <w:bCs/>
          <w:caps w:val="0"/>
          <w:color w:val="173F69"/>
          <w:spacing w:val="0"/>
          <w:sz w:val="24"/>
          <w:szCs w:val="24"/>
          <w:shd w:val="clear" w:fill="FFFFFF"/>
        </w:rPr>
        <w:t>（五）推理开销</w:t>
      </w:r>
    </w:p>
    <w:p w14:paraId="5B0FC812">
      <w:pPr>
        <w:pStyle w:val="30"/>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64" w:afterAutospacing="0" w:line="308" w:lineRule="auto"/>
        <w:ind w:left="0" w:leftChars="0" w:right="0" w:firstLine="365" w:firstLineChars="174"/>
        <w:textAlignment w:val="auto"/>
        <w:rPr>
          <w:rFonts w:hint="eastAsia" w:ascii="宋体" w:hAnsi="宋体" w:eastAsia="宋体" w:cs="宋体"/>
          <w:i w:val="0"/>
          <w:iCs w:val="0"/>
          <w:caps w:val="0"/>
          <w:color w:val="0F1115"/>
          <w:spacing w:val="0"/>
          <w:sz w:val="21"/>
          <w:szCs w:val="21"/>
          <w:shd w:val="clear" w:fill="FFFFFF"/>
          <w:lang w:eastAsia="zh-CN"/>
        </w:rPr>
      </w:pPr>
      <w:r>
        <w:rPr>
          <w:rFonts w:hint="eastAsia" w:ascii="宋体" w:hAnsi="宋体" w:eastAsia="宋体" w:cs="宋体"/>
          <w:i w:val="0"/>
          <w:iCs w:val="0"/>
          <w:caps w:val="0"/>
          <w:color w:val="0F1115"/>
          <w:spacing w:val="0"/>
          <w:sz w:val="21"/>
          <w:szCs w:val="21"/>
          <w:shd w:val="clear" w:fill="FFFFFF"/>
        </w:rPr>
        <w:t>所有学习型 CE 都必须在查询优化阶段完成估计。高并发 OLTP 场景要求优化阶段延迟极低，复杂模型推理可能成为新的瓶颈。DQ 全替代路线需要多步网络推理，单条 SQL 优化耗时可观；Bao 通过 Hint 干预将决策空间降到常数级，推理通常小于 1 毫秒。推理开销与优化质量同样重要，轻量化是工程落地的前提。</w:t>
      </w:r>
      <w:r>
        <w:rPr>
          <w:rFonts w:hint="eastAsia" w:cs="宋体"/>
          <w:i w:val="0"/>
          <w:iCs w:val="0"/>
          <w:caps w:val="0"/>
          <w:color w:val="0F1115"/>
          <w:spacing w:val="0"/>
          <w:sz w:val="21"/>
          <w:szCs w:val="21"/>
          <w:shd w:val="clear" w:fill="FFFFFF"/>
          <w:lang w:eastAsia="zh-CN"/>
        </w:rPr>
        <w:t>（</w:t>
      </w:r>
      <w:r>
        <w:rPr>
          <w:rFonts w:hint="eastAsia" w:cs="宋体"/>
          <w:i w:val="0"/>
          <w:iCs w:val="0"/>
          <w:caps w:val="0"/>
          <w:color w:val="0F1115"/>
          <w:spacing w:val="0"/>
          <w:sz w:val="21"/>
          <w:szCs w:val="21"/>
          <w:shd w:val="clear" w:fill="FFFFFF"/>
          <w:lang w:val="en-US" w:eastAsia="zh-CN"/>
        </w:rPr>
        <w:t>参见图1</w:t>
      </w:r>
      <w:r>
        <w:rPr>
          <w:rFonts w:hint="eastAsia" w:cs="宋体"/>
          <w:i w:val="0"/>
          <w:iCs w:val="0"/>
          <w:caps w:val="0"/>
          <w:color w:val="0F1115"/>
          <w:spacing w:val="0"/>
          <w:sz w:val="21"/>
          <w:szCs w:val="21"/>
          <w:shd w:val="clear" w:fill="FFFFFF"/>
          <w:lang w:eastAsia="zh-CN"/>
        </w:rPr>
        <w:t>）</w:t>
      </w:r>
    </w:p>
    <w:p w14:paraId="03E4EC97">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64" w:afterAutospacing="0" w:line="308" w:lineRule="auto"/>
        <w:ind w:left="0" w:leftChars="0" w:right="0" w:firstLine="0" w:firstLineChars="0"/>
        <w:textAlignment w:val="auto"/>
        <w:rPr>
          <w:rFonts w:hint="eastAsia" w:ascii="黑体" w:hAnsi="黑体" w:eastAsia="黑体" w:cs="黑体"/>
          <w:b/>
          <w:bCs/>
          <w:caps w:val="0"/>
          <w:color w:val="173F69"/>
          <w:spacing w:val="0"/>
          <w:sz w:val="24"/>
          <w:szCs w:val="24"/>
        </w:rPr>
      </w:pPr>
      <w:r>
        <w:rPr>
          <w:rFonts w:hint="eastAsia" w:ascii="黑体" w:hAnsi="黑体" w:eastAsia="黑体" w:cs="黑体"/>
          <w:b/>
          <w:bCs/>
          <w:caps w:val="0"/>
          <w:color w:val="173F69"/>
          <w:spacing w:val="0"/>
          <w:sz w:val="24"/>
          <w:szCs w:val="24"/>
          <w:shd w:val="clear" w:fill="FFFFFF"/>
        </w:rPr>
        <w:t>（六）可解释性</w:t>
      </w:r>
    </w:p>
    <w:p w14:paraId="27A703B0">
      <w:pPr>
        <w:pStyle w:val="30"/>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64" w:afterAutospacing="0" w:line="308" w:lineRule="auto"/>
        <w:ind w:left="0" w:leftChars="0" w:right="0" w:firstLine="365" w:firstLineChars="174"/>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神经网络黑盒特性限制 DBA 对异常执行计划的诊断能力。传统 CBO 可以通过统计信息和代价公式解释计划选择原因，而学习型模型通常只能给出预测值，很难清晰说明每个特征对预测结果的具体贡献。对于数据库系统，计划选择需要稳定性和可信度；缺乏解释性会影响学习型 CE 在核心优化器中的部署信任。可解释性不是附加功能，而是人机协同的必要条件。</w:t>
      </w:r>
    </w:p>
    <w:p w14:paraId="629EB427">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64" w:afterAutospacing="0" w:line="308" w:lineRule="auto"/>
        <w:ind w:left="0" w:leftChars="0" w:right="0" w:firstLine="0" w:firstLineChars="0"/>
        <w:textAlignment w:val="auto"/>
        <w:rPr>
          <w:rFonts w:hint="eastAsia" w:ascii="黑体" w:hAnsi="黑体" w:eastAsia="黑体" w:cs="黑体"/>
          <w:b/>
          <w:bCs/>
          <w:caps w:val="0"/>
          <w:color w:val="173F69"/>
          <w:spacing w:val="0"/>
          <w:sz w:val="24"/>
          <w:szCs w:val="24"/>
        </w:rPr>
      </w:pPr>
      <w:r>
        <w:rPr>
          <w:rFonts w:hint="eastAsia" w:ascii="黑体" w:hAnsi="黑体" w:eastAsia="黑体" w:cs="黑体"/>
          <w:b/>
          <w:bCs/>
          <w:caps w:val="0"/>
          <w:color w:val="173F69"/>
          <w:spacing w:val="0"/>
          <w:sz w:val="24"/>
          <w:szCs w:val="24"/>
          <w:shd w:val="clear" w:fill="FFFFFF"/>
        </w:rPr>
        <w:t>（七）内核集成</w:t>
      </w:r>
    </w:p>
    <w:p w14:paraId="6E1C12B7">
      <w:pPr>
        <w:pStyle w:val="30"/>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64" w:afterAutospacing="0" w:line="308" w:lineRule="auto"/>
        <w:ind w:left="0" w:leftChars="0" w:right="0" w:firstLine="365" w:firstLineChars="174"/>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学习型 CE 需要接入优化器，与现有代价模型、计划搜索、执行引擎协同工作。是替换式使用、修正式使用还是混合式使用？工程上必须回答：模型输出如何与 Cost 结合？当模型不确定时，是否回退到传统统计？如何保证安全下限？这些问题决定了学习型 CE 是停留在研究原型，还是真正成为数据库组件。</w:t>
      </w:r>
    </w:p>
    <w:p w14:paraId="267FB1D9">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64" w:afterAutospacing="0" w:line="308" w:lineRule="auto"/>
        <w:ind w:left="0" w:leftChars="0" w:right="0" w:firstLine="0" w:firstLineChars="0"/>
        <w:textAlignment w:val="auto"/>
        <w:rPr>
          <w:rFonts w:hint="eastAsia" w:ascii="黑体" w:hAnsi="黑体" w:eastAsia="黑体" w:cs="黑体"/>
          <w:b/>
          <w:bCs/>
          <w:caps w:val="0"/>
          <w:color w:val="173F69"/>
          <w:spacing w:val="0"/>
          <w:sz w:val="24"/>
          <w:szCs w:val="24"/>
        </w:rPr>
      </w:pPr>
      <w:r>
        <w:rPr>
          <w:rFonts w:hint="eastAsia" w:ascii="黑体" w:hAnsi="黑体" w:eastAsia="黑体" w:cs="黑体"/>
          <w:b/>
          <w:bCs/>
          <w:caps w:val="0"/>
          <w:color w:val="173F69"/>
          <w:spacing w:val="0"/>
          <w:sz w:val="24"/>
          <w:szCs w:val="24"/>
          <w:shd w:val="clear" w:fill="FFFFFF"/>
        </w:rPr>
        <w:t>（八）跨库迁移</w:t>
      </w:r>
    </w:p>
    <w:p w14:paraId="62BEAECD">
      <w:pPr>
        <w:pStyle w:val="30"/>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64" w:afterAutospacing="0" w:line="308" w:lineRule="auto"/>
        <w:ind w:left="0" w:leftChars="0" w:right="0" w:firstLine="365" w:firstLineChars="174"/>
        <w:textAlignment w:val="auto"/>
        <w:rPr>
          <w:rFonts w:hint="eastAsia" w:ascii="宋体" w:hAnsi="宋体" w:eastAsia="宋体" w:cs="宋体"/>
          <w:i w:val="0"/>
          <w:iCs w:val="0"/>
          <w:caps w:val="0"/>
          <w:color w:val="0F1115"/>
          <w:spacing w:val="0"/>
          <w:sz w:val="21"/>
          <w:szCs w:val="21"/>
          <w:shd w:val="clear" w:fill="FFFFFF"/>
        </w:rPr>
      </w:pPr>
      <w:r>
        <w:rPr>
          <w:rFonts w:hint="eastAsia" w:ascii="宋体" w:hAnsi="宋体" w:eastAsia="宋体" w:cs="宋体"/>
          <w:i w:val="0"/>
          <w:iCs w:val="0"/>
          <w:caps w:val="0"/>
          <w:color w:val="0F1115"/>
          <w:spacing w:val="0"/>
          <w:sz w:val="21"/>
          <w:szCs w:val="21"/>
          <w:shd w:val="clear" w:fill="FFFFFF"/>
        </w:rPr>
        <w:t>前面的分析已把 PRICE 定位为“从单库训练走向跨库预训练”的演进终点，并指出 schema 与数据分布差异仍影响迁移效果。跨库迁移是学习型 CE 从“为一个数据库训练一个更准的模型”走向“低成本部署到新数据库”的关键一步。PRICE 的预训练、ZeroCard 的零依赖尝试，都是在缩小这一差距，但零样本条件下的稳定性和泛化仍需更多验证。</w:t>
      </w:r>
    </w:p>
    <w:p w14:paraId="6304ECDD">
      <w:pPr>
        <w:pStyle w:val="30"/>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64" w:afterAutospacing="0" w:line="308" w:lineRule="auto"/>
        <w:ind w:left="0" w:leftChars="0" w:right="0" w:firstLine="155" w:firstLineChars="74"/>
        <w:textAlignment w:val="auto"/>
        <w:rPr>
          <w:rFonts w:hint="eastAsia" w:ascii="宋体" w:hAnsi="宋体" w:eastAsia="宋体" w:cs="宋体"/>
          <w:i w:val="0"/>
          <w:iCs w:val="0"/>
          <w:caps w:val="0"/>
          <w:color w:val="0F1115"/>
          <w:spacing w:val="0"/>
          <w:sz w:val="21"/>
          <w:szCs w:val="21"/>
          <w:shd w:val="clear" w:fill="FFFFFF"/>
          <w:lang w:eastAsia="zh-CN"/>
        </w:rPr>
      </w:pPr>
      <w:r>
        <w:rPr>
          <w:rFonts w:hint="eastAsia" w:ascii="宋体" w:hAnsi="宋体" w:eastAsia="宋体" w:cs="宋体"/>
          <w:i w:val="0"/>
          <w:iCs w:val="0"/>
          <w:caps w:val="0"/>
          <w:color w:val="0F1115"/>
          <w:spacing w:val="0"/>
          <w:sz w:val="21"/>
          <w:szCs w:val="21"/>
          <w:shd w:val="clear" w:fill="FFFFFF"/>
          <w:lang w:eastAsia="zh-CN"/>
        </w:rPr>
        <w:drawing>
          <wp:inline distT="0" distB="0" distL="114300" distR="114300">
            <wp:extent cx="6181725" cy="3455670"/>
            <wp:effectExtent l="0" t="0" r="0" b="1905"/>
            <wp:docPr id="4" name="图片 4" descr="D02_plan_tree_S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02_plan_tree_S20"/>
                    <pic:cNvPicPr>
                      <a:picLocks noChangeAspect="1"/>
                    </pic:cNvPicPr>
                  </pic:nvPicPr>
                  <pic:blipFill>
                    <a:blip r:embed="rId9"/>
                    <a:stretch>
                      <a:fillRect/>
                    </a:stretch>
                  </pic:blipFill>
                  <pic:spPr>
                    <a:xfrm>
                      <a:off x="0" y="0"/>
                      <a:ext cx="6181725" cy="3455670"/>
                    </a:xfrm>
                    <a:prstGeom prst="rect">
                      <a:avLst/>
                    </a:prstGeom>
                  </pic:spPr>
                </pic:pic>
              </a:graphicData>
            </a:graphic>
          </wp:inline>
        </w:drawing>
      </w:r>
    </w:p>
    <w:p w14:paraId="0C2562D4">
      <w:pPr>
        <w:pStyle w:val="30"/>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64" w:afterAutospacing="0" w:line="308" w:lineRule="auto"/>
        <w:ind w:left="0" w:leftChars="0" w:right="0" w:firstLine="155" w:firstLineChars="74"/>
        <w:jc w:val="center"/>
        <w:textAlignment w:val="auto"/>
        <w:rPr>
          <w:rFonts w:hint="eastAsia" w:ascii="宋体" w:hAnsi="宋体" w:eastAsia="宋体" w:cs="宋体"/>
          <w:i w:val="0"/>
          <w:iCs w:val="0"/>
          <w:caps w:val="0"/>
          <w:color w:val="808080" w:themeColor="background1" w:themeShade="80"/>
          <w:spacing w:val="0"/>
          <w:sz w:val="21"/>
          <w:szCs w:val="21"/>
          <w:shd w:val="clear" w:fill="FFFFFF"/>
          <w:lang w:eastAsia="zh-CN"/>
        </w:rPr>
      </w:pPr>
      <w:r>
        <w:rPr>
          <w:rFonts w:hint="eastAsia" w:ascii="宋体" w:hAnsi="宋体" w:eastAsia="宋体" w:cs="宋体"/>
          <w:i w:val="0"/>
          <w:iCs w:val="0"/>
          <w:caps w:val="0"/>
          <w:color w:val="808080" w:themeColor="background1" w:themeShade="80"/>
          <w:spacing w:val="0"/>
          <w:sz w:val="21"/>
          <w:szCs w:val="21"/>
          <w:shd w:val="clear" w:fill="FFFFFF"/>
          <w:lang w:eastAsia="zh-CN"/>
        </w:rPr>
        <w:t>图</w:t>
      </w:r>
      <w:r>
        <w:rPr>
          <w:rFonts w:hint="eastAsia" w:cs="宋体"/>
          <w:i w:val="0"/>
          <w:iCs w:val="0"/>
          <w:caps w:val="0"/>
          <w:color w:val="808080" w:themeColor="background1" w:themeShade="80"/>
          <w:spacing w:val="0"/>
          <w:sz w:val="21"/>
          <w:szCs w:val="21"/>
          <w:shd w:val="clear" w:fill="FFFFFF"/>
          <w:lang w:val="en-US" w:eastAsia="zh-CN"/>
        </w:rPr>
        <w:t xml:space="preserve">3 </w:t>
      </w:r>
      <w:r>
        <w:rPr>
          <w:rFonts w:hint="eastAsia" w:ascii="宋体" w:hAnsi="宋体" w:eastAsia="宋体" w:cs="宋体"/>
          <w:i w:val="0"/>
          <w:iCs w:val="0"/>
          <w:caps w:val="0"/>
          <w:color w:val="808080" w:themeColor="background1" w:themeShade="80"/>
          <w:spacing w:val="0"/>
          <w:sz w:val="21"/>
          <w:szCs w:val="21"/>
          <w:shd w:val="clear" w:fill="FFFFFF"/>
          <w:lang w:eastAsia="zh-CN"/>
        </w:rPr>
        <w:t xml:space="preserve"> S20 计划树（D02）</w:t>
      </w:r>
    </w:p>
    <w:p w14:paraId="40129920">
      <w:pPr>
        <w:pStyle w:val="30"/>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64" w:afterAutospacing="0" w:line="308" w:lineRule="auto"/>
        <w:ind w:left="0" w:leftChars="0" w:right="0" w:firstLine="155" w:firstLineChars="74"/>
        <w:textAlignment w:val="auto"/>
        <w:rPr>
          <w:rFonts w:hint="eastAsia" w:ascii="宋体" w:hAnsi="宋体" w:eastAsia="宋体" w:cs="宋体"/>
          <w:i w:val="0"/>
          <w:iCs w:val="0"/>
          <w:caps w:val="0"/>
          <w:color w:val="0F1115"/>
          <w:spacing w:val="0"/>
          <w:sz w:val="21"/>
          <w:szCs w:val="21"/>
          <w:shd w:val="clear" w:fill="FFFFFF"/>
          <w:lang w:eastAsia="zh-CN"/>
        </w:rPr>
      </w:pPr>
    </w:p>
    <w:p w14:paraId="55C2B92E">
      <w:pPr>
        <w:pStyle w:val="166"/>
        <w:keepNext w:val="0"/>
        <w:keepLines w:val="0"/>
        <w:pageBreakBefore w:val="0"/>
        <w:widowControl/>
        <w:numPr>
          <w:ilvl w:val="0"/>
          <w:numId w:val="0"/>
        </w:numPr>
        <w:kinsoku/>
        <w:wordWrap/>
        <w:overflowPunct/>
        <w:topLinePunct w:val="0"/>
        <w:autoSpaceDE/>
        <w:autoSpaceDN/>
        <w:bidi w:val="0"/>
        <w:adjustRightInd/>
        <w:snapToGrid/>
        <w:spacing w:before="0" w:after="64" w:line="308" w:lineRule="auto"/>
        <w:ind w:right="0" w:rightChars="0"/>
        <w:textAlignment w:val="auto"/>
        <w:rPr>
          <w:rFonts w:hint="eastAsia"/>
        </w:rPr>
      </w:pPr>
      <w:r>
        <w:rPr>
          <w:rFonts w:hint="eastAsia"/>
          <w:lang w:val="en-US" w:eastAsia="zh-CN"/>
        </w:rPr>
        <w:t>九、</w:t>
      </w:r>
      <w:r>
        <w:rPr>
          <w:rFonts w:hint="eastAsia"/>
        </w:rPr>
        <w:t>可视化分析</w:t>
      </w:r>
    </w:p>
    <w:p w14:paraId="2CD6CB53">
      <w:pPr>
        <w:pStyle w:val="30"/>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64" w:afterAutospacing="0" w:line="308" w:lineRule="auto"/>
        <w:ind w:left="0" w:leftChars="0" w:right="0" w:firstLine="365" w:firstLineChars="174"/>
        <w:textAlignment w:val="auto"/>
        <w:rPr>
          <w:rFonts w:hint="eastAsia" w:ascii="宋体" w:hAnsi="宋体" w:eastAsia="宋体" w:cs="宋体"/>
          <w:i w:val="0"/>
          <w:iCs w:val="0"/>
          <w:caps w:val="0"/>
          <w:color w:val="0F1115"/>
          <w:spacing w:val="0"/>
          <w:sz w:val="21"/>
          <w:szCs w:val="21"/>
          <w:shd w:val="clear" w:fill="FFFFFF"/>
        </w:rPr>
      </w:pPr>
      <w:r>
        <w:rPr>
          <w:rFonts w:hint="eastAsia" w:ascii="宋体" w:hAnsi="宋体" w:eastAsia="宋体" w:cs="宋体"/>
          <w:i w:val="0"/>
          <w:iCs w:val="0"/>
          <w:caps w:val="0"/>
          <w:color w:val="0F1115"/>
          <w:spacing w:val="0"/>
          <w:sz w:val="21"/>
          <w:szCs w:val="21"/>
          <w:shd w:val="clear" w:fill="FFFFFF"/>
        </w:rPr>
        <w:t>为更清晰地呈现前文实验问题与工程落地分析，本部分补充四类可视化分析。这些图表不重复趋势文字，只作为结构化支撑。</w:t>
      </w:r>
    </w:p>
    <w:p w14:paraId="19A64E88">
      <w:pPr>
        <w:pStyle w:val="30"/>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64" w:afterAutospacing="0" w:line="308" w:lineRule="auto"/>
        <w:ind w:left="0" w:leftChars="0" w:right="0" w:firstLine="0" w:firstLineChars="0"/>
        <w:textAlignment w:val="auto"/>
        <w:rPr>
          <w:rFonts w:hint="eastAsia" w:ascii="黑体" w:hAnsi="黑体" w:eastAsia="黑体" w:cs="黑体"/>
          <w:b/>
          <w:bCs/>
          <w:caps w:val="0"/>
          <w:color w:val="173F69"/>
          <w:spacing w:val="0"/>
          <w:sz w:val="24"/>
          <w:szCs w:val="24"/>
        </w:rPr>
      </w:pPr>
      <w:r>
        <w:rPr>
          <w:rFonts w:hint="eastAsia" w:ascii="黑体" w:hAnsi="黑体" w:eastAsia="黑体" w:cs="黑体"/>
          <w:b/>
          <w:bCs/>
          <w:caps w:val="0"/>
          <w:color w:val="173F69"/>
          <w:spacing w:val="0"/>
          <w:sz w:val="24"/>
          <w:szCs w:val="24"/>
          <w:shd w:val="clear" w:fill="FFFFFF"/>
        </w:rPr>
        <w:t>（一）趋势时间线图</w:t>
      </w:r>
    </w:p>
    <w:p w14:paraId="2ACBA6C4">
      <w:pPr>
        <w:pStyle w:val="30"/>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64" w:afterAutospacing="0" w:line="308" w:lineRule="auto"/>
        <w:ind w:left="0" w:right="0" w:firstLine="365" w:firstLineChars="174"/>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趋势时间线图以年份为轴，串联 MSCN（2019）、DeepDB（2020）、NeuroCard（2020/21）、FactorJoin（2023）、ALECE（2023/24）、PRICE（2024）、ZeroCard（2025）等关键节点，直观展示研究重心从“单库 Q-error”逐步转向“跨库迁移、系统级收益与工程落地”。</w:t>
      </w:r>
    </w:p>
    <w:p w14:paraId="4FDAB29E">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64" w:afterAutospacing="0" w:line="308" w:lineRule="auto"/>
        <w:ind w:left="0" w:leftChars="0" w:right="0" w:firstLine="178" w:firstLineChars="74"/>
        <w:textAlignment w:val="auto"/>
        <w:rPr>
          <w:rFonts w:hint="eastAsia" w:ascii="黑体" w:hAnsi="黑体" w:eastAsia="黑体" w:cs="黑体"/>
          <w:b/>
          <w:bCs/>
          <w:caps w:val="0"/>
          <w:color w:val="173F69"/>
          <w:spacing w:val="0"/>
          <w:sz w:val="24"/>
          <w:szCs w:val="24"/>
          <w:shd w:val="clear" w:fill="FFFFFF"/>
        </w:rPr>
      </w:pPr>
      <w:r>
        <w:rPr>
          <w:rFonts w:hint="eastAsia" w:ascii="黑体" w:hAnsi="黑体" w:eastAsia="黑体" w:cs="黑体"/>
          <w:b/>
          <w:bCs/>
          <w:caps w:val="0"/>
          <w:color w:val="173F69"/>
          <w:spacing w:val="0"/>
          <w:sz w:val="24"/>
          <w:szCs w:val="24"/>
          <w:shd w:val="clear" w:fill="FFFFFF"/>
        </w:rPr>
        <w:drawing>
          <wp:inline distT="0" distB="0" distL="114300" distR="114300">
            <wp:extent cx="6158230" cy="1878965"/>
            <wp:effectExtent l="0" t="0" r="4445" b="6985"/>
            <wp:docPr id="5" name="图片 5" descr="deepseek_mermaid_20261005_d2c8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eepseek_mermaid_20261005_d2c8ea"/>
                    <pic:cNvPicPr>
                      <a:picLocks noChangeAspect="1"/>
                    </pic:cNvPicPr>
                  </pic:nvPicPr>
                  <pic:blipFill>
                    <a:blip r:embed="rId10"/>
                    <a:stretch>
                      <a:fillRect/>
                    </a:stretch>
                  </pic:blipFill>
                  <pic:spPr>
                    <a:xfrm>
                      <a:off x="0" y="0"/>
                      <a:ext cx="6158230" cy="1878965"/>
                    </a:xfrm>
                    <a:prstGeom prst="rect">
                      <a:avLst/>
                    </a:prstGeom>
                  </pic:spPr>
                </pic:pic>
              </a:graphicData>
            </a:graphic>
          </wp:inline>
        </w:drawing>
      </w:r>
    </w:p>
    <w:p w14:paraId="71AB8F4B">
      <w:pPr>
        <w:ind w:left="0" w:leftChars="0" w:firstLine="0" w:firstLineChars="0"/>
        <w:jc w:val="center"/>
        <w:rPr>
          <w:rFonts w:hint="eastAsia"/>
          <w:color w:val="808080" w:themeColor="background1" w:themeShade="80"/>
        </w:rPr>
      </w:pPr>
      <w:r>
        <w:rPr>
          <w:rFonts w:hint="eastAsia"/>
          <w:color w:val="808080" w:themeColor="background1" w:themeShade="80"/>
        </w:rPr>
        <w:t>图</w:t>
      </w:r>
      <w:r>
        <w:rPr>
          <w:rFonts w:hint="eastAsia"/>
          <w:color w:val="808080" w:themeColor="background1" w:themeShade="80"/>
          <w:lang w:val="en-US" w:eastAsia="zh-CN"/>
        </w:rPr>
        <w:t xml:space="preserve">4 </w:t>
      </w:r>
      <w:r>
        <w:rPr>
          <w:rFonts w:hint="eastAsia"/>
          <w:color w:val="808080" w:themeColor="background1" w:themeShade="80"/>
        </w:rPr>
        <w:t xml:space="preserve"> 趋势时间线图</w:t>
      </w:r>
    </w:p>
    <w:p w14:paraId="48E156FA">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64" w:afterAutospacing="0" w:line="308" w:lineRule="auto"/>
        <w:ind w:left="0" w:leftChars="0" w:right="0" w:firstLine="0" w:firstLineChars="0"/>
        <w:textAlignment w:val="auto"/>
        <w:rPr>
          <w:rFonts w:hint="eastAsia" w:ascii="宋体" w:hAnsi="宋体" w:eastAsia="宋体" w:cs="宋体"/>
          <w:b/>
          <w:bCs/>
          <w:caps w:val="0"/>
          <w:color w:val="0F1115"/>
          <w:spacing w:val="0"/>
          <w:sz w:val="21"/>
          <w:szCs w:val="21"/>
        </w:rPr>
      </w:pPr>
      <w:r>
        <w:rPr>
          <w:rFonts w:hint="eastAsia" w:ascii="黑体" w:hAnsi="黑体" w:eastAsia="黑体" w:cs="黑体"/>
          <w:b/>
          <w:bCs/>
          <w:caps w:val="0"/>
          <w:color w:val="173F69"/>
          <w:spacing w:val="0"/>
          <w:sz w:val="24"/>
          <w:szCs w:val="24"/>
          <w:shd w:val="clear" w:fill="FFFFFF"/>
        </w:rPr>
        <w:t>（二）趋势–工程问题映射矩阵</w:t>
      </w:r>
    </w:p>
    <w:p w14:paraId="1C9F8F5A">
      <w:pPr>
        <w:pStyle w:val="30"/>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64" w:afterAutospacing="0" w:line="308" w:lineRule="auto"/>
        <w:ind w:left="0" w:leftChars="0" w:right="0" w:firstLine="365" w:firstLineChars="174"/>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趋势–工程问题映射矩阵以十一条趋势为行，以训练成本、冷启动、workload drift、推理开销、可解释性、内核集成、跨库迁移、系统收益等八类工程问题为列，用“强/中/弱”标注关联强度。矩阵显示：跨库迁移趋势与“跨库迁移”问题强相关；系统级收益趋势与“推理开销”“内核集成”“系统收益”强相关；冷启动与在线适应趋势与“训练成本”“冷启动”“workload drift”强相关；可解释与轻量化趋势与“推理开销”“可解释性”强相关。</w:t>
      </w:r>
    </w:p>
    <w:p w14:paraId="6C659E3A">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64" w:afterAutospacing="0" w:line="308" w:lineRule="auto"/>
        <w:ind w:left="0" w:leftChars="0" w:right="0" w:firstLine="156" w:firstLineChars="74"/>
        <w:textAlignment w:val="auto"/>
      </w:pPr>
      <w:r>
        <w:drawing>
          <wp:inline distT="0" distB="0" distL="114300" distR="114300">
            <wp:extent cx="6187440" cy="2054860"/>
            <wp:effectExtent l="0" t="0" r="3810" b="254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1"/>
                    <a:stretch>
                      <a:fillRect/>
                    </a:stretch>
                  </pic:blipFill>
                  <pic:spPr>
                    <a:xfrm>
                      <a:off x="0" y="0"/>
                      <a:ext cx="6187440" cy="2054860"/>
                    </a:xfrm>
                    <a:prstGeom prst="rect">
                      <a:avLst/>
                    </a:prstGeom>
                    <a:noFill/>
                    <a:ln>
                      <a:noFill/>
                    </a:ln>
                  </pic:spPr>
                </pic:pic>
              </a:graphicData>
            </a:graphic>
          </wp:inline>
        </w:drawing>
      </w:r>
    </w:p>
    <w:p w14:paraId="0EB3E189">
      <w:pPr>
        <w:ind w:left="0" w:leftChars="0" w:firstLine="0" w:firstLineChars="0"/>
        <w:jc w:val="center"/>
        <w:rPr>
          <w:color w:val="808080" w:themeColor="background1" w:themeShade="80"/>
        </w:rPr>
      </w:pPr>
      <w:r>
        <w:rPr>
          <w:rFonts w:hint="eastAsia"/>
          <w:color w:val="808080" w:themeColor="background1" w:themeShade="80"/>
        </w:rPr>
        <w:t>图</w:t>
      </w:r>
      <w:r>
        <w:rPr>
          <w:rFonts w:hint="eastAsia"/>
          <w:color w:val="808080" w:themeColor="background1" w:themeShade="80"/>
          <w:lang w:val="en-US" w:eastAsia="zh-CN"/>
        </w:rPr>
        <w:t xml:space="preserve">5 </w:t>
      </w:r>
      <w:r>
        <w:rPr>
          <w:rFonts w:hint="eastAsia"/>
          <w:color w:val="808080" w:themeColor="background1" w:themeShade="80"/>
        </w:rPr>
        <w:t xml:space="preserve"> 趋势–工程问题矩阵</w:t>
      </w:r>
    </w:p>
    <w:p w14:paraId="5CE97D3D">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64" w:afterAutospacing="0" w:line="308" w:lineRule="auto"/>
        <w:ind w:left="0" w:leftChars="0" w:right="0" w:firstLine="0" w:firstLineChars="0"/>
        <w:textAlignment w:val="auto"/>
        <w:rPr>
          <w:rFonts w:hint="eastAsia" w:ascii="黑体" w:hAnsi="黑体" w:eastAsia="黑体" w:cs="黑体"/>
          <w:b/>
          <w:bCs/>
          <w:caps w:val="0"/>
          <w:color w:val="173F69"/>
          <w:spacing w:val="0"/>
          <w:sz w:val="24"/>
          <w:szCs w:val="24"/>
        </w:rPr>
      </w:pPr>
      <w:r>
        <w:rPr>
          <w:rFonts w:hint="eastAsia" w:ascii="黑体" w:hAnsi="黑体" w:eastAsia="黑体" w:cs="黑体"/>
          <w:b/>
          <w:bCs/>
          <w:caps w:val="0"/>
          <w:color w:val="173F69"/>
          <w:spacing w:val="0"/>
          <w:sz w:val="24"/>
          <w:szCs w:val="24"/>
          <w:shd w:val="clear" w:fill="FFFFFF"/>
        </w:rPr>
        <w:t>（三）“趋势–证据–影响–本组接口”四栏表</w:t>
      </w:r>
    </w:p>
    <w:p w14:paraId="6BBA8950">
      <w:pPr>
        <w:pStyle w:val="30"/>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64" w:afterAutospacing="0" w:line="308" w:lineRule="auto"/>
        <w:ind w:left="0" w:leftChars="0" w:right="0" w:firstLine="365" w:firstLineChars="174"/>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四栏表将每条趋势的文献信号与本组实验证据并列，明确其工程影响与本组接口。例如：跨库可迁移趋势的证据是 PRICE 多库预训练、ZeroCard 零数据依赖与 S20 跨表 Q-error 100，工程影响是降低新库准备成本，本组接口是 S20 跨表相关；系统级收益趋势的证据是 Bao 真实延迟反馈与 S16/S19/S20 计划未切换，工程影响是推理开销与端到端延迟成为评价重点，本组接口是评价链条“基数 → Cost → 计划 → 执行时间”。</w:t>
      </w:r>
    </w:p>
    <w:p w14:paraId="2B0F0856">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64" w:afterAutospacing="0" w:line="308" w:lineRule="auto"/>
        <w:ind w:left="0" w:leftChars="0" w:right="0" w:firstLine="156" w:firstLineChars="74"/>
        <w:textAlignment w:val="auto"/>
      </w:pPr>
      <w:r>
        <w:drawing>
          <wp:inline distT="0" distB="0" distL="114300" distR="114300">
            <wp:extent cx="6176010" cy="3172460"/>
            <wp:effectExtent l="0" t="0" r="5715" b="889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2"/>
                    <a:stretch>
                      <a:fillRect/>
                    </a:stretch>
                  </pic:blipFill>
                  <pic:spPr>
                    <a:xfrm>
                      <a:off x="0" y="0"/>
                      <a:ext cx="6176010" cy="3172460"/>
                    </a:xfrm>
                    <a:prstGeom prst="rect">
                      <a:avLst/>
                    </a:prstGeom>
                    <a:noFill/>
                    <a:ln>
                      <a:noFill/>
                    </a:ln>
                  </pic:spPr>
                </pic:pic>
              </a:graphicData>
            </a:graphic>
          </wp:inline>
        </w:drawing>
      </w:r>
    </w:p>
    <w:p w14:paraId="3A9C4F1D">
      <w:pPr>
        <w:ind w:left="0" w:leftChars="0" w:firstLine="0" w:firstLineChars="0"/>
        <w:jc w:val="center"/>
        <w:rPr>
          <w:color w:val="808080" w:themeColor="background1" w:themeShade="80"/>
        </w:rPr>
      </w:pPr>
      <w:r>
        <w:rPr>
          <w:rFonts w:hint="eastAsia"/>
          <w:color w:val="808080" w:themeColor="background1" w:themeShade="80"/>
        </w:rPr>
        <w:t>图</w:t>
      </w:r>
      <w:r>
        <w:rPr>
          <w:rFonts w:hint="eastAsia"/>
          <w:color w:val="808080" w:themeColor="background1" w:themeShade="80"/>
          <w:lang w:val="en-US" w:eastAsia="zh-CN"/>
        </w:rPr>
        <w:t>6</w:t>
      </w:r>
      <w:r>
        <w:rPr>
          <w:rFonts w:hint="eastAsia"/>
          <w:color w:val="808080" w:themeColor="background1" w:themeShade="80"/>
        </w:rPr>
        <w:t xml:space="preserve"> </w:t>
      </w:r>
      <w:r>
        <w:rPr>
          <w:rFonts w:hint="eastAsia"/>
          <w:color w:val="808080" w:themeColor="background1" w:themeShade="80"/>
          <w:lang w:val="en-US" w:eastAsia="zh-CN"/>
        </w:rPr>
        <w:t xml:space="preserve"> “趋势–证据–影响–本组接口”</w:t>
      </w:r>
      <w:r>
        <w:rPr>
          <w:rFonts w:hint="eastAsia"/>
          <w:color w:val="808080" w:themeColor="background1" w:themeShade="80"/>
        </w:rPr>
        <w:t>四栏表</w:t>
      </w:r>
    </w:p>
    <w:p w14:paraId="1397830F">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64" w:afterAutospacing="0" w:line="308" w:lineRule="auto"/>
        <w:ind w:left="0" w:leftChars="0" w:right="0" w:firstLine="178" w:firstLineChars="74"/>
        <w:textAlignment w:val="auto"/>
        <w:rPr>
          <w:rFonts w:hint="eastAsia" w:ascii="宋体" w:hAnsi="宋体" w:eastAsia="宋体" w:cs="宋体"/>
          <w:b/>
          <w:bCs/>
          <w:caps w:val="0"/>
          <w:color w:val="0F1115"/>
          <w:spacing w:val="0"/>
          <w:sz w:val="21"/>
          <w:szCs w:val="21"/>
        </w:rPr>
      </w:pPr>
      <w:r>
        <w:rPr>
          <w:rFonts w:hint="eastAsia" w:ascii="黑体" w:hAnsi="黑体" w:eastAsia="黑体" w:cs="黑体"/>
          <w:b/>
          <w:bCs/>
          <w:caps w:val="0"/>
          <w:color w:val="173F69"/>
          <w:spacing w:val="0"/>
          <w:sz w:val="24"/>
          <w:szCs w:val="24"/>
          <w:shd w:val="clear" w:fill="FFFFFF"/>
        </w:rPr>
        <w:t>（四）雷达图（定性对比）</w:t>
      </w:r>
    </w:p>
    <w:p w14:paraId="14344772">
      <w:pPr>
        <w:pStyle w:val="30"/>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64" w:afterAutospacing="0" w:line="308" w:lineRule="auto"/>
        <w:ind w:left="0" w:leftChars="0" w:right="0" w:firstLine="365" w:firstLineChars="174"/>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雷达图以准确率、跨表能力、部署成本（低=好）、推理开销（低=好）、泛化能力、可解释性六个维度，对传统 CBO、MSCN、DeepDB、NeuroCard、PRICE、ZeroCard 进行定性对比。评分范围为 1–5，数值越大表示该维度表现越好。雷达图显示：传统 CBO 在部署成本、推理开销、可解释性上占优；NeuroCard 跨表能力最强但推理开销高；PRICE/ZeroCard 在泛化与部署成本上更均衡；MSCN 在准确率与推理开销上较好，但部署成本较高。该图需标注“定性示意，非本组实测”。</w:t>
      </w:r>
    </w:p>
    <w:p w14:paraId="57C781DE">
      <w:pPr>
        <w:pStyle w:val="166"/>
        <w:keepNext w:val="0"/>
        <w:keepLines w:val="0"/>
        <w:pageBreakBefore w:val="0"/>
        <w:widowControl/>
        <w:numPr>
          <w:ilvl w:val="0"/>
          <w:numId w:val="0"/>
        </w:numPr>
        <w:kinsoku/>
        <w:wordWrap/>
        <w:overflowPunct/>
        <w:topLinePunct w:val="0"/>
        <w:autoSpaceDE/>
        <w:autoSpaceDN/>
        <w:bidi w:val="0"/>
        <w:adjustRightInd/>
        <w:snapToGrid/>
        <w:spacing w:before="0" w:after="64" w:line="308" w:lineRule="auto"/>
        <w:ind w:left="0" w:leftChars="0" w:right="0" w:firstLine="156" w:firstLineChars="74"/>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drawing>
          <wp:inline distT="0" distB="0" distL="114300" distR="114300">
            <wp:extent cx="4584065" cy="2755265"/>
            <wp:effectExtent l="0" t="0" r="6985" b="6985"/>
            <wp:docPr id="8" name="图片 8" descr="学习型 CE 方法能力画像：定性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学习型 CE 方法能力画像：定性对比"/>
                    <pic:cNvPicPr>
                      <a:picLocks noChangeAspect="1"/>
                    </pic:cNvPicPr>
                  </pic:nvPicPr>
                  <pic:blipFill>
                    <a:blip r:embed="rId13"/>
                    <a:stretch>
                      <a:fillRect/>
                    </a:stretch>
                  </pic:blipFill>
                  <pic:spPr>
                    <a:xfrm>
                      <a:off x="0" y="0"/>
                      <a:ext cx="4584065" cy="2755265"/>
                    </a:xfrm>
                    <a:prstGeom prst="rect">
                      <a:avLst/>
                    </a:prstGeom>
                  </pic:spPr>
                </pic:pic>
              </a:graphicData>
            </a:graphic>
          </wp:inline>
        </w:drawing>
      </w:r>
    </w:p>
    <w:p w14:paraId="08B04CF4">
      <w:pPr>
        <w:pStyle w:val="166"/>
        <w:keepNext w:val="0"/>
        <w:keepLines w:val="0"/>
        <w:pageBreakBefore w:val="0"/>
        <w:widowControl/>
        <w:numPr>
          <w:ilvl w:val="0"/>
          <w:numId w:val="0"/>
        </w:numPr>
        <w:kinsoku/>
        <w:wordWrap/>
        <w:overflowPunct/>
        <w:topLinePunct w:val="0"/>
        <w:autoSpaceDE/>
        <w:autoSpaceDN/>
        <w:bidi w:val="0"/>
        <w:adjustRightInd/>
        <w:snapToGrid/>
        <w:spacing w:before="0" w:after="64" w:line="308" w:lineRule="auto"/>
        <w:ind w:right="0"/>
        <w:jc w:val="center"/>
        <w:textAlignment w:val="auto"/>
        <w:rPr>
          <w:rFonts w:hint="default" w:ascii="宋体" w:hAnsi="宋体" w:eastAsia="宋体" w:cs="宋体"/>
          <w:color w:val="808080" w:themeColor="background1" w:themeShade="80"/>
          <w:sz w:val="21"/>
          <w:szCs w:val="21"/>
          <w:lang w:val="en-US" w:eastAsia="zh-CN"/>
        </w:rPr>
      </w:pPr>
      <w:r>
        <w:rPr>
          <w:rFonts w:hint="eastAsia" w:ascii="宋体" w:hAnsi="宋体" w:eastAsia="宋体" w:cs="宋体"/>
          <w:color w:val="808080" w:themeColor="background1" w:themeShade="80"/>
          <w:sz w:val="21"/>
          <w:szCs w:val="21"/>
          <w:lang w:val="en-US" w:eastAsia="zh-CN"/>
        </w:rPr>
        <w:t>图7  学习型CE方法能力画像雷达图</w:t>
      </w:r>
    </w:p>
    <w:p w14:paraId="48142D7E">
      <w:pPr>
        <w:pStyle w:val="166"/>
        <w:keepNext w:val="0"/>
        <w:keepLines w:val="0"/>
        <w:pageBreakBefore w:val="0"/>
        <w:widowControl/>
        <w:numPr>
          <w:ilvl w:val="0"/>
          <w:numId w:val="0"/>
        </w:numPr>
        <w:kinsoku/>
        <w:wordWrap/>
        <w:overflowPunct/>
        <w:topLinePunct w:val="0"/>
        <w:autoSpaceDE/>
        <w:autoSpaceDN/>
        <w:bidi w:val="0"/>
        <w:adjustRightInd/>
        <w:snapToGrid/>
        <w:spacing w:before="0" w:after="64" w:line="308" w:lineRule="auto"/>
        <w:ind w:right="0" w:rightChars="0"/>
        <w:textAlignment w:val="auto"/>
        <w:rPr>
          <w:rFonts w:hint="eastAsia"/>
        </w:rPr>
      </w:pPr>
      <w:r>
        <w:rPr>
          <w:rFonts w:hint="eastAsia"/>
          <w:lang w:val="en-US" w:eastAsia="zh-CN"/>
        </w:rPr>
        <w:t>十、</w:t>
      </w:r>
      <w:r>
        <w:rPr>
          <w:rFonts w:hint="eastAsia"/>
        </w:rPr>
        <w:t>评价边界</w:t>
      </w:r>
    </w:p>
    <w:p w14:paraId="706C9391">
      <w:pPr>
        <w:pStyle w:val="30"/>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64" w:afterAutospacing="0" w:line="308" w:lineRule="auto"/>
        <w:ind w:left="0" w:leftChars="0" w:right="0" w:firstLine="365" w:firstLineChars="174"/>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本组没有训练、推理或评测任何 AI 模型。所有关于 MSCN、DeepDB、NeuroCard、PRICE、FactorJoin、ALECE、ZeroCard、Bao、DQ 的内容，均为文献调研与问题映射，不能写成“本实验验证了 AI 优于 PostgreSQL”。</w:t>
      </w:r>
    </w:p>
    <w:p w14:paraId="7DEC3E0F">
      <w:pPr>
        <w:pStyle w:val="30"/>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64" w:afterAutospacing="0" w:line="308" w:lineRule="auto"/>
        <w:ind w:left="0" w:leftChars="0" w:right="0" w:firstLine="365" w:firstLineChars="174"/>
        <w:textAlignment w:val="auto"/>
        <w:rPr>
          <w:rFonts w:hint="eastAsia" w:ascii="宋体" w:hAnsi="宋体" w:eastAsia="宋体" w:cs="宋体"/>
          <w:sz w:val="21"/>
          <w:szCs w:val="21"/>
        </w:rPr>
      </w:pPr>
      <w:r>
        <w:rPr>
          <w:rFonts w:hint="eastAsia" w:cs="宋体"/>
          <w:i w:val="0"/>
          <w:iCs w:val="0"/>
          <w:caps w:val="0"/>
          <w:color w:val="0F1115"/>
          <w:spacing w:val="0"/>
          <w:sz w:val="21"/>
          <w:szCs w:val="21"/>
          <w:shd w:val="clear" w:fill="FFFFFF"/>
          <w:lang w:val="en-US" w:eastAsia="zh-CN"/>
        </w:rPr>
        <w:t>因此，</w:t>
      </w:r>
      <w:r>
        <w:rPr>
          <w:rFonts w:hint="eastAsia" w:ascii="宋体" w:hAnsi="宋体" w:eastAsia="宋体" w:cs="宋体"/>
          <w:i w:val="0"/>
          <w:iCs w:val="0"/>
          <w:caps w:val="0"/>
          <w:color w:val="0F1115"/>
          <w:spacing w:val="0"/>
          <w:sz w:val="21"/>
          <w:szCs w:val="21"/>
          <w:shd w:val="clear" w:fill="FFFFFF"/>
        </w:rPr>
        <w:t>本组实验能够支持的评价边界是：</w:t>
      </w:r>
    </w:p>
    <w:p w14:paraId="75745663">
      <w:pPr>
        <w:pStyle w:val="30"/>
        <w:keepNext w:val="0"/>
        <w:keepLines w:val="0"/>
        <w:pageBreakBefore w:val="0"/>
        <w:widowControl/>
        <w:suppressLineNumbers w:val="0"/>
        <w:kinsoku/>
        <w:wordWrap/>
        <w:overflowPunct/>
        <w:topLinePunct w:val="0"/>
        <w:autoSpaceDE/>
        <w:autoSpaceDN/>
        <w:bidi w:val="0"/>
        <w:adjustRightInd/>
        <w:snapToGrid/>
        <w:spacing w:beforeAutospacing="0" w:after="64" w:afterAutospacing="0" w:line="308" w:lineRule="auto"/>
        <w:ind w:left="0" w:leftChars="0" w:right="0" w:firstLine="365" w:firstLineChars="174"/>
        <w:textAlignment w:val="auto"/>
        <w:rPr>
          <w:rFonts w:hint="eastAsia" w:ascii="宋体" w:hAnsi="宋体" w:eastAsia="宋体" w:cs="宋体"/>
          <w:sz w:val="21"/>
          <w:szCs w:val="21"/>
        </w:rPr>
      </w:pPr>
      <w:r>
        <w:rPr>
          <w:rFonts w:hint="eastAsia" w:cs="宋体"/>
          <w:i w:val="0"/>
          <w:iCs w:val="0"/>
          <w:caps w:val="0"/>
          <w:color w:val="0F1115"/>
          <w:spacing w:val="0"/>
          <w:sz w:val="21"/>
          <w:szCs w:val="21"/>
          <w:shd w:val="clear" w:fill="FFFFFF"/>
          <w:lang w:val="en-US" w:eastAsia="zh-CN"/>
        </w:rPr>
        <w:t>1.</w:t>
      </w:r>
      <w:r>
        <w:rPr>
          <w:rFonts w:hint="eastAsia" w:ascii="宋体" w:hAnsi="宋体" w:eastAsia="宋体" w:cs="宋体"/>
          <w:i w:val="0"/>
          <w:iCs w:val="0"/>
          <w:caps w:val="0"/>
          <w:color w:val="0F1115"/>
          <w:spacing w:val="0"/>
          <w:sz w:val="21"/>
          <w:szCs w:val="21"/>
          <w:shd w:val="clear" w:fill="FFFFFF"/>
        </w:rPr>
        <w:t>传统 CBO 仍具稳健性：在 SF=1 轻量场景下，单表组 Q-error 中位数 1.003，两表组 1.010，多表组 1.066；仅 T09 出现 10.371 的明显误差。</w:t>
      </w:r>
    </w:p>
    <w:p w14:paraId="0A5220ED">
      <w:pPr>
        <w:pStyle w:val="30"/>
        <w:keepNext w:val="0"/>
        <w:keepLines w:val="0"/>
        <w:pageBreakBefore w:val="0"/>
        <w:widowControl/>
        <w:suppressLineNumbers w:val="0"/>
        <w:kinsoku/>
        <w:wordWrap/>
        <w:overflowPunct/>
        <w:topLinePunct w:val="0"/>
        <w:autoSpaceDE/>
        <w:autoSpaceDN/>
        <w:bidi w:val="0"/>
        <w:adjustRightInd/>
        <w:snapToGrid/>
        <w:spacing w:beforeAutospacing="0" w:after="64" w:afterAutospacing="0" w:line="308" w:lineRule="auto"/>
        <w:ind w:left="0" w:leftChars="0" w:right="0" w:firstLine="365" w:firstLineChars="174"/>
        <w:textAlignment w:val="auto"/>
        <w:rPr>
          <w:rFonts w:hint="eastAsia" w:ascii="宋体" w:hAnsi="宋体" w:eastAsia="宋体" w:cs="宋体"/>
          <w:sz w:val="21"/>
          <w:szCs w:val="21"/>
        </w:rPr>
      </w:pPr>
      <w:r>
        <w:rPr>
          <w:rFonts w:hint="eastAsia" w:cs="宋体"/>
          <w:i w:val="0"/>
          <w:iCs w:val="0"/>
          <w:caps w:val="0"/>
          <w:color w:val="0F1115"/>
          <w:spacing w:val="0"/>
          <w:sz w:val="21"/>
          <w:szCs w:val="21"/>
          <w:shd w:val="clear" w:fill="FFFFFF"/>
          <w:lang w:val="en-US" w:eastAsia="zh-CN"/>
        </w:rPr>
        <w:t>2.</w:t>
      </w:r>
      <w:r>
        <w:rPr>
          <w:rFonts w:hint="eastAsia" w:ascii="宋体" w:hAnsi="宋体" w:eastAsia="宋体" w:cs="宋体"/>
          <w:i w:val="0"/>
          <w:iCs w:val="0"/>
          <w:caps w:val="0"/>
          <w:color w:val="0F1115"/>
          <w:spacing w:val="0"/>
          <w:sz w:val="21"/>
          <w:szCs w:val="21"/>
          <w:shd w:val="clear" w:fill="FFFFFF"/>
        </w:rPr>
        <w:t>同表相关可被扩展统计修正：S16 从 100 降至 1，S19 从 189.375 降至 1。</w:t>
      </w:r>
    </w:p>
    <w:p w14:paraId="7ADB3EE0">
      <w:pPr>
        <w:pStyle w:val="30"/>
        <w:keepNext w:val="0"/>
        <w:keepLines w:val="0"/>
        <w:pageBreakBefore w:val="0"/>
        <w:widowControl/>
        <w:suppressLineNumbers w:val="0"/>
        <w:kinsoku/>
        <w:wordWrap/>
        <w:overflowPunct/>
        <w:topLinePunct w:val="0"/>
        <w:autoSpaceDE/>
        <w:autoSpaceDN/>
        <w:bidi w:val="0"/>
        <w:adjustRightInd/>
        <w:snapToGrid/>
        <w:spacing w:beforeAutospacing="0" w:after="64" w:afterAutospacing="0" w:line="308" w:lineRule="auto"/>
        <w:ind w:left="0" w:leftChars="0" w:right="0" w:firstLine="365" w:firstLineChars="174"/>
        <w:textAlignment w:val="auto"/>
        <w:rPr>
          <w:rFonts w:hint="eastAsia" w:ascii="宋体" w:hAnsi="宋体" w:eastAsia="宋体" w:cs="宋体"/>
          <w:sz w:val="21"/>
          <w:szCs w:val="21"/>
        </w:rPr>
      </w:pPr>
      <w:r>
        <w:rPr>
          <w:rFonts w:hint="eastAsia" w:cs="宋体"/>
          <w:i w:val="0"/>
          <w:iCs w:val="0"/>
          <w:caps w:val="0"/>
          <w:color w:val="0F1115"/>
          <w:spacing w:val="0"/>
          <w:sz w:val="21"/>
          <w:szCs w:val="21"/>
          <w:shd w:val="clear" w:fill="FFFFFF"/>
          <w:lang w:val="en-US" w:eastAsia="zh-CN"/>
        </w:rPr>
        <w:t>3.</w:t>
      </w:r>
      <w:r>
        <w:rPr>
          <w:rFonts w:hint="eastAsia" w:ascii="宋体" w:hAnsi="宋体" w:eastAsia="宋体" w:cs="宋体"/>
          <w:i w:val="0"/>
          <w:iCs w:val="0"/>
          <w:caps w:val="0"/>
          <w:color w:val="0F1115"/>
          <w:spacing w:val="0"/>
          <w:sz w:val="21"/>
          <w:szCs w:val="21"/>
          <w:shd w:val="clear" w:fill="FFFFFF"/>
        </w:rPr>
        <w:t>跨表相关与 Join 后联合关系仍是难点：S20 两侧单表估计准确，Join 仍为 30 vs 3000，Q-error 100，扩展统计后不变；T09 底层节点 Q-error ≈ 1，顶层 Join 却为 316,503 vs 30,519。</w:t>
      </w:r>
    </w:p>
    <w:p w14:paraId="12F1E87B">
      <w:pPr>
        <w:pStyle w:val="30"/>
        <w:keepNext w:val="0"/>
        <w:keepLines w:val="0"/>
        <w:pageBreakBefore w:val="0"/>
        <w:widowControl/>
        <w:suppressLineNumbers w:val="0"/>
        <w:kinsoku/>
        <w:wordWrap/>
        <w:overflowPunct/>
        <w:topLinePunct w:val="0"/>
        <w:autoSpaceDE/>
        <w:autoSpaceDN/>
        <w:bidi w:val="0"/>
        <w:adjustRightInd/>
        <w:snapToGrid/>
        <w:spacing w:beforeAutospacing="0" w:after="64" w:afterAutospacing="0" w:line="308" w:lineRule="auto"/>
        <w:ind w:left="0" w:leftChars="0" w:right="0" w:firstLine="365" w:firstLineChars="174"/>
        <w:textAlignment w:val="auto"/>
        <w:rPr>
          <w:rFonts w:hint="eastAsia" w:ascii="宋体" w:hAnsi="宋体" w:eastAsia="宋体" w:cs="宋体"/>
          <w:sz w:val="21"/>
          <w:szCs w:val="21"/>
        </w:rPr>
      </w:pPr>
      <w:r>
        <w:rPr>
          <w:rFonts w:hint="eastAsia" w:cs="宋体"/>
          <w:i w:val="0"/>
          <w:iCs w:val="0"/>
          <w:caps w:val="0"/>
          <w:color w:val="0F1115"/>
          <w:spacing w:val="0"/>
          <w:sz w:val="21"/>
          <w:szCs w:val="21"/>
          <w:shd w:val="clear" w:fill="FFFFFF"/>
          <w:lang w:val="en-US" w:eastAsia="zh-CN"/>
        </w:rPr>
        <w:t>4.</w:t>
      </w:r>
      <w:r>
        <w:rPr>
          <w:rFonts w:hint="eastAsia" w:ascii="宋体" w:hAnsi="宋体" w:eastAsia="宋体" w:cs="宋体"/>
          <w:i w:val="0"/>
          <w:iCs w:val="0"/>
          <w:caps w:val="0"/>
          <w:color w:val="0F1115"/>
          <w:spacing w:val="0"/>
          <w:sz w:val="21"/>
          <w:szCs w:val="21"/>
          <w:shd w:val="clear" w:fill="FFFFFF"/>
        </w:rPr>
        <w:t>统计输入本身也可能偏差：T11 根节点 Q-error 1.008，但 l_orderkey n_distinct 估计 390,916，真实约 150 万，内层工作量存在约 3.7× 的口径偏差。</w:t>
      </w:r>
    </w:p>
    <w:p w14:paraId="01ED9793">
      <w:pPr>
        <w:pStyle w:val="30"/>
        <w:keepNext w:val="0"/>
        <w:keepLines w:val="0"/>
        <w:pageBreakBefore w:val="0"/>
        <w:widowControl/>
        <w:suppressLineNumbers w:val="0"/>
        <w:kinsoku/>
        <w:wordWrap/>
        <w:overflowPunct/>
        <w:topLinePunct w:val="0"/>
        <w:autoSpaceDE/>
        <w:autoSpaceDN/>
        <w:bidi w:val="0"/>
        <w:adjustRightInd/>
        <w:snapToGrid/>
        <w:spacing w:beforeAutospacing="0" w:after="64" w:afterAutospacing="0" w:line="308" w:lineRule="auto"/>
        <w:ind w:left="0" w:leftChars="0" w:right="0" w:firstLine="365" w:firstLineChars="174"/>
        <w:textAlignment w:val="auto"/>
        <w:rPr>
          <w:rFonts w:hint="eastAsia" w:ascii="宋体" w:hAnsi="宋体" w:eastAsia="宋体" w:cs="宋体"/>
          <w:sz w:val="21"/>
          <w:szCs w:val="21"/>
        </w:rPr>
      </w:pPr>
      <w:r>
        <w:rPr>
          <w:rFonts w:hint="eastAsia" w:cs="宋体"/>
          <w:i w:val="0"/>
          <w:iCs w:val="0"/>
          <w:caps w:val="0"/>
          <w:color w:val="0F1115"/>
          <w:spacing w:val="0"/>
          <w:sz w:val="21"/>
          <w:szCs w:val="21"/>
          <w:shd w:val="clear" w:fill="FFFFFF"/>
          <w:lang w:val="en-US" w:eastAsia="zh-CN"/>
        </w:rPr>
        <w:t>5.</w:t>
      </w:r>
      <w:r>
        <w:rPr>
          <w:rFonts w:hint="eastAsia" w:ascii="宋体" w:hAnsi="宋体" w:eastAsia="宋体" w:cs="宋体"/>
          <w:i w:val="0"/>
          <w:iCs w:val="0"/>
          <w:caps w:val="0"/>
          <w:color w:val="0F1115"/>
          <w:spacing w:val="0"/>
          <w:sz w:val="21"/>
          <w:szCs w:val="21"/>
          <w:shd w:val="clear" w:fill="FFFFFF"/>
        </w:rPr>
        <w:t>误差危害取决于位置与自由度：危害 ≈ 误差大小 × 误差位置（是否被下游决策引用）× 下游决策自由度。S16、S19、S20 三阶段计划未切换；T09 误差在根节点，计划仍为 Hash Join。</w:t>
      </w:r>
    </w:p>
    <w:p w14:paraId="78F8E6EA">
      <w:pPr>
        <w:pStyle w:val="30"/>
        <w:keepNext w:val="0"/>
        <w:keepLines w:val="0"/>
        <w:pageBreakBefore w:val="0"/>
        <w:widowControl/>
        <w:suppressLineNumbers w:val="0"/>
        <w:kinsoku/>
        <w:wordWrap/>
        <w:overflowPunct/>
        <w:topLinePunct w:val="0"/>
        <w:autoSpaceDE/>
        <w:autoSpaceDN/>
        <w:bidi w:val="0"/>
        <w:adjustRightInd/>
        <w:snapToGrid/>
        <w:spacing w:beforeAutospacing="0" w:after="64" w:afterAutospacing="0" w:line="308" w:lineRule="auto"/>
        <w:ind w:left="0" w:leftChars="0" w:right="0" w:firstLine="365" w:firstLineChars="174"/>
        <w:textAlignment w:val="auto"/>
        <w:rPr>
          <w:rFonts w:hint="eastAsia" w:ascii="宋体" w:hAnsi="宋体" w:eastAsia="宋体" w:cs="宋体"/>
          <w:sz w:val="21"/>
          <w:szCs w:val="21"/>
        </w:rPr>
      </w:pPr>
      <w:r>
        <w:rPr>
          <w:rFonts w:hint="eastAsia" w:cs="宋体"/>
          <w:i w:val="0"/>
          <w:iCs w:val="0"/>
          <w:caps w:val="0"/>
          <w:color w:val="0F1115"/>
          <w:spacing w:val="0"/>
          <w:sz w:val="21"/>
          <w:szCs w:val="21"/>
          <w:shd w:val="clear" w:fill="FFFFFF"/>
          <w:lang w:val="en-US" w:eastAsia="zh-CN"/>
        </w:rPr>
        <w:t>6.</w:t>
      </w:r>
      <w:r>
        <w:rPr>
          <w:rFonts w:hint="eastAsia" w:ascii="宋体" w:hAnsi="宋体" w:eastAsia="宋体" w:cs="宋体"/>
          <w:i w:val="0"/>
          <w:iCs w:val="0"/>
          <w:caps w:val="0"/>
          <w:color w:val="0F1115"/>
          <w:spacing w:val="0"/>
          <w:sz w:val="21"/>
          <w:szCs w:val="21"/>
          <w:shd w:val="clear" w:fill="FFFFFF"/>
        </w:rPr>
        <w:t>评价链条应扩展：基数估计 → Cost → 计划选择 → 执行时间，同时关注泛化能力、训练成本、推理开销、更新成本、内核集成难度。</w:t>
      </w:r>
    </w:p>
    <w:p w14:paraId="6733173A">
      <w:pPr>
        <w:pStyle w:val="166"/>
        <w:keepNext w:val="0"/>
        <w:keepLines w:val="0"/>
        <w:pageBreakBefore w:val="0"/>
        <w:widowControl/>
        <w:numPr>
          <w:ilvl w:val="0"/>
          <w:numId w:val="0"/>
        </w:numPr>
        <w:kinsoku/>
        <w:wordWrap/>
        <w:overflowPunct/>
        <w:topLinePunct w:val="0"/>
        <w:autoSpaceDE/>
        <w:autoSpaceDN/>
        <w:bidi w:val="0"/>
        <w:adjustRightInd/>
        <w:snapToGrid/>
        <w:spacing w:before="0" w:after="64" w:line="308" w:lineRule="auto"/>
        <w:ind w:left="0" w:leftChars="0" w:right="0" w:firstLine="215" w:firstLineChars="74"/>
        <w:textAlignment w:val="auto"/>
        <w:rPr>
          <w:rFonts w:hint="eastAsia" w:eastAsia="黑体"/>
          <w:lang w:eastAsia="zh-CN"/>
        </w:rPr>
      </w:pPr>
      <w:r>
        <w:rPr>
          <w:rFonts w:hint="eastAsia" w:eastAsia="黑体"/>
          <w:lang w:eastAsia="zh-CN"/>
        </w:rPr>
        <w:drawing>
          <wp:inline distT="0" distB="0" distL="114300" distR="114300">
            <wp:extent cx="6181725" cy="3678555"/>
            <wp:effectExtent l="0" t="0" r="0" b="7620"/>
            <wp:docPr id="9" name="图片 9" descr="D01_plan_tree_T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01_plan_tree_T09"/>
                    <pic:cNvPicPr>
                      <a:picLocks noChangeAspect="1"/>
                    </pic:cNvPicPr>
                  </pic:nvPicPr>
                  <pic:blipFill>
                    <a:blip r:embed="rId14"/>
                    <a:stretch>
                      <a:fillRect/>
                    </a:stretch>
                  </pic:blipFill>
                  <pic:spPr>
                    <a:xfrm>
                      <a:off x="0" y="0"/>
                      <a:ext cx="6181725" cy="3678555"/>
                    </a:xfrm>
                    <a:prstGeom prst="rect">
                      <a:avLst/>
                    </a:prstGeom>
                  </pic:spPr>
                </pic:pic>
              </a:graphicData>
            </a:graphic>
          </wp:inline>
        </w:drawing>
      </w:r>
    </w:p>
    <w:p w14:paraId="66B63B1A">
      <w:pPr>
        <w:pStyle w:val="166"/>
        <w:keepNext w:val="0"/>
        <w:keepLines w:val="0"/>
        <w:pageBreakBefore w:val="0"/>
        <w:widowControl/>
        <w:numPr>
          <w:ilvl w:val="0"/>
          <w:numId w:val="0"/>
        </w:numPr>
        <w:kinsoku/>
        <w:wordWrap/>
        <w:overflowPunct/>
        <w:topLinePunct w:val="0"/>
        <w:autoSpaceDE/>
        <w:autoSpaceDN/>
        <w:bidi w:val="0"/>
        <w:adjustRightInd/>
        <w:snapToGrid/>
        <w:spacing w:before="0" w:after="64" w:line="308" w:lineRule="auto"/>
        <w:ind w:left="0" w:leftChars="0" w:right="0" w:firstLine="155" w:firstLineChars="74"/>
        <w:jc w:val="center"/>
        <w:textAlignment w:val="auto"/>
        <w:rPr>
          <w:rFonts w:hint="eastAsia" w:ascii="宋体" w:hAnsi="宋体" w:eastAsia="宋体" w:cs="宋体"/>
          <w:b w:val="0"/>
          <w:bCs/>
          <w:color w:val="808080" w:themeColor="background1" w:themeShade="80"/>
          <w:sz w:val="21"/>
          <w:szCs w:val="21"/>
          <w:lang w:eastAsia="zh-CN"/>
        </w:rPr>
      </w:pPr>
      <w:r>
        <w:rPr>
          <w:rFonts w:hint="eastAsia" w:ascii="宋体" w:hAnsi="宋体" w:eastAsia="宋体" w:cs="宋体"/>
          <w:b w:val="0"/>
          <w:bCs/>
          <w:color w:val="808080" w:themeColor="background1" w:themeShade="80"/>
          <w:sz w:val="21"/>
          <w:szCs w:val="21"/>
          <w:lang w:eastAsia="zh-CN"/>
        </w:rPr>
        <w:t>图</w:t>
      </w:r>
      <w:r>
        <w:rPr>
          <w:rFonts w:hint="eastAsia" w:ascii="宋体" w:hAnsi="宋体" w:eastAsia="宋体" w:cs="宋体"/>
          <w:b w:val="0"/>
          <w:bCs/>
          <w:color w:val="808080" w:themeColor="background1" w:themeShade="80"/>
          <w:sz w:val="21"/>
          <w:szCs w:val="21"/>
          <w:lang w:val="en-US" w:eastAsia="zh-CN"/>
        </w:rPr>
        <w:t>8</w:t>
      </w:r>
      <w:bookmarkStart w:id="0" w:name="_GoBack"/>
      <w:bookmarkEnd w:id="0"/>
      <w:r>
        <w:rPr>
          <w:rFonts w:hint="eastAsia" w:ascii="宋体" w:hAnsi="宋体" w:eastAsia="宋体" w:cs="宋体"/>
          <w:b w:val="0"/>
          <w:bCs/>
          <w:color w:val="808080" w:themeColor="background1" w:themeShade="80"/>
          <w:sz w:val="21"/>
          <w:szCs w:val="21"/>
          <w:lang w:val="en-US" w:eastAsia="zh-CN"/>
        </w:rPr>
        <w:t xml:space="preserve"> </w:t>
      </w:r>
      <w:r>
        <w:rPr>
          <w:rFonts w:hint="eastAsia" w:ascii="宋体" w:hAnsi="宋体" w:eastAsia="宋体" w:cs="宋体"/>
          <w:b w:val="0"/>
          <w:bCs/>
          <w:color w:val="808080" w:themeColor="background1" w:themeShade="80"/>
          <w:sz w:val="21"/>
          <w:szCs w:val="21"/>
          <w:lang w:eastAsia="zh-CN"/>
        </w:rPr>
        <w:t xml:space="preserve"> T09 计划树（D01）</w:t>
      </w:r>
    </w:p>
    <w:p w14:paraId="2108A0D2">
      <w:pPr>
        <w:pStyle w:val="166"/>
        <w:keepNext w:val="0"/>
        <w:keepLines w:val="0"/>
        <w:pageBreakBefore w:val="0"/>
        <w:widowControl/>
        <w:numPr>
          <w:ilvl w:val="0"/>
          <w:numId w:val="0"/>
        </w:numPr>
        <w:kinsoku/>
        <w:wordWrap/>
        <w:overflowPunct/>
        <w:topLinePunct w:val="0"/>
        <w:autoSpaceDE/>
        <w:autoSpaceDN/>
        <w:bidi w:val="0"/>
        <w:adjustRightInd/>
        <w:snapToGrid/>
        <w:spacing w:before="0" w:after="64" w:line="308" w:lineRule="auto"/>
        <w:ind w:left="0" w:leftChars="0" w:right="0" w:firstLine="215" w:firstLineChars="74"/>
        <w:textAlignment w:val="auto"/>
        <w:rPr>
          <w:rFonts w:hint="eastAsia" w:eastAsia="黑体"/>
          <w:lang w:eastAsia="zh-CN"/>
        </w:rPr>
      </w:pPr>
    </w:p>
    <w:p w14:paraId="3EF0AB00">
      <w:pPr>
        <w:pStyle w:val="166"/>
        <w:keepNext w:val="0"/>
        <w:keepLines w:val="0"/>
        <w:pageBreakBefore w:val="0"/>
        <w:widowControl/>
        <w:kinsoku/>
        <w:wordWrap/>
        <w:overflowPunct/>
        <w:topLinePunct w:val="0"/>
        <w:autoSpaceDE/>
        <w:autoSpaceDN/>
        <w:bidi w:val="0"/>
        <w:adjustRightInd/>
        <w:snapToGrid/>
        <w:spacing w:before="0" w:after="64" w:line="308" w:lineRule="auto"/>
        <w:ind w:right="0"/>
        <w:textAlignment w:val="auto"/>
      </w:pPr>
      <w:r>
        <w:rPr>
          <w:rFonts w:hint="eastAsia"/>
          <w:lang w:val="en-US" w:eastAsia="zh-CN"/>
        </w:rPr>
        <w:t>十一、</w:t>
      </w:r>
      <w:r>
        <w:t>综合结论</w:t>
      </w:r>
    </w:p>
    <w:p w14:paraId="5EFBB27E">
      <w:pPr>
        <w:pStyle w:val="30"/>
        <w:keepNext w:val="0"/>
        <w:keepLines w:val="0"/>
        <w:pageBreakBefore w:val="0"/>
        <w:widowControl/>
        <w:suppressLineNumbers w:val="0"/>
        <w:kinsoku/>
        <w:wordWrap/>
        <w:overflowPunct/>
        <w:topLinePunct w:val="0"/>
        <w:autoSpaceDE/>
        <w:autoSpaceDN/>
        <w:bidi w:val="0"/>
        <w:adjustRightInd/>
        <w:snapToGrid/>
        <w:spacing w:beforeAutospacing="0" w:after="64" w:afterAutospacing="0" w:line="308" w:lineRule="auto"/>
        <w:ind w:left="0" w:leftChars="0" w:right="0" w:firstLine="420" w:firstLineChars="200"/>
        <w:textAlignment w:val="auto"/>
        <w:rPr>
          <w:rFonts w:hint="eastAsia" w:ascii="宋体" w:hAnsi="宋体" w:eastAsia="宋体" w:cs="宋体"/>
          <w:sz w:val="21"/>
          <w:szCs w:val="21"/>
        </w:rPr>
      </w:pPr>
      <w:r>
        <w:rPr>
          <w:rFonts w:hint="eastAsia" w:ascii="宋体" w:hAnsi="宋体" w:eastAsia="宋体" w:cs="宋体"/>
          <w:i w:val="0"/>
          <w:iCs w:val="0"/>
          <w:caps w:val="0"/>
          <w:color w:val="0F1115"/>
          <w:spacing w:val="0"/>
          <w:sz w:val="21"/>
          <w:szCs w:val="21"/>
          <w:shd w:val="clear" w:fill="FFFFFF"/>
        </w:rPr>
        <w:t>综合本组实验与前期分析，最重要的发现并不是“PostgreSQL 基数估计不准确”，而是不同误差背后的机制具有明显层次。大多数 TPC-H 派生查询估计稳定，单表组 Q-error 中位数 1.003，两表组 1.010，多表组 1.066，说明传统 CBO 在统计信息充分、关系较简单时仍然有效。S16 和 S19 表明同表多列相关可以通过扩展统计大幅改善，Q-error 分别从 100 和 189.375 降至 1；S20 和 T09 则把真正困难的问题集中到跨表相关与 Join 后联合关系：S20 两侧单表过滤均准确，Join 仍为 30 vs 3000，Q-error 100，扩展统计后不变；T09 底层节点 Q-error ≈ 1，顶层 Join 却为 316,503 vs 30,519。T11 进一步说明，即使最终输出很准，内部统计和工作量估计仍可能有偏差，l_orderkey 的 n_distinct 估计 390,916，真实约 150 万。</w:t>
      </w:r>
    </w:p>
    <w:p w14:paraId="3DA6B05C">
      <w:pPr>
        <w:pStyle w:val="30"/>
        <w:keepNext w:val="0"/>
        <w:keepLines w:val="0"/>
        <w:pageBreakBefore w:val="0"/>
        <w:widowControl/>
        <w:suppressLineNumbers w:val="0"/>
        <w:kinsoku/>
        <w:wordWrap/>
        <w:overflowPunct/>
        <w:topLinePunct w:val="0"/>
        <w:autoSpaceDE/>
        <w:autoSpaceDN/>
        <w:bidi w:val="0"/>
        <w:adjustRightInd/>
        <w:snapToGrid/>
        <w:spacing w:beforeAutospacing="0" w:after="64" w:afterAutospacing="0" w:line="308" w:lineRule="auto"/>
        <w:ind w:left="0" w:leftChars="0" w:right="0" w:firstLine="365" w:firstLineChars="174"/>
        <w:textAlignment w:val="auto"/>
        <w:rPr>
          <w:rFonts w:hint="eastAsia" w:ascii="宋体" w:hAnsi="宋体" w:eastAsia="宋体" w:cs="宋体"/>
          <w:sz w:val="21"/>
          <w:szCs w:val="21"/>
        </w:rPr>
      </w:pPr>
      <w:r>
        <w:rPr>
          <w:rFonts w:hint="eastAsia" w:ascii="宋体" w:hAnsi="宋体" w:eastAsia="宋体" w:cs="宋体"/>
          <w:i w:val="0"/>
          <w:iCs w:val="0"/>
          <w:caps w:val="0"/>
          <w:color w:val="0F1115"/>
          <w:spacing w:val="0"/>
          <w:sz w:val="21"/>
          <w:szCs w:val="21"/>
          <w:shd w:val="clear" w:fill="FFFFFF"/>
        </w:rPr>
        <w:t>学习型 CE 的作用可以据此更清楚地理解。MSCN 通过历史查询直接学习查询到基数的关系，适合补充固定 Join 公式难以描述的模式；DeepDB 和 NeuroCard 把学习对象转向联合数据分布，尤其是传统单表统计看不到的跨表关系；FactorJoin 寻找更轻量的多表推断方式；ALECE 关注数据状态变化；PRICE 和 ZeroCard 则降低新数据库上的准备成本。它们不是同一种方案的不同版本，而是在解决 learned CE 的不同环节。</w:t>
      </w:r>
    </w:p>
    <w:p w14:paraId="2088ED6D">
      <w:pPr>
        <w:pStyle w:val="30"/>
        <w:keepNext w:val="0"/>
        <w:keepLines w:val="0"/>
        <w:pageBreakBefore w:val="0"/>
        <w:widowControl/>
        <w:suppressLineNumbers w:val="0"/>
        <w:kinsoku/>
        <w:wordWrap/>
        <w:overflowPunct/>
        <w:topLinePunct w:val="0"/>
        <w:autoSpaceDE/>
        <w:autoSpaceDN/>
        <w:bidi w:val="0"/>
        <w:adjustRightInd/>
        <w:snapToGrid/>
        <w:spacing w:beforeAutospacing="0" w:after="64" w:afterAutospacing="0" w:line="308" w:lineRule="auto"/>
        <w:ind w:left="0" w:leftChars="0" w:right="0" w:firstLine="365" w:firstLineChars="174"/>
        <w:textAlignment w:val="auto"/>
        <w:rPr>
          <w:rFonts w:hint="eastAsia" w:ascii="宋体" w:hAnsi="宋体" w:eastAsia="宋体" w:cs="宋体"/>
          <w:sz w:val="21"/>
          <w:szCs w:val="21"/>
        </w:rPr>
      </w:pPr>
      <w:r>
        <w:rPr>
          <w:rFonts w:hint="eastAsia" w:ascii="宋体" w:hAnsi="宋体" w:eastAsia="宋体" w:cs="宋体"/>
          <w:i w:val="0"/>
          <w:iCs w:val="0"/>
          <w:caps w:val="0"/>
          <w:color w:val="0F1115"/>
          <w:spacing w:val="0"/>
          <w:sz w:val="21"/>
          <w:szCs w:val="21"/>
          <w:shd w:val="clear" w:fill="FFFFFF"/>
        </w:rPr>
        <w:t>同时，执行计划分析提醒我们，基数估计只是查询优化链条中的一个输入。S16、S20、T09 都出现过较大的 Q-error，却没有引起 Join 算法或 Join Order 切换。原因可以归结为误差位置和计划自由度：有的误差发生在根节点，没有后续决策；有的场景本来就只有顺序扫描；有的查询由大规模扫描主导，即使输出行数估计有偏差也不足以改变候选计划排序。因此，评价学习型 CE 时最有意义的链条是“基数估计 → Cost → 计划选择 → 执行时间”，而不是只停留在 Q-error。误差危害可概括为：危害 ≈ 误差大小 × 误差位置（是否被下游决策引用）× 下游决策自由度。</w:t>
      </w:r>
    </w:p>
    <w:p w14:paraId="15AD87FE">
      <w:pPr>
        <w:pStyle w:val="30"/>
        <w:keepNext w:val="0"/>
        <w:keepLines w:val="0"/>
        <w:pageBreakBefore w:val="0"/>
        <w:widowControl/>
        <w:suppressLineNumbers w:val="0"/>
        <w:kinsoku/>
        <w:wordWrap/>
        <w:overflowPunct/>
        <w:topLinePunct w:val="0"/>
        <w:autoSpaceDE/>
        <w:autoSpaceDN/>
        <w:bidi w:val="0"/>
        <w:adjustRightInd/>
        <w:snapToGrid/>
        <w:spacing w:beforeAutospacing="0" w:after="64" w:afterAutospacing="0" w:line="308" w:lineRule="auto"/>
        <w:ind w:left="0" w:leftChars="0" w:right="0" w:firstLine="365" w:firstLineChars="174"/>
        <w:textAlignment w:val="auto"/>
        <w:rPr>
          <w:rFonts w:hint="eastAsia" w:ascii="宋体" w:hAnsi="宋体" w:eastAsia="宋体" w:cs="宋体"/>
          <w:sz w:val="21"/>
          <w:szCs w:val="21"/>
        </w:rPr>
      </w:pPr>
      <w:r>
        <w:rPr>
          <w:rFonts w:hint="eastAsia" w:ascii="宋体" w:hAnsi="宋体" w:eastAsia="宋体" w:cs="宋体"/>
          <w:i w:val="0"/>
          <w:iCs w:val="0"/>
          <w:caps w:val="0"/>
          <w:color w:val="0F1115"/>
          <w:spacing w:val="0"/>
          <w:sz w:val="21"/>
          <w:szCs w:val="21"/>
          <w:shd w:val="clear" w:fill="FFFFFF"/>
        </w:rPr>
        <w:t>在此基础上，进一步分析把讨论从“估得更准”推进到“更容易部署、更稳定接入、更可评价”。学习型 CE 从研究原型走向数据库组件，仍面临训练数据成本、冷启动、workload drift、推理开销、模型维护、可解释性、内核集成与跨库迁移等工程问题；前沿趋势也从“单库准确率”逐步转向“跨库可迁移、系统级收益、协同共生、冷启动与在线适应、可解释与轻量化推理、端到端学习优化、工作负载级优化、知识与数据混合驱动、云原生与分布式、LLM 辅助语义理解、硬件感知优化”。这些趋势与实验结论相互呼应，说明传统 CBO 与学习型方法不是替代关系，而是协同关系。</w:t>
      </w:r>
    </w:p>
    <w:p w14:paraId="187D4422">
      <w:pPr>
        <w:pStyle w:val="30"/>
        <w:keepNext w:val="0"/>
        <w:keepLines w:val="0"/>
        <w:pageBreakBefore w:val="0"/>
        <w:widowControl/>
        <w:suppressLineNumbers w:val="0"/>
        <w:kinsoku/>
        <w:wordWrap/>
        <w:overflowPunct/>
        <w:topLinePunct w:val="0"/>
        <w:autoSpaceDE/>
        <w:autoSpaceDN/>
        <w:bidi w:val="0"/>
        <w:adjustRightInd/>
        <w:snapToGrid/>
        <w:spacing w:beforeAutospacing="0" w:after="64" w:afterAutospacing="0" w:line="308" w:lineRule="auto"/>
        <w:ind w:left="0" w:leftChars="0" w:right="0" w:firstLine="365" w:firstLineChars="174"/>
        <w:textAlignment w:val="auto"/>
        <w:rPr>
          <w:rFonts w:hint="eastAsia" w:ascii="宋体" w:hAnsi="宋体" w:eastAsia="宋体" w:cs="宋体"/>
          <w:i w:val="0"/>
          <w:iCs w:val="0"/>
          <w:caps w:val="0"/>
          <w:color w:val="0F1115"/>
          <w:spacing w:val="0"/>
          <w:sz w:val="21"/>
          <w:szCs w:val="21"/>
          <w:shd w:val="clear" w:fill="FFFFFF"/>
        </w:rPr>
      </w:pPr>
      <w:r>
        <w:rPr>
          <w:rFonts w:hint="eastAsia" w:ascii="宋体" w:hAnsi="宋体" w:eastAsia="宋体" w:cs="宋体"/>
          <w:i w:val="0"/>
          <w:iCs w:val="0"/>
          <w:caps w:val="0"/>
          <w:color w:val="0F1115"/>
          <w:spacing w:val="0"/>
          <w:sz w:val="21"/>
          <w:szCs w:val="21"/>
          <w:shd w:val="clear" w:fill="FFFFFF"/>
        </w:rPr>
        <w:t>本学期相比上学期纯文献调研的增量也比较明确：上学期回答了“有哪些学习型基数估计方法”，本学期则利用自己的 PostgreSQL 实验回答“为什么需要这些方法、它们分别对应什么问题、传统统计在哪些场景其实已经足够”。本组未训练或评测任何 AI 模型，Q-error 改善不自动等于计划切换或查询加速，结论用于解释研究动机与问题空间，而非宣称 AI 已优于 PostgreSQL。整组研究主线至此收束：从实验问题出发，划出传统机制边界，映射 AI 方法回应，再延伸到工程落地与前沿趋势，最终回到传统优化器与学习型方法协同关系的理性判断。</w:t>
      </w:r>
    </w:p>
    <w:p w14:paraId="3FAC0C43">
      <w:pPr>
        <w:pStyle w:val="30"/>
        <w:keepNext w:val="0"/>
        <w:keepLines w:val="0"/>
        <w:pageBreakBefore w:val="0"/>
        <w:widowControl/>
        <w:suppressLineNumbers w:val="0"/>
        <w:kinsoku/>
        <w:wordWrap/>
        <w:overflowPunct/>
        <w:topLinePunct w:val="0"/>
        <w:autoSpaceDE/>
        <w:autoSpaceDN/>
        <w:bidi w:val="0"/>
        <w:adjustRightInd/>
        <w:snapToGrid/>
        <w:spacing w:beforeAutospacing="0" w:after="64" w:afterAutospacing="0" w:line="308" w:lineRule="auto"/>
        <w:ind w:left="0" w:leftChars="0" w:right="0" w:firstLine="365" w:firstLineChars="174"/>
        <w:textAlignment w:val="auto"/>
        <w:rPr>
          <w:rFonts w:hint="eastAsia" w:ascii="宋体" w:hAnsi="宋体" w:eastAsia="宋体" w:cs="宋体"/>
          <w:i w:val="0"/>
          <w:iCs w:val="0"/>
          <w:caps w:val="0"/>
          <w:color w:val="0F1115"/>
          <w:spacing w:val="0"/>
          <w:sz w:val="21"/>
          <w:szCs w:val="21"/>
          <w:shd w:val="clear" w:fill="FFFFFF"/>
        </w:rPr>
      </w:pPr>
    </w:p>
    <w:p w14:paraId="0465940F">
      <w:pPr>
        <w:pStyle w:val="166"/>
        <w:keepNext w:val="0"/>
        <w:keepLines w:val="0"/>
        <w:pageBreakBefore w:val="0"/>
        <w:widowControl/>
        <w:kinsoku/>
        <w:wordWrap/>
        <w:overflowPunct/>
        <w:topLinePunct w:val="0"/>
        <w:autoSpaceDE/>
        <w:autoSpaceDN/>
        <w:bidi w:val="0"/>
        <w:adjustRightInd/>
        <w:snapToGrid/>
        <w:spacing w:before="0" w:after="64" w:line="308" w:lineRule="auto"/>
        <w:ind w:right="0"/>
        <w:textAlignment w:val="auto"/>
      </w:pPr>
      <w:r>
        <w:rPr>
          <w:rFonts w:hint="eastAsia"/>
          <w:lang w:val="en-US" w:eastAsia="zh-CN"/>
        </w:rPr>
        <w:t>十二、</w:t>
      </w:r>
      <w:r>
        <w:t>参考文献</w:t>
      </w:r>
    </w:p>
    <w:p w14:paraId="27810FCA">
      <w:pPr>
        <w:keepNext w:val="0"/>
        <w:keepLines w:val="0"/>
        <w:pageBreakBefore w:val="0"/>
        <w:widowControl/>
        <w:kinsoku/>
        <w:wordWrap/>
        <w:overflowPunct/>
        <w:topLinePunct w:val="0"/>
        <w:autoSpaceDE/>
        <w:autoSpaceDN/>
        <w:bidi w:val="0"/>
        <w:adjustRightInd/>
        <w:snapToGrid/>
        <w:spacing w:after="64" w:line="308" w:lineRule="auto"/>
        <w:ind w:left="0" w:right="0" w:firstLine="155" w:firstLineChars="74"/>
        <w:textAlignment w:val="auto"/>
      </w:pPr>
      <w:r>
        <w:t>经典与基础工作：</w:t>
      </w:r>
    </w:p>
    <w:p w14:paraId="0C10CAC6">
      <w:pPr>
        <w:keepNext w:val="0"/>
        <w:keepLines w:val="0"/>
        <w:pageBreakBefore w:val="0"/>
        <w:widowControl/>
        <w:kinsoku/>
        <w:wordWrap/>
        <w:overflowPunct/>
        <w:topLinePunct w:val="0"/>
        <w:autoSpaceDE/>
        <w:autoSpaceDN/>
        <w:bidi w:val="0"/>
        <w:adjustRightInd/>
        <w:snapToGrid/>
        <w:spacing w:after="64" w:line="308" w:lineRule="auto"/>
        <w:ind w:left="0" w:right="0" w:firstLine="133" w:firstLineChars="74"/>
        <w:textAlignment w:val="auto"/>
      </w:pPr>
      <w:r>
        <w:rPr>
          <w:sz w:val="18"/>
        </w:rPr>
        <w:t>[1] Kipf A., Kipf T., Radke B., Leis V., Boncz P., Kemper A. Learned Cardinalities: Estimating Correlated Joins with Deep Learning. CIDR, 2019. https://arxiv.org/abs/1809.00677</w:t>
      </w:r>
    </w:p>
    <w:p w14:paraId="5E5EE89C">
      <w:pPr>
        <w:keepNext w:val="0"/>
        <w:keepLines w:val="0"/>
        <w:pageBreakBefore w:val="0"/>
        <w:widowControl/>
        <w:kinsoku/>
        <w:wordWrap/>
        <w:overflowPunct/>
        <w:topLinePunct w:val="0"/>
        <w:autoSpaceDE/>
        <w:autoSpaceDN/>
        <w:bidi w:val="0"/>
        <w:adjustRightInd/>
        <w:snapToGrid/>
        <w:spacing w:after="64" w:line="308" w:lineRule="auto"/>
        <w:ind w:left="0" w:right="0" w:firstLine="133" w:firstLineChars="74"/>
        <w:textAlignment w:val="auto"/>
      </w:pPr>
      <w:r>
        <w:rPr>
          <w:sz w:val="18"/>
        </w:rPr>
        <w:t>[2] Hilprecht B., Schmidt A., Kulessa M., Molina A., Kersting K., Binnig C. DeepDB: Learn from Data, not from Queries! Proceedings of the VLDB Endowment, 13(7): 992–1005, 2020. https://arxiv.org/abs/1909.00607</w:t>
      </w:r>
    </w:p>
    <w:p w14:paraId="2DA1DF40">
      <w:pPr>
        <w:keepNext w:val="0"/>
        <w:keepLines w:val="0"/>
        <w:pageBreakBefore w:val="0"/>
        <w:widowControl/>
        <w:kinsoku/>
        <w:wordWrap/>
        <w:overflowPunct/>
        <w:topLinePunct w:val="0"/>
        <w:autoSpaceDE/>
        <w:autoSpaceDN/>
        <w:bidi w:val="0"/>
        <w:adjustRightInd/>
        <w:snapToGrid/>
        <w:spacing w:after="64" w:line="308" w:lineRule="auto"/>
        <w:ind w:left="0" w:right="0" w:firstLine="133" w:firstLineChars="74"/>
        <w:textAlignment w:val="auto"/>
      </w:pPr>
      <w:r>
        <w:rPr>
          <w:sz w:val="18"/>
        </w:rPr>
        <w:t>[3] Yang Z., Kamsetty A., Luan S., Liang E., Duan Y., Chen X., Stoica I. NeuroCard: One Cardinality Estimator for All Tables. Proceedings of the VLDB Endowment, 14(1): 61–73, 2020/2021. https://www.vldb.org/pvldb/vol14/p61-yang.pdf</w:t>
      </w:r>
    </w:p>
    <w:p w14:paraId="32814AA5">
      <w:pPr>
        <w:keepNext w:val="0"/>
        <w:keepLines w:val="0"/>
        <w:pageBreakBefore w:val="0"/>
        <w:widowControl/>
        <w:kinsoku/>
        <w:wordWrap/>
        <w:overflowPunct/>
        <w:topLinePunct w:val="0"/>
        <w:autoSpaceDE/>
        <w:autoSpaceDN/>
        <w:bidi w:val="0"/>
        <w:adjustRightInd/>
        <w:snapToGrid/>
        <w:spacing w:after="64" w:line="308" w:lineRule="auto"/>
        <w:ind w:left="0" w:right="0" w:firstLine="133" w:firstLineChars="74"/>
        <w:textAlignment w:val="auto"/>
      </w:pPr>
      <w:r>
        <w:rPr>
          <w:sz w:val="18"/>
        </w:rPr>
        <w:t>[4] Negi P., Marcus R., Kipf A., et al. Flow-Loss: Learning Cardinality Estimates That Matter. 2021. https://arxiv.org/abs/2101.04964</w:t>
      </w:r>
    </w:p>
    <w:p w14:paraId="49831899">
      <w:pPr>
        <w:keepNext w:val="0"/>
        <w:keepLines w:val="0"/>
        <w:pageBreakBefore w:val="0"/>
        <w:widowControl/>
        <w:kinsoku/>
        <w:wordWrap/>
        <w:overflowPunct/>
        <w:topLinePunct w:val="0"/>
        <w:autoSpaceDE/>
        <w:autoSpaceDN/>
        <w:bidi w:val="0"/>
        <w:adjustRightInd/>
        <w:snapToGrid/>
        <w:spacing w:after="64" w:line="308" w:lineRule="auto"/>
        <w:ind w:left="0" w:right="0" w:firstLine="155" w:firstLineChars="74"/>
        <w:textAlignment w:val="auto"/>
      </w:pPr>
      <w:r>
        <w:t>近年补充与部署方向：</w:t>
      </w:r>
    </w:p>
    <w:p w14:paraId="5C19F668">
      <w:pPr>
        <w:keepNext w:val="0"/>
        <w:keepLines w:val="0"/>
        <w:pageBreakBefore w:val="0"/>
        <w:widowControl/>
        <w:kinsoku/>
        <w:wordWrap/>
        <w:overflowPunct/>
        <w:topLinePunct w:val="0"/>
        <w:autoSpaceDE/>
        <w:autoSpaceDN/>
        <w:bidi w:val="0"/>
        <w:adjustRightInd/>
        <w:snapToGrid/>
        <w:spacing w:after="64" w:line="308" w:lineRule="auto"/>
        <w:ind w:left="0" w:right="0" w:firstLine="133" w:firstLineChars="74"/>
        <w:textAlignment w:val="auto"/>
      </w:pPr>
      <w:r>
        <w:rPr>
          <w:sz w:val="18"/>
        </w:rPr>
        <w:t>[5] Wu Z., Negi P., Alizadeh M., Kraska T., Madden S. FactorJoin: A New Cardinality Estimation Framework for Join Queries. PACMMOD / SIGMOD, 2023. https://doi.org/10.1145/3588721</w:t>
      </w:r>
    </w:p>
    <w:p w14:paraId="467DB739">
      <w:pPr>
        <w:keepNext w:val="0"/>
        <w:keepLines w:val="0"/>
        <w:pageBreakBefore w:val="0"/>
        <w:widowControl/>
        <w:kinsoku/>
        <w:wordWrap/>
        <w:overflowPunct/>
        <w:topLinePunct w:val="0"/>
        <w:autoSpaceDE/>
        <w:autoSpaceDN/>
        <w:bidi w:val="0"/>
        <w:adjustRightInd/>
        <w:snapToGrid/>
        <w:spacing w:after="64" w:line="308" w:lineRule="auto"/>
        <w:ind w:left="0" w:right="0" w:firstLine="133" w:firstLineChars="74"/>
        <w:textAlignment w:val="auto"/>
      </w:pPr>
      <w:r>
        <w:rPr>
          <w:sz w:val="18"/>
        </w:rPr>
        <w:t>[6] Li P., Wei W., Zhu R., Ding B., Zhou J., Lu H. ALECE: An Attention-based Learned Cardinality Estimator for SPJ Queries on Dynamic Workloads. Proceedings of the VLDB Endowment, 17(2): 197–210, 2023/2024. https://www.vldb.org/pvldb/vol17/p197-li.pdf</w:t>
      </w:r>
    </w:p>
    <w:p w14:paraId="4979187F">
      <w:pPr>
        <w:keepNext w:val="0"/>
        <w:keepLines w:val="0"/>
        <w:pageBreakBefore w:val="0"/>
        <w:widowControl/>
        <w:kinsoku/>
        <w:wordWrap/>
        <w:overflowPunct/>
        <w:topLinePunct w:val="0"/>
        <w:autoSpaceDE/>
        <w:autoSpaceDN/>
        <w:bidi w:val="0"/>
        <w:adjustRightInd/>
        <w:snapToGrid/>
        <w:spacing w:after="64" w:line="308" w:lineRule="auto"/>
        <w:ind w:left="0" w:right="0" w:firstLine="133" w:firstLineChars="74"/>
        <w:textAlignment w:val="auto"/>
      </w:pPr>
      <w:r>
        <w:rPr>
          <w:sz w:val="18"/>
        </w:rPr>
        <w:t>[7] Zeng T., Lan J., Ma J., Wei W., Zhu R., et al. PRICE: A Pretrained Model for Cross-Database Cardinality Estimation. Proceedings of the VLDB Endowment, 18(3): 637–650, 2024. https://www.vldb.org/pvldb/vol18/p637-zhu.pdf</w:t>
      </w:r>
    </w:p>
    <w:p w14:paraId="72817A2B">
      <w:pPr>
        <w:keepNext w:val="0"/>
        <w:keepLines w:val="0"/>
        <w:pageBreakBefore w:val="0"/>
        <w:widowControl/>
        <w:kinsoku/>
        <w:wordWrap/>
        <w:overflowPunct/>
        <w:topLinePunct w:val="0"/>
        <w:autoSpaceDE/>
        <w:autoSpaceDN/>
        <w:bidi w:val="0"/>
        <w:adjustRightInd/>
        <w:snapToGrid/>
        <w:spacing w:after="64" w:line="308" w:lineRule="auto"/>
        <w:ind w:left="0" w:right="0" w:firstLine="133" w:firstLineChars="74"/>
        <w:textAlignment w:val="auto"/>
      </w:pPr>
      <w:r>
        <w:rPr>
          <w:sz w:val="18"/>
        </w:rPr>
        <w:t>[8] Xu X., Kang R., He X., Zhang L., Chen J., Zhang T. ZeroCard: Cardinality Estimation with Zero Dependence on Target Databases—No Data, No Query, No Retraining. arXiv preprint, 2025. https://arxiv.org/abs/2510.07983</w:t>
      </w:r>
    </w:p>
    <w:p w14:paraId="1C97D3C0">
      <w:pPr>
        <w:keepNext w:val="0"/>
        <w:keepLines w:val="0"/>
        <w:pageBreakBefore w:val="0"/>
        <w:widowControl/>
        <w:kinsoku/>
        <w:wordWrap/>
        <w:overflowPunct/>
        <w:topLinePunct w:val="0"/>
        <w:autoSpaceDE/>
        <w:autoSpaceDN/>
        <w:bidi w:val="0"/>
        <w:adjustRightInd/>
        <w:snapToGrid/>
        <w:spacing w:after="64" w:line="308" w:lineRule="auto"/>
        <w:ind w:left="0" w:right="0" w:firstLine="155" w:firstLineChars="74"/>
        <w:textAlignment w:val="auto"/>
      </w:pPr>
      <w:r>
        <w:t>组内材料：B/C《PostgreSQL 基数估计实验报告》、query_summary.csv、qerror_statistics.csv、node_runs.csv；D《执行计划影响与典型案例分析》及节点级指标表；上学期《SQL 与 AI 协同优化——基于机器学习的查询优化》前沿调研报告。</w:t>
      </w:r>
    </w:p>
    <w:sectPr>
      <w:footerReference r:id="rId5" w:type="default"/>
      <w:pgSz w:w="11906" w:h="16838"/>
      <w:pgMar w:top="935" w:right="1077" w:bottom="935" w:left="107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5683B4">
    <w:pPr>
      <w:pStyle w:val="24"/>
      <w:jc w:val="center"/>
    </w:pPr>
    <w:r>
      <w:rPr>
        <w:color w:val="828282"/>
        <w:sz w:val="16"/>
      </w:rPr>
      <w:t xml:space="preserv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7" w:lineRule="auto"/>
      </w:pPr>
      <w:r>
        <w:separator/>
      </w:r>
    </w:p>
  </w:footnote>
  <w:footnote w:type="continuationSeparator" w:id="1">
    <w:p>
      <w:pPr>
        <w:spacing w:before="0" w:after="0" w:line="307"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7A6112"/>
    <w:rsid w:val="05AB7BBE"/>
    <w:rsid w:val="09A92667"/>
    <w:rsid w:val="0D4D7CE0"/>
    <w:rsid w:val="226E2973"/>
    <w:rsid w:val="258C4EBE"/>
    <w:rsid w:val="27915390"/>
    <w:rsid w:val="294A30C6"/>
    <w:rsid w:val="30AE4883"/>
    <w:rsid w:val="451E1B7F"/>
    <w:rsid w:val="4E2E44B5"/>
    <w:rsid w:val="5AA004E9"/>
    <w:rsid w:val="5D9D7D37"/>
    <w:rsid w:val="6BBA3B0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4" w:line="307" w:lineRule="auto"/>
      <w:ind w:firstLine="420"/>
    </w:pPr>
    <w:rPr>
      <w:rFonts w:ascii="宋体" w:hAnsi="宋体" w:eastAsia="宋体" w:cstheme="minorBidi"/>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rPr>
      <w:sz w:val="24"/>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TitleCN"/>
    <w:uiPriority w:val="0"/>
    <w:pPr>
      <w:spacing w:before="140" w:after="80" w:line="276" w:lineRule="auto"/>
      <w:ind w:firstLine="0"/>
    </w:pPr>
    <w:rPr>
      <w:rFonts w:ascii="黑体" w:hAnsi="黑体" w:eastAsia="黑体" w:cstheme="minorBidi"/>
      <w:b/>
      <w:color w:val="173F69"/>
      <w:sz w:val="36"/>
      <w:szCs w:val="22"/>
      <w:lang w:val="en-US" w:eastAsia="en-US" w:bidi="ar-SA"/>
    </w:rPr>
  </w:style>
  <w:style w:type="paragraph" w:customStyle="1" w:styleId="166">
    <w:name w:val="H1CN"/>
    <w:uiPriority w:val="0"/>
    <w:pPr>
      <w:spacing w:before="140" w:after="80" w:line="276" w:lineRule="auto"/>
      <w:ind w:firstLine="0"/>
    </w:pPr>
    <w:rPr>
      <w:rFonts w:ascii="黑体" w:hAnsi="黑体" w:eastAsia="黑体" w:cstheme="minorBidi"/>
      <w:b/>
      <w:color w:val="173F69"/>
      <w:sz w:val="29"/>
      <w:szCs w:val="22"/>
      <w:lang w:val="en-US" w:eastAsia="en-US" w:bidi="ar-SA"/>
    </w:rPr>
  </w:style>
  <w:style w:type="paragraph" w:customStyle="1" w:styleId="167">
    <w:name w:val="H2CN"/>
    <w:uiPriority w:val="0"/>
    <w:pPr>
      <w:spacing w:before="140" w:after="80" w:line="276" w:lineRule="auto"/>
      <w:ind w:firstLine="0"/>
    </w:pPr>
    <w:rPr>
      <w:rFonts w:ascii="黑体" w:hAnsi="黑体" w:eastAsia="黑体" w:cstheme="minorBidi"/>
      <w:b/>
      <w:color w:val="244A73"/>
      <w:sz w:val="24"/>
      <w:szCs w:val="22"/>
      <w:lang w:val="en-US" w:eastAsia="en-US" w:bidi="ar-SA"/>
    </w:rPr>
  </w:style>
  <w:style w:type="paragraph" w:customStyle="1" w:styleId="168">
    <w:name w:val="H3CN"/>
    <w:uiPriority w:val="0"/>
    <w:pPr>
      <w:spacing w:before="140" w:after="80" w:line="276" w:lineRule="auto"/>
      <w:ind w:firstLine="0"/>
    </w:pPr>
    <w:rPr>
      <w:rFonts w:ascii="黑体" w:hAnsi="黑体" w:eastAsia="黑体" w:cstheme="minorBidi"/>
      <w:b/>
      <w:color w:val="333333"/>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12585</Words>
  <Characters>16747</Characters>
  <Lines>0</Lines>
  <Paragraphs>0</Paragraphs>
  <TotalTime>16</TotalTime>
  <ScaleCrop>false</ScaleCrop>
  <LinksUpToDate>false</LinksUpToDate>
  <CharactersWithSpaces>17904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课程小组 E1</dc:creator>
  <dc:description>generated by python-docx</dc:description>
  <cp:lastModifiedBy>依依&amp;Viola</cp:lastModifiedBy>
  <dcterms:modified xsi:type="dcterms:W3CDTF">2026-10-05T08:35:36Z</dcterms:modified>
  <dc:subject>数据库系统原理课程设计</dc:subject>
  <dc:title>E1 实验问题—AI方法对应分析（丰富版）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eyJoZGlkIjoiMDNkMTdkNDBhZjg1MzFhMjhlNTRmOGUxMGJmYzY0NGYiLCJ1c2VySWQiOiI4NDc1NjkzNTAifQ==</vt:lpwstr>
  </property>
  <property fmtid="{D5CDD505-2E9C-101B-9397-08002B2CF9AE}" pid="3" name="KSOProductBuildVer">
    <vt:lpwstr>2052-12.1.0.23542</vt:lpwstr>
  </property>
  <property fmtid="{D5CDD505-2E9C-101B-9397-08002B2CF9AE}" pid="4" name="ICV">
    <vt:lpwstr>E34CE217081F4F27B9B1012D608E70A1_12</vt:lpwstr>
  </property>
</Properties>
</file>