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741F68">
      <w:pPr>
        <w:rPr>
          <w:rFonts w:hint="eastAsia"/>
          <w:sz w:val="36"/>
          <w:szCs w:val="36"/>
        </w:rPr>
      </w:pPr>
      <w:r>
        <w:rPr>
          <w:rFonts w:hint="eastAsia"/>
          <w:sz w:val="36"/>
          <w:szCs w:val="36"/>
        </w:rPr>
        <w:t>PPT 直接使用素材｜重点模型摘要与对接说明（交同学 A）</w:t>
      </w:r>
    </w:p>
    <w:p w14:paraId="11065A43">
      <w:pPr>
        <w:rPr>
          <w:rFonts w:hint="eastAsia"/>
        </w:rPr>
      </w:pPr>
      <w:r>
        <w:rPr>
          <w:rFonts w:hint="eastAsia"/>
        </w:rPr>
        <w:t>本文件面向 PPT 负责人 A，内容已按“结论式标题 + 要点 + 建议图 + 口播要点”压缩，可直接拆成 PPT 文本。所有实验数字来自 B/C/D 交付物；AI 方法部分为文献信号与问题映射，本组未训练或评测任何 AI 模型。最终汇报建议以本组实验事实为主，AI 方法作为回应，不要反过来用论文内容替代实验。</w:t>
      </w:r>
    </w:p>
    <w:p w14:paraId="4E16E90A">
      <w:pPr>
        <w:rPr>
          <w:rFonts w:hint="eastAsia"/>
        </w:rPr>
      </w:pPr>
    </w:p>
    <w:p w14:paraId="2EF678E6">
      <w:pPr>
        <w:rPr>
          <w:rFonts w:hint="eastAsia"/>
          <w:sz w:val="30"/>
          <w:szCs w:val="30"/>
        </w:rPr>
      </w:pPr>
      <w:r>
        <w:rPr>
          <w:rFonts w:hint="eastAsia"/>
          <w:sz w:val="30"/>
          <w:szCs w:val="30"/>
        </w:rPr>
        <w:t>一、四个重点模型摘要（可直接放 PPT）</w:t>
      </w:r>
    </w:p>
    <w:p w14:paraId="2B18DC01">
      <w:pPr>
        <w:rPr>
          <w:rFonts w:hint="eastAsia"/>
        </w:rPr>
      </w:pPr>
      <w:r>
        <w:rPr>
          <w:rFonts w:hint="eastAsia"/>
        </w:rPr>
        <w:t>1. MSCN：从历史查询学习“查询 → 基数”</w:t>
      </w:r>
    </w:p>
    <w:p w14:paraId="414CC315">
      <w:pPr>
        <w:rPr>
          <w:rFonts w:hint="eastAsia"/>
        </w:rPr>
      </w:pPr>
      <w:r>
        <w:rPr>
          <w:rFonts w:hint="eastAsia"/>
        </w:rPr>
        <w:t>解决问题</w:t>
      </w:r>
    </w:p>
    <w:p w14:paraId="22D1FE37">
      <w:pPr>
        <w:rPr>
          <w:rFonts w:hint="eastAsia"/>
        </w:rPr>
      </w:pPr>
      <w:r>
        <w:rPr>
          <w:rFonts w:hint="eastAsia"/>
        </w:rPr>
        <w:t>适合解释 T09：底层过滤和中间连接估计都较准确，但误差在顶层 Join 处突然出现。传统固定选择率公式难以表达跨表谓词之间的业务相关关系。</w:t>
      </w:r>
    </w:p>
    <w:p w14:paraId="704B1818">
      <w:pPr>
        <w:rPr>
          <w:rFonts w:hint="eastAsia"/>
        </w:rPr>
      </w:pPr>
    </w:p>
    <w:p w14:paraId="2BDCF379">
      <w:pPr>
        <w:rPr>
          <w:rFonts w:hint="eastAsia"/>
        </w:rPr>
      </w:pPr>
      <w:r>
        <w:rPr>
          <w:rFonts w:hint="eastAsia"/>
        </w:rPr>
        <w:t>基本思路</w:t>
      </w:r>
    </w:p>
    <w:p w14:paraId="2AF14640">
      <w:pPr>
        <w:rPr>
          <w:rFonts w:hint="eastAsia"/>
        </w:rPr>
      </w:pPr>
      <w:r>
        <w:rPr>
          <w:rFonts w:hint="eastAsia"/>
        </w:rPr>
        <w:t>把查询中的表、连接条件和过滤谓词分别编码，再用已经执行过的查询及其真实基数作为训练样本，直接学习“什么样的查询通常会产生多少行结果”。</w:t>
      </w:r>
    </w:p>
    <w:p w14:paraId="1694ABC9">
      <w:pPr>
        <w:rPr>
          <w:rFonts w:hint="eastAsia"/>
        </w:rPr>
      </w:pPr>
    </w:p>
    <w:p w14:paraId="2E144531">
      <w:pPr>
        <w:rPr>
          <w:rFonts w:hint="eastAsia"/>
        </w:rPr>
      </w:pPr>
      <w:r>
        <w:rPr>
          <w:rFonts w:hint="eastAsia"/>
        </w:rPr>
        <w:t>适合场景</w:t>
      </w:r>
    </w:p>
    <w:p w14:paraId="5495CD18">
      <w:pPr>
        <w:rPr>
          <w:rFonts w:hint="eastAsia"/>
        </w:rPr>
      </w:pPr>
      <w:r>
        <w:rPr>
          <w:rFonts w:hint="eastAsia"/>
        </w:rPr>
        <w:t>历史 workload 比较稳定、能积累查询日志和真实基数标签，且复杂 Join 较多的数据库。</w:t>
      </w:r>
    </w:p>
    <w:p w14:paraId="4AFFF9F5">
      <w:pPr>
        <w:rPr>
          <w:rFonts w:hint="eastAsia"/>
        </w:rPr>
      </w:pPr>
    </w:p>
    <w:p w14:paraId="563449C6">
      <w:pPr>
        <w:rPr>
          <w:rFonts w:hint="eastAsia"/>
        </w:rPr>
      </w:pPr>
      <w:r>
        <w:rPr>
          <w:rFonts w:hint="eastAsia"/>
        </w:rPr>
        <w:t>局限</w:t>
      </w:r>
    </w:p>
    <w:p w14:paraId="713249CF">
      <w:pPr>
        <w:rPr>
          <w:rFonts w:hint="eastAsia"/>
        </w:rPr>
      </w:pPr>
      <w:r>
        <w:rPr>
          <w:rFonts w:hint="eastAsia"/>
        </w:rPr>
        <w:t>训练标签获取成本高；如果线上出现训练时没有见过的新查询模板，或数据分布发生变化，模型准确率可能下降。</w:t>
      </w:r>
    </w:p>
    <w:p w14:paraId="72A1BA73">
      <w:pPr>
        <w:rPr>
          <w:rFonts w:hint="eastAsia"/>
        </w:rPr>
      </w:pPr>
    </w:p>
    <w:p w14:paraId="7A158186">
      <w:pPr>
        <w:rPr>
          <w:rFonts w:hint="eastAsia"/>
        </w:rPr>
      </w:pPr>
      <w:r>
        <w:rPr>
          <w:rFonts w:hint="eastAsia"/>
        </w:rPr>
        <w:t>PPT 一句话</w:t>
      </w:r>
    </w:p>
    <w:p w14:paraId="245AEE63">
      <w:pPr>
        <w:rPr>
          <w:rFonts w:hint="eastAsia"/>
        </w:rPr>
      </w:pPr>
      <w:r>
        <w:rPr>
          <w:rFonts w:hint="eastAsia"/>
        </w:rPr>
        <w:t>T09 说明“底层估得准”并不保证 Join 估得准；MSCN 用历史查询直接学习 Join 结果规模，减少对固定独立性公式的依赖。</w:t>
      </w:r>
    </w:p>
    <w:p w14:paraId="567D920B">
      <w:pPr>
        <w:rPr>
          <w:rFonts w:hint="eastAsia"/>
        </w:rPr>
      </w:pPr>
    </w:p>
    <w:p w14:paraId="42EEB52E">
      <w:pPr>
        <w:rPr>
          <w:rFonts w:hint="eastAsia"/>
        </w:rPr>
      </w:pPr>
      <w:r>
        <w:rPr>
          <w:rFonts w:hint="eastAsia"/>
        </w:rPr>
        <w:t>2. DeepDB：从数据本身学习联合分布</w:t>
      </w:r>
    </w:p>
    <w:p w14:paraId="1A3F5C5F">
      <w:pPr>
        <w:rPr>
          <w:rFonts w:hint="eastAsia"/>
        </w:rPr>
      </w:pPr>
      <w:r>
        <w:rPr>
          <w:rFonts w:hint="eastAsia"/>
        </w:rPr>
        <w:t>解决问题</w:t>
      </w:r>
    </w:p>
    <w:p w14:paraId="68B95838">
      <w:pPr>
        <w:rPr>
          <w:rFonts w:hint="eastAsia"/>
        </w:rPr>
      </w:pPr>
      <w:r>
        <w:rPr>
          <w:rFonts w:hint="eastAsia"/>
        </w:rPr>
        <w:t>对应 S16、S19、S20 中“单列频率知道，但字段组合关系不知道”的问题，尤其适合解释为什么相关性和倾斜会使独立性假设失效。</w:t>
      </w:r>
    </w:p>
    <w:p w14:paraId="3AFBAC50">
      <w:pPr>
        <w:rPr>
          <w:rFonts w:hint="eastAsia"/>
        </w:rPr>
      </w:pPr>
    </w:p>
    <w:p w14:paraId="4A695EB6">
      <w:pPr>
        <w:rPr>
          <w:rFonts w:hint="eastAsia"/>
        </w:rPr>
      </w:pPr>
      <w:r>
        <w:rPr>
          <w:rFonts w:hint="eastAsia"/>
        </w:rPr>
        <w:t>基本思路</w:t>
      </w:r>
    </w:p>
    <w:p w14:paraId="2EE1C361">
      <w:pPr>
        <w:rPr>
          <w:rFonts w:hint="eastAsia"/>
        </w:rPr>
      </w:pPr>
      <w:r>
        <w:rPr>
          <w:rFonts w:hint="eastAsia"/>
        </w:rPr>
        <w:t>不要求先执行大量查询收集标签，而是直接学习数据库中属性值的联合分布。查询到来后，通过已经学到的数据分布推断满足条件的数据比例和结果规模。</w:t>
      </w:r>
    </w:p>
    <w:p w14:paraId="5AFAFFA9">
      <w:pPr>
        <w:rPr>
          <w:rFonts w:hint="eastAsia"/>
        </w:rPr>
      </w:pPr>
    </w:p>
    <w:p w14:paraId="0D41114D">
      <w:pPr>
        <w:rPr>
          <w:rFonts w:hint="eastAsia"/>
        </w:rPr>
      </w:pPr>
      <w:r>
        <w:rPr>
          <w:rFonts w:hint="eastAsia"/>
        </w:rPr>
        <w:t>适合场景</w:t>
      </w:r>
    </w:p>
    <w:p w14:paraId="4E8A9E6E">
      <w:pPr>
        <w:rPr>
          <w:rFonts w:hint="eastAsia"/>
        </w:rPr>
      </w:pPr>
      <w:r>
        <w:rPr>
          <w:rFonts w:hint="eastAsia"/>
        </w:rPr>
        <w:t>查询模板变化较多，但数据库的数据分布能够离线学习和维护；希望减少大量查询标签采集成本的场景。</w:t>
      </w:r>
    </w:p>
    <w:p w14:paraId="4CD33F5C">
      <w:pPr>
        <w:rPr>
          <w:rFonts w:hint="eastAsia"/>
        </w:rPr>
      </w:pPr>
    </w:p>
    <w:p w14:paraId="17011BD7">
      <w:pPr>
        <w:rPr>
          <w:rFonts w:hint="eastAsia"/>
        </w:rPr>
      </w:pPr>
      <w:r>
        <w:rPr>
          <w:rFonts w:hint="eastAsia"/>
        </w:rPr>
        <w:t>局限</w:t>
      </w:r>
    </w:p>
    <w:p w14:paraId="205110D9">
      <w:pPr>
        <w:rPr>
          <w:rFonts w:hint="eastAsia"/>
        </w:rPr>
      </w:pPr>
      <w:r>
        <w:rPr>
          <w:rFonts w:hint="eastAsia"/>
        </w:rPr>
        <w:t>复杂 schema 下模型更难构建；数据更新后需要维护模型；推理本身也会增加优化阶段的开销。</w:t>
      </w:r>
    </w:p>
    <w:p w14:paraId="49B4E9EF">
      <w:pPr>
        <w:rPr>
          <w:rFonts w:hint="eastAsia"/>
        </w:rPr>
      </w:pPr>
    </w:p>
    <w:p w14:paraId="6FE26C74">
      <w:pPr>
        <w:rPr>
          <w:rFonts w:hint="eastAsia"/>
        </w:rPr>
      </w:pPr>
      <w:r>
        <w:rPr>
          <w:rFonts w:hint="eastAsia"/>
        </w:rPr>
        <w:t>PPT 一句话</w:t>
      </w:r>
    </w:p>
    <w:p w14:paraId="43398789">
      <w:pPr>
        <w:rPr>
          <w:rFonts w:hint="eastAsia"/>
        </w:rPr>
      </w:pPr>
      <w:r>
        <w:rPr>
          <w:rFonts w:hint="eastAsia"/>
        </w:rPr>
        <w:t>S16/S19 的本质是“联合分布没有被单列统计表达”，DeepDB 则直接学习联合分布；但本组也证明，同表相关很多时候 Extended Statistics 已能有效解决。</w:t>
      </w:r>
    </w:p>
    <w:p w14:paraId="3CF9940B">
      <w:pPr>
        <w:rPr>
          <w:rFonts w:hint="eastAsia"/>
        </w:rPr>
      </w:pPr>
    </w:p>
    <w:p w14:paraId="24556EC6">
      <w:pPr>
        <w:rPr>
          <w:rFonts w:hint="eastAsia"/>
        </w:rPr>
      </w:pPr>
      <w:r>
        <w:rPr>
          <w:rFonts w:hint="eastAsia"/>
        </w:rPr>
        <w:t>3. NeuroCard：直接学习跨表联合关系</w:t>
      </w:r>
    </w:p>
    <w:p w14:paraId="1B11A95B">
      <w:pPr>
        <w:rPr>
          <w:rFonts w:hint="eastAsia"/>
        </w:rPr>
      </w:pPr>
      <w:r>
        <w:rPr>
          <w:rFonts w:hint="eastAsia"/>
        </w:rPr>
        <w:t>解决问题</w:t>
      </w:r>
    </w:p>
    <w:p w14:paraId="17B80CEA">
      <w:pPr>
        <w:rPr>
          <w:rFonts w:hint="eastAsia"/>
        </w:rPr>
      </w:pPr>
      <w:r>
        <w:rPr>
          <w:rFonts w:hint="eastAsia"/>
        </w:rPr>
        <w:t>最直接对应 S20，也可对应 T09。S20 中两个单表过滤估计完全准确，Join 仍然错 100 倍，说明问题存在于跨表联合关系本身。</w:t>
      </w:r>
    </w:p>
    <w:p w14:paraId="775A40DF">
      <w:pPr>
        <w:rPr>
          <w:rFonts w:hint="eastAsia"/>
        </w:rPr>
      </w:pPr>
    </w:p>
    <w:p w14:paraId="094BFC4C">
      <w:pPr>
        <w:rPr>
          <w:rFonts w:hint="eastAsia"/>
        </w:rPr>
      </w:pPr>
      <w:r>
        <w:rPr>
          <w:rFonts w:hint="eastAsia"/>
        </w:rPr>
        <w:t>基本思路</w:t>
      </w:r>
    </w:p>
    <w:p w14:paraId="0C97F13D">
      <w:pPr>
        <w:rPr>
          <w:rFonts w:hint="eastAsia"/>
        </w:rPr>
      </w:pPr>
      <w:r>
        <w:rPr>
          <w:rFonts w:hint="eastAsia"/>
        </w:rPr>
        <w:t>利用一个自回归模型学习整个数据库多表 Join 空间中的数据分布，让不同表之间的相关性进入同一个模型，而不是分别估完单表后再按独立假设拼接。</w:t>
      </w:r>
    </w:p>
    <w:p w14:paraId="11287EBC">
      <w:pPr>
        <w:rPr>
          <w:rFonts w:hint="eastAsia"/>
        </w:rPr>
      </w:pPr>
    </w:p>
    <w:p w14:paraId="7798DB9F">
      <w:pPr>
        <w:rPr>
          <w:rFonts w:hint="eastAsia"/>
        </w:rPr>
      </w:pPr>
      <w:r>
        <w:rPr>
          <w:rFonts w:hint="eastAsia"/>
        </w:rPr>
        <w:t>适合场景</w:t>
      </w:r>
    </w:p>
    <w:p w14:paraId="697A45D1">
      <w:pPr>
        <w:rPr>
          <w:rFonts w:hint="eastAsia"/>
        </w:rPr>
      </w:pPr>
      <w:r>
        <w:rPr>
          <w:rFonts w:hint="eastAsia"/>
        </w:rPr>
        <w:t>多表 Join 较多、跨表属性和业务关系明显、单表统计难以表达这些依赖的关系型数据库。</w:t>
      </w:r>
    </w:p>
    <w:p w14:paraId="46D93645">
      <w:pPr>
        <w:rPr>
          <w:rFonts w:hint="eastAsia"/>
        </w:rPr>
      </w:pPr>
    </w:p>
    <w:p w14:paraId="68D63233">
      <w:pPr>
        <w:rPr>
          <w:rFonts w:hint="eastAsia"/>
        </w:rPr>
      </w:pPr>
      <w:r>
        <w:rPr>
          <w:rFonts w:hint="eastAsia"/>
        </w:rPr>
        <w:t>局限</w:t>
      </w:r>
    </w:p>
    <w:p w14:paraId="5FC4404A">
      <w:pPr>
        <w:rPr>
          <w:rFonts w:hint="eastAsia"/>
        </w:rPr>
      </w:pPr>
      <w:r>
        <w:rPr>
          <w:rFonts w:hint="eastAsia"/>
        </w:rPr>
        <w:t>多表空间很大；采样、模型更新和 schema 变化处理较复杂；工程部署时需要同时考虑模型大小与推理速度。</w:t>
      </w:r>
    </w:p>
    <w:p w14:paraId="74BD9CAE">
      <w:pPr>
        <w:rPr>
          <w:rFonts w:hint="eastAsia"/>
        </w:rPr>
      </w:pPr>
    </w:p>
    <w:p w14:paraId="56D92EF7">
      <w:pPr>
        <w:rPr>
          <w:rFonts w:hint="eastAsia"/>
        </w:rPr>
      </w:pPr>
      <w:r>
        <w:rPr>
          <w:rFonts w:hint="eastAsia"/>
        </w:rPr>
        <w:t>PPT 一句话</w:t>
      </w:r>
    </w:p>
    <w:p w14:paraId="721F45B4">
      <w:pPr>
        <w:rPr>
          <w:rFonts w:hint="eastAsia"/>
        </w:rPr>
      </w:pPr>
      <w:r>
        <w:rPr>
          <w:rFonts w:hint="eastAsia"/>
        </w:rPr>
        <w:t>S20 的“单表全准、Join 错 100 倍”正是跨表联合分布问题；NeuroCard 的目标就是让模型直接学习这种跨表相关性。</w:t>
      </w:r>
    </w:p>
    <w:p w14:paraId="2C4131A7">
      <w:pPr>
        <w:rPr>
          <w:rFonts w:hint="eastAsia"/>
        </w:rPr>
      </w:pPr>
    </w:p>
    <w:p w14:paraId="589EEFCD">
      <w:pPr>
        <w:rPr>
          <w:rFonts w:hint="eastAsia"/>
        </w:rPr>
      </w:pPr>
      <w:r>
        <w:rPr>
          <w:rFonts w:hint="eastAsia"/>
        </w:rPr>
        <w:t>4. PRICE：从“单库训练”走向“跨库预训练”</w:t>
      </w:r>
    </w:p>
    <w:p w14:paraId="690EB914">
      <w:pPr>
        <w:rPr>
          <w:rFonts w:hint="eastAsia"/>
        </w:rPr>
      </w:pPr>
      <w:r>
        <w:rPr>
          <w:rFonts w:hint="eastAsia"/>
        </w:rPr>
        <w:t>解决问题</w:t>
      </w:r>
    </w:p>
    <w:p w14:paraId="0F94AE09">
      <w:pPr>
        <w:rPr>
          <w:rFonts w:hint="eastAsia"/>
        </w:rPr>
      </w:pPr>
      <w:r>
        <w:rPr>
          <w:rFonts w:hint="eastAsia"/>
        </w:rPr>
        <w:t>它不是直接解决 S16/S20/T09 中某一个具体误差，而是解决 learned CE 自身的部署问题：如果每换一个数据库都要重新采集大量标签、重新训练模型，实际应用成本很高。</w:t>
      </w:r>
    </w:p>
    <w:p w14:paraId="458DDBFE">
      <w:pPr>
        <w:rPr>
          <w:rFonts w:hint="eastAsia"/>
        </w:rPr>
      </w:pPr>
    </w:p>
    <w:p w14:paraId="57D2F365">
      <w:pPr>
        <w:rPr>
          <w:rFonts w:hint="eastAsia"/>
        </w:rPr>
      </w:pPr>
      <w:r>
        <w:rPr>
          <w:rFonts w:hint="eastAsia"/>
        </w:rPr>
        <w:t>基本思路</w:t>
      </w:r>
    </w:p>
    <w:p w14:paraId="4140761E">
      <w:pPr>
        <w:rPr>
          <w:rFonts w:hint="eastAsia"/>
        </w:rPr>
      </w:pPr>
      <w:r>
        <w:rPr>
          <w:rFonts w:hint="eastAsia"/>
        </w:rPr>
        <w:t>先在多个数据库上预训练模型，学习较通用的数据分布和查询特征；到新数据库后可以直接使用，也可以只用少量数据微调。</w:t>
      </w:r>
    </w:p>
    <w:p w14:paraId="24E384C4">
      <w:pPr>
        <w:rPr>
          <w:rFonts w:hint="eastAsia"/>
        </w:rPr>
      </w:pPr>
    </w:p>
    <w:p w14:paraId="78427A90">
      <w:pPr>
        <w:rPr>
          <w:rFonts w:hint="eastAsia"/>
        </w:rPr>
      </w:pPr>
      <w:r>
        <w:rPr>
          <w:rFonts w:hint="eastAsia"/>
        </w:rPr>
        <w:t>适合场景</w:t>
      </w:r>
    </w:p>
    <w:p w14:paraId="0F5D78D2">
      <w:pPr>
        <w:rPr>
          <w:rFonts w:hint="eastAsia"/>
        </w:rPr>
      </w:pPr>
      <w:r>
        <w:rPr>
          <w:rFonts w:hint="eastAsia"/>
        </w:rPr>
        <w:t>需要把 learned CE 部署到多个不同数据库，或者希望降低新数据库冷启动和重新训练成本的场景。</w:t>
      </w:r>
    </w:p>
    <w:p w14:paraId="7346806B">
      <w:pPr>
        <w:rPr>
          <w:rFonts w:hint="eastAsia"/>
        </w:rPr>
      </w:pPr>
    </w:p>
    <w:p w14:paraId="0CC39AE9">
      <w:pPr>
        <w:rPr>
          <w:rFonts w:hint="eastAsia"/>
        </w:rPr>
      </w:pPr>
      <w:r>
        <w:rPr>
          <w:rFonts w:hint="eastAsia"/>
        </w:rPr>
        <w:t>局限</w:t>
      </w:r>
    </w:p>
    <w:p w14:paraId="18187A0A">
      <w:pPr>
        <w:rPr>
          <w:rFonts w:hint="eastAsia"/>
        </w:rPr>
      </w:pPr>
      <w:r>
        <w:rPr>
          <w:rFonts w:hint="eastAsia"/>
        </w:rPr>
        <w:t>schema 差异和数据分布差异仍然会影响迁移效果；预训练并不能保证对所有新数据库都同样准确。</w:t>
      </w:r>
    </w:p>
    <w:p w14:paraId="00FAF821">
      <w:pPr>
        <w:rPr>
          <w:rFonts w:hint="eastAsia"/>
        </w:rPr>
      </w:pPr>
    </w:p>
    <w:p w14:paraId="695416C5">
      <w:pPr>
        <w:rPr>
          <w:rFonts w:hint="eastAsia"/>
        </w:rPr>
      </w:pPr>
      <w:r>
        <w:rPr>
          <w:rFonts w:hint="eastAsia"/>
        </w:rPr>
        <w:t>PPT 一句话</w:t>
      </w:r>
    </w:p>
    <w:p w14:paraId="4F8C5D37">
      <w:pPr>
        <w:rPr>
          <w:rFonts w:hint="eastAsia"/>
        </w:rPr>
      </w:pPr>
      <w:r>
        <w:rPr>
          <w:rFonts w:hint="eastAsia"/>
        </w:rPr>
        <w:t>PRICE 的意义不只是“再把 Q-error 降一点”，而是把研究问题推进到：学习型基数估计能不能跨数据库复用、降低部署成本。</w:t>
      </w:r>
    </w:p>
    <w:p w14:paraId="22826B2A">
      <w:pPr>
        <w:rPr>
          <w:rFonts w:hint="eastAsia"/>
        </w:rPr>
      </w:pPr>
    </w:p>
    <w:p w14:paraId="00AEBF88">
      <w:pPr>
        <w:rPr>
          <w:rFonts w:hint="eastAsia"/>
          <w:sz w:val="30"/>
          <w:szCs w:val="30"/>
        </w:rPr>
      </w:pPr>
      <w:r>
        <w:rPr>
          <w:rFonts w:hint="eastAsia"/>
          <w:sz w:val="30"/>
          <w:szCs w:val="30"/>
        </w:rPr>
        <w:t>二、建议 PPT 页面安排（4 页）</w:t>
      </w:r>
    </w:p>
    <w:p w14:paraId="04AAED04">
      <w:pPr>
        <w:rPr>
          <w:rFonts w:hint="eastAsia"/>
        </w:rPr>
      </w:pPr>
      <w:r>
        <w:rPr>
          <w:rFonts w:hint="eastAsia"/>
        </w:rPr>
        <w:t>页 1｜同表可修、跨表失效：实验划出的传统统计边界</w:t>
      </w:r>
    </w:p>
    <w:p w14:paraId="5B5F350C">
      <w:pPr>
        <w:rPr>
          <w:rFonts w:hint="eastAsia"/>
        </w:rPr>
      </w:pPr>
      <w:r>
        <w:rPr>
          <w:rFonts w:hint="eastAsia"/>
        </w:rPr>
        <w:t>结论式标题</w:t>
      </w:r>
    </w:p>
    <w:p w14:paraId="1D0D15D8">
      <w:pPr>
        <w:rPr>
          <w:rFonts w:hint="eastAsia"/>
        </w:rPr>
      </w:pPr>
      <w:r>
        <w:rPr>
          <w:rFonts w:hint="eastAsia"/>
        </w:rPr>
        <w:t>同表可修、跨表失效：实验划出的传统统计边界</w:t>
      </w:r>
    </w:p>
    <w:p w14:paraId="1264D096">
      <w:pPr>
        <w:rPr>
          <w:rFonts w:hint="eastAsia"/>
        </w:rPr>
      </w:pPr>
    </w:p>
    <w:p w14:paraId="181D2E25">
      <w:pPr>
        <w:rPr>
          <w:rFonts w:hint="eastAsia"/>
        </w:rPr>
      </w:pPr>
      <w:r>
        <w:rPr>
          <w:rFonts w:hint="eastAsia"/>
        </w:rPr>
        <w:t>建议图</w:t>
      </w:r>
    </w:p>
    <w:p w14:paraId="3214CB44">
      <w:pPr>
        <w:rPr>
          <w:rFonts w:hint="eastAsia"/>
        </w:rPr>
      </w:pPr>
      <w:r>
        <w:rPr>
          <w:rFonts w:hint="eastAsia"/>
        </w:rPr>
        <w:t>C03（扩展统计三阶段对照），可加 D02（S20 计划树）局部。</w:t>
      </w:r>
    </w:p>
    <w:p w14:paraId="798EA1F8">
      <w:pPr>
        <w:rPr>
          <w:rFonts w:hint="eastAsia"/>
        </w:rPr>
      </w:pPr>
    </w:p>
    <w:p w14:paraId="5EBD333B">
      <w:pPr>
        <w:rPr>
          <w:rFonts w:hint="eastAsia"/>
        </w:rPr>
      </w:pPr>
      <w:r>
        <w:rPr>
          <w:rFonts w:hint="eastAsia"/>
        </w:rPr>
        <w:t>要点</w:t>
      </w:r>
    </w:p>
    <w:p w14:paraId="3BCF511D">
      <w:pPr>
        <w:rPr>
          <w:rFonts w:hint="eastAsia"/>
        </w:rPr>
      </w:pPr>
    </w:p>
    <w:p w14:paraId="44466C0C">
      <w:pPr>
        <w:rPr>
          <w:rFonts w:hint="eastAsia"/>
        </w:rPr>
      </w:pPr>
      <w:r>
        <w:rPr>
          <w:rFonts w:hint="eastAsia"/>
        </w:rPr>
        <w:t>S16：估计 30，实际 3000，Q-error 100；扩展统计后 Q-error 1。</w:t>
      </w:r>
    </w:p>
    <w:p w14:paraId="4FD88650">
      <w:pPr>
        <w:rPr>
          <w:rFonts w:hint="eastAsia"/>
        </w:rPr>
      </w:pPr>
    </w:p>
    <w:p w14:paraId="6DD6B16D">
      <w:pPr>
        <w:rPr>
          <w:rFonts w:hint="eastAsia"/>
        </w:rPr>
      </w:pPr>
      <w:r>
        <w:rPr>
          <w:rFonts w:hint="eastAsia"/>
        </w:rPr>
        <w:t>S19：估计 8，实际 1515，Q-error 189.375；扩展统计后 Q-error 1。</w:t>
      </w:r>
    </w:p>
    <w:p w14:paraId="3076E81A">
      <w:pPr>
        <w:rPr>
          <w:rFonts w:hint="eastAsia"/>
        </w:rPr>
      </w:pPr>
    </w:p>
    <w:p w14:paraId="59D56081">
      <w:pPr>
        <w:rPr>
          <w:rFonts w:hint="eastAsia"/>
        </w:rPr>
      </w:pPr>
      <w:r>
        <w:rPr>
          <w:rFonts w:hint="eastAsia"/>
        </w:rPr>
        <w:t>S20：两侧单表过滤均准确（3000/3000，100/100），Join 估计 30，实际 3000，Q-error 100；扩展统计后仍为 100。</w:t>
      </w:r>
    </w:p>
    <w:p w14:paraId="455D0B05">
      <w:pPr>
        <w:rPr>
          <w:rFonts w:hint="eastAsia"/>
        </w:rPr>
      </w:pPr>
    </w:p>
    <w:p w14:paraId="66C73414">
      <w:pPr>
        <w:rPr>
          <w:rFonts w:hint="eastAsia"/>
        </w:rPr>
      </w:pPr>
      <w:r>
        <w:rPr>
          <w:rFonts w:hint="eastAsia"/>
        </w:rPr>
        <w:t>T09：底层节点 Q-error ≈ 1，顶层 Join 估计 316,503，实际 30,519，Q-error 10.371。</w:t>
      </w:r>
    </w:p>
    <w:p w14:paraId="03D1F6A3">
      <w:pPr>
        <w:rPr>
          <w:rFonts w:hint="eastAsia"/>
        </w:rPr>
      </w:pPr>
    </w:p>
    <w:p w14:paraId="40941DC3">
      <w:pPr>
        <w:rPr>
          <w:rFonts w:hint="eastAsia"/>
        </w:rPr>
      </w:pPr>
      <w:r>
        <w:rPr>
          <w:rFonts w:hint="eastAsia"/>
        </w:rPr>
        <w:t>T11：根节点 Q-error 1.008，但 l_orderkey n_distinct 估计 390,916，真实约 150 万，内层工作量估计失真。</w:t>
      </w:r>
    </w:p>
    <w:p w14:paraId="722FCB82">
      <w:pPr>
        <w:rPr>
          <w:rFonts w:hint="eastAsia"/>
        </w:rPr>
      </w:pPr>
    </w:p>
    <w:p w14:paraId="2F996C22">
      <w:pPr>
        <w:rPr>
          <w:rFonts w:hint="eastAsia"/>
        </w:rPr>
      </w:pPr>
      <w:r>
        <w:rPr>
          <w:rFonts w:hint="eastAsia"/>
        </w:rPr>
        <w:t>本页结论</w:t>
      </w:r>
    </w:p>
    <w:p w14:paraId="2EACAEF9">
      <w:pPr>
        <w:rPr>
          <w:rFonts w:hint="eastAsia"/>
        </w:rPr>
      </w:pPr>
      <w:r>
        <w:rPr>
          <w:rFonts w:hint="eastAsia"/>
        </w:rPr>
        <w:t>本组实验没有证明传统 CE 全面失效，而是更清楚地说明：同表相关可以通过扩展统计修正，跨表联合关系和 Join 后相关性仍是更难的问题。</w:t>
      </w:r>
    </w:p>
    <w:p w14:paraId="4EFCBC44">
      <w:pPr>
        <w:rPr>
          <w:rFonts w:hint="eastAsia"/>
        </w:rPr>
      </w:pPr>
    </w:p>
    <w:p w14:paraId="66D6519B">
      <w:pPr>
        <w:rPr>
          <w:rFonts w:hint="eastAsia"/>
        </w:rPr>
      </w:pPr>
      <w:r>
        <w:rPr>
          <w:rFonts w:hint="eastAsia"/>
        </w:rPr>
        <w:t>口播要点</w:t>
      </w:r>
    </w:p>
    <w:p w14:paraId="7030CB67">
      <w:pPr>
        <w:rPr>
          <w:rFonts w:hint="eastAsia"/>
        </w:rPr>
      </w:pPr>
      <w:r>
        <w:rPr>
          <w:rFonts w:hint="eastAsia"/>
        </w:rPr>
        <w:t>强调 S16/S19 被扩展统计修正，S20 三阶段纹丝不动；T09 底层全准、顶层 Join 才错；T11 根节点准但内部统计有偏差。</w:t>
      </w:r>
    </w:p>
    <w:p w14:paraId="1D459DE9">
      <w:pPr>
        <w:rPr>
          <w:rFonts w:hint="eastAsia"/>
        </w:rPr>
      </w:pPr>
    </w:p>
    <w:p w14:paraId="65BDB640">
      <w:pPr>
        <w:rPr>
          <w:rFonts w:hint="eastAsia"/>
        </w:rPr>
      </w:pPr>
      <w:r>
        <w:rPr>
          <w:rFonts w:hint="eastAsia"/>
        </w:rPr>
        <w:t>页 2｜现有 learned CE 还缺什么：工程问题清单</w:t>
      </w:r>
    </w:p>
    <w:p w14:paraId="69F723F6">
      <w:pPr>
        <w:rPr>
          <w:rFonts w:hint="eastAsia"/>
        </w:rPr>
      </w:pPr>
      <w:r>
        <w:rPr>
          <w:rFonts w:hint="eastAsia"/>
        </w:rPr>
        <w:t>结论式标题</w:t>
      </w:r>
    </w:p>
    <w:p w14:paraId="20163DC9">
      <w:pPr>
        <w:rPr>
          <w:rFonts w:hint="eastAsia"/>
        </w:rPr>
      </w:pPr>
      <w:r>
        <w:rPr>
          <w:rFonts w:hint="eastAsia"/>
        </w:rPr>
        <w:t>现有 learned CE 还缺什么：工程问题清单</w:t>
      </w:r>
    </w:p>
    <w:p w14:paraId="4263C47B">
      <w:pPr>
        <w:rPr>
          <w:rFonts w:hint="eastAsia"/>
        </w:rPr>
      </w:pPr>
    </w:p>
    <w:p w14:paraId="3BC0EED9">
      <w:pPr>
        <w:rPr>
          <w:rFonts w:hint="eastAsia"/>
        </w:rPr>
      </w:pPr>
      <w:r>
        <w:rPr>
          <w:rFonts w:hint="eastAsia"/>
        </w:rPr>
        <w:t>建议图</w:t>
      </w:r>
    </w:p>
    <w:p w14:paraId="6142FF05">
      <w:pPr>
        <w:rPr>
          <w:rFonts w:hint="eastAsia"/>
        </w:rPr>
      </w:pPr>
      <w:r>
        <w:rPr>
          <w:rFonts w:hint="eastAsia"/>
        </w:rPr>
        <w:t>趋势–工程问题映射矩阵 XLSX，或精简表格。</w:t>
      </w:r>
    </w:p>
    <w:p w14:paraId="642F56FA">
      <w:pPr>
        <w:rPr>
          <w:rFonts w:hint="eastAsia"/>
        </w:rPr>
      </w:pPr>
    </w:p>
    <w:p w14:paraId="076696EF">
      <w:pPr>
        <w:rPr>
          <w:rFonts w:hint="eastAsia"/>
        </w:rPr>
      </w:pPr>
      <w:r>
        <w:rPr>
          <w:rFonts w:hint="eastAsia"/>
        </w:rPr>
        <w:t>要点</w:t>
      </w:r>
    </w:p>
    <w:p w14:paraId="79C07FF8">
      <w:pPr>
        <w:rPr>
          <w:rFonts w:hint="eastAsia"/>
        </w:rPr>
      </w:pPr>
    </w:p>
    <w:p w14:paraId="4A651297">
      <w:pPr>
        <w:rPr>
          <w:rFonts w:hint="eastAsia"/>
        </w:rPr>
      </w:pPr>
      <w:r>
        <w:rPr>
          <w:rFonts w:hint="eastAsia"/>
        </w:rPr>
        <w:t>训练数据成本：MSCN 需要大量真实基数标签。</w:t>
      </w:r>
    </w:p>
    <w:p w14:paraId="77097D35">
      <w:pPr>
        <w:rPr>
          <w:rFonts w:hint="eastAsia"/>
        </w:rPr>
      </w:pPr>
    </w:p>
    <w:p w14:paraId="6DE9373A">
      <w:pPr>
        <w:rPr>
          <w:rFonts w:hint="eastAsia"/>
        </w:rPr>
      </w:pPr>
      <w:r>
        <w:rPr>
          <w:rFonts w:hint="eastAsia"/>
        </w:rPr>
        <w:t>冷启动：强化学习优化器未经初始化直接上线风险大。</w:t>
      </w:r>
    </w:p>
    <w:p w14:paraId="575FC533">
      <w:pPr>
        <w:rPr>
          <w:rFonts w:hint="eastAsia"/>
        </w:rPr>
      </w:pPr>
    </w:p>
    <w:p w14:paraId="3A3BF262">
      <w:pPr>
        <w:rPr>
          <w:rFonts w:hint="eastAsia"/>
        </w:rPr>
      </w:pPr>
      <w:r>
        <w:rPr>
          <w:rFonts w:hint="eastAsia"/>
        </w:rPr>
        <w:t>Workload drift / 泛化：新模板、数据变化后模型可能失效。</w:t>
      </w:r>
    </w:p>
    <w:p w14:paraId="50E09966">
      <w:pPr>
        <w:rPr>
          <w:rFonts w:hint="eastAsia"/>
        </w:rPr>
      </w:pPr>
    </w:p>
    <w:p w14:paraId="096060BD">
      <w:pPr>
        <w:rPr>
          <w:rFonts w:hint="eastAsia"/>
        </w:rPr>
      </w:pPr>
      <w:r>
        <w:rPr>
          <w:rFonts w:hint="eastAsia"/>
        </w:rPr>
        <w:t>模型维护与更新：DeepDB 复杂 schema 构建、更新成本高；NeuroCard 多表空间大。</w:t>
      </w:r>
    </w:p>
    <w:p w14:paraId="6890B09F">
      <w:pPr>
        <w:rPr>
          <w:rFonts w:hint="eastAsia"/>
        </w:rPr>
      </w:pPr>
    </w:p>
    <w:p w14:paraId="6A735672">
      <w:pPr>
        <w:rPr>
          <w:rFonts w:hint="eastAsia"/>
        </w:rPr>
      </w:pPr>
      <w:r>
        <w:rPr>
          <w:rFonts w:hint="eastAsia"/>
        </w:rPr>
        <w:t>推理开销：高并发 OLTP 要求极低延迟，复杂模型可能成为瓶颈。</w:t>
      </w:r>
    </w:p>
    <w:p w14:paraId="195B3845">
      <w:pPr>
        <w:rPr>
          <w:rFonts w:hint="eastAsia"/>
        </w:rPr>
      </w:pPr>
    </w:p>
    <w:p w14:paraId="1793F3C1">
      <w:pPr>
        <w:rPr>
          <w:rFonts w:hint="eastAsia"/>
        </w:rPr>
      </w:pPr>
      <w:r>
        <w:rPr>
          <w:rFonts w:hint="eastAsia"/>
        </w:rPr>
        <w:t>可解释性：黑盒模型难被 DBA 信任。</w:t>
      </w:r>
    </w:p>
    <w:p w14:paraId="00F2779C">
      <w:pPr>
        <w:rPr>
          <w:rFonts w:hint="eastAsia"/>
        </w:rPr>
      </w:pPr>
    </w:p>
    <w:p w14:paraId="6874A16D">
      <w:pPr>
        <w:rPr>
          <w:rFonts w:hint="eastAsia"/>
        </w:rPr>
      </w:pPr>
      <w:r>
        <w:rPr>
          <w:rFonts w:hint="eastAsia"/>
        </w:rPr>
        <w:t>内核集成：模型输出如何与 Cost 结合？是否回退传统统计？</w:t>
      </w:r>
    </w:p>
    <w:p w14:paraId="217D338B">
      <w:pPr>
        <w:rPr>
          <w:rFonts w:hint="eastAsia"/>
        </w:rPr>
      </w:pPr>
    </w:p>
    <w:p w14:paraId="03B865E9">
      <w:pPr>
        <w:rPr>
          <w:rFonts w:hint="eastAsia"/>
        </w:rPr>
      </w:pPr>
      <w:r>
        <w:rPr>
          <w:rFonts w:hint="eastAsia"/>
        </w:rPr>
        <w:t>跨库迁移：PRICE 面临 schema 差异；ZeroCard 零样本稳定性待验证。</w:t>
      </w:r>
    </w:p>
    <w:p w14:paraId="4B167FB9">
      <w:pPr>
        <w:rPr>
          <w:rFonts w:hint="eastAsia"/>
        </w:rPr>
      </w:pPr>
    </w:p>
    <w:p w14:paraId="58BA95AB">
      <w:pPr>
        <w:rPr>
          <w:rFonts w:hint="eastAsia"/>
        </w:rPr>
      </w:pPr>
      <w:r>
        <w:rPr>
          <w:rFonts w:hint="eastAsia"/>
        </w:rPr>
        <w:t>本页结论</w:t>
      </w:r>
    </w:p>
    <w:p w14:paraId="5BC249B2">
      <w:pPr>
        <w:rPr>
          <w:rFonts w:hint="eastAsia"/>
        </w:rPr>
      </w:pPr>
      <w:r>
        <w:rPr>
          <w:rFonts w:hint="eastAsia"/>
        </w:rPr>
        <w:t>Q-error 改善不等于系统级收益；learned CE 的工程落地仍面临数据、冷启动、漂移、推理、解释与集成等多重问题。</w:t>
      </w:r>
    </w:p>
    <w:p w14:paraId="032E791E">
      <w:pPr>
        <w:rPr>
          <w:rFonts w:hint="eastAsia"/>
        </w:rPr>
      </w:pPr>
    </w:p>
    <w:p w14:paraId="2E9CBEBD">
      <w:pPr>
        <w:rPr>
          <w:rFonts w:hint="eastAsia"/>
        </w:rPr>
      </w:pPr>
      <w:r>
        <w:rPr>
          <w:rFonts w:hint="eastAsia"/>
        </w:rPr>
        <w:t>口播要点</w:t>
      </w:r>
    </w:p>
    <w:p w14:paraId="34034982">
      <w:pPr>
        <w:rPr>
          <w:rFonts w:hint="eastAsia"/>
        </w:rPr>
      </w:pPr>
      <w:r>
        <w:rPr>
          <w:rFonts w:hint="eastAsia"/>
        </w:rPr>
        <w:t>逐条点出工程问题，强调这些不是模型结构问题，而是部署与系统集成问题。</w:t>
      </w:r>
    </w:p>
    <w:p w14:paraId="727D15E1">
      <w:pPr>
        <w:rPr>
          <w:rFonts w:hint="eastAsia"/>
        </w:rPr>
      </w:pPr>
    </w:p>
    <w:p w14:paraId="33C9D4DD">
      <w:pPr>
        <w:rPr>
          <w:rFonts w:hint="eastAsia"/>
        </w:rPr>
      </w:pPr>
      <w:r>
        <w:rPr>
          <w:rFonts w:hint="eastAsia"/>
        </w:rPr>
        <w:t>页 3｜前沿趋势：从估得更准到更容易部署</w:t>
      </w:r>
    </w:p>
    <w:p w14:paraId="531779D2">
      <w:pPr>
        <w:rPr>
          <w:rFonts w:hint="eastAsia"/>
        </w:rPr>
      </w:pPr>
      <w:r>
        <w:rPr>
          <w:rFonts w:hint="eastAsia"/>
        </w:rPr>
        <w:t>结论式标题</w:t>
      </w:r>
    </w:p>
    <w:p w14:paraId="0F47A810">
      <w:pPr>
        <w:rPr>
          <w:rFonts w:hint="eastAsia"/>
        </w:rPr>
      </w:pPr>
      <w:r>
        <w:rPr>
          <w:rFonts w:hint="eastAsia"/>
        </w:rPr>
        <w:t>从“估得更准”到“更容易部署”：学习型 CE 的研究重心变化</w:t>
      </w:r>
    </w:p>
    <w:p w14:paraId="238E495E">
      <w:pPr>
        <w:rPr>
          <w:rFonts w:hint="eastAsia"/>
        </w:rPr>
      </w:pPr>
    </w:p>
    <w:p w14:paraId="40A10179">
      <w:pPr>
        <w:rPr>
          <w:rFonts w:hint="eastAsia"/>
        </w:rPr>
      </w:pPr>
      <w:r>
        <w:rPr>
          <w:rFonts w:hint="eastAsia"/>
        </w:rPr>
        <w:t>建议图</w:t>
      </w:r>
    </w:p>
    <w:p w14:paraId="394CC10B">
      <w:pPr>
        <w:rPr>
          <w:rFonts w:hint="eastAsia"/>
        </w:rPr>
      </w:pPr>
      <w:r>
        <w:rPr>
          <w:rFonts w:hint="eastAsia"/>
        </w:rPr>
        <w:t>趋势时间线图（Learned_CE_Evolution_Timeline.png）。</w:t>
      </w:r>
    </w:p>
    <w:p w14:paraId="208535F1">
      <w:pPr>
        <w:rPr>
          <w:rFonts w:hint="eastAsia"/>
        </w:rPr>
      </w:pPr>
    </w:p>
    <w:p w14:paraId="32F910DA">
      <w:pPr>
        <w:rPr>
          <w:rFonts w:hint="eastAsia"/>
        </w:rPr>
      </w:pPr>
      <w:r>
        <w:rPr>
          <w:rFonts w:hint="eastAsia"/>
        </w:rPr>
        <w:t>要点</w:t>
      </w:r>
    </w:p>
    <w:p w14:paraId="46DCF94F">
      <w:pPr>
        <w:rPr>
          <w:rFonts w:hint="eastAsia"/>
        </w:rPr>
      </w:pPr>
    </w:p>
    <w:p w14:paraId="70A5F2BC">
      <w:pPr>
        <w:rPr>
          <w:rFonts w:hint="eastAsia"/>
        </w:rPr>
      </w:pPr>
      <w:r>
        <w:rPr>
          <w:rFonts w:hint="eastAsia"/>
        </w:rPr>
        <w:t>MSCN（2019）：历史查询 → 学习查询与基数映射；需大量真实查询标签。</w:t>
      </w:r>
    </w:p>
    <w:p w14:paraId="74A281BE">
      <w:pPr>
        <w:rPr>
          <w:rFonts w:hint="eastAsia"/>
        </w:rPr>
      </w:pPr>
    </w:p>
    <w:p w14:paraId="2BC3E0F0">
      <w:pPr>
        <w:rPr>
          <w:rFonts w:hint="eastAsia"/>
        </w:rPr>
      </w:pPr>
      <w:r>
        <w:rPr>
          <w:rFonts w:hint="eastAsia"/>
        </w:rPr>
        <w:t>DeepDB（2020）/ NeuroCard（2020–2021）：从数据分布出发，学习联合分布 / 多表关系。</w:t>
      </w:r>
    </w:p>
    <w:p w14:paraId="4694EDA5">
      <w:pPr>
        <w:rPr>
          <w:rFonts w:hint="eastAsia"/>
        </w:rPr>
      </w:pPr>
    </w:p>
    <w:p w14:paraId="2A7624B3">
      <w:pPr>
        <w:rPr>
          <w:rFonts w:hint="eastAsia"/>
        </w:rPr>
      </w:pPr>
      <w:r>
        <w:rPr>
          <w:rFonts w:hint="eastAsia"/>
        </w:rPr>
        <w:t>FactorJoin / ALECE（2023–2024）：更关注效率、动态 workload 与工程可部署性。</w:t>
      </w:r>
    </w:p>
    <w:p w14:paraId="4F887FA9">
      <w:pPr>
        <w:rPr>
          <w:rFonts w:hint="eastAsia"/>
        </w:rPr>
      </w:pPr>
    </w:p>
    <w:p w14:paraId="3271690E">
      <w:pPr>
        <w:rPr>
          <w:rFonts w:hint="eastAsia"/>
        </w:rPr>
      </w:pPr>
      <w:r>
        <w:rPr>
          <w:rFonts w:hint="eastAsia"/>
        </w:rPr>
        <w:t>PRICE（2024）：跨数据库预训练，新库直接使用或少量微调。</w:t>
      </w:r>
    </w:p>
    <w:p w14:paraId="7EE31222">
      <w:pPr>
        <w:rPr>
          <w:rFonts w:hint="eastAsia"/>
        </w:rPr>
      </w:pPr>
    </w:p>
    <w:p w14:paraId="522C4B28">
      <w:pPr>
        <w:rPr>
          <w:rFonts w:hint="eastAsia"/>
        </w:rPr>
      </w:pPr>
      <w:r>
        <w:rPr>
          <w:rFonts w:hint="eastAsia"/>
        </w:rPr>
        <w:t>ZeroCard（2025 预印本）：追求目标库“无原始数据、无查询日志、无重训练”。</w:t>
      </w:r>
    </w:p>
    <w:p w14:paraId="4D12F0E4">
      <w:pPr>
        <w:rPr>
          <w:rFonts w:hint="eastAsia"/>
        </w:rPr>
      </w:pPr>
    </w:p>
    <w:p w14:paraId="4CFABE85">
      <w:pPr>
        <w:rPr>
          <w:rFonts w:hint="eastAsia"/>
        </w:rPr>
      </w:pPr>
      <w:r>
        <w:rPr>
          <w:rFonts w:hint="eastAsia"/>
        </w:rPr>
        <w:t>本页结论</w:t>
      </w:r>
    </w:p>
    <w:p w14:paraId="7CCD576F">
      <w:pPr>
        <w:rPr>
          <w:rFonts w:hint="eastAsia"/>
        </w:rPr>
      </w:pPr>
      <w:r>
        <w:rPr>
          <w:rFonts w:hint="eastAsia"/>
        </w:rPr>
        <w:t>Learned CE 的发展方向正在从“为一个数据库训练一个更准的模型”，逐步转向“能否低成本迁移到新数据库并稳定接入优化器”。</w:t>
      </w:r>
    </w:p>
    <w:p w14:paraId="61439B94">
      <w:pPr>
        <w:rPr>
          <w:rFonts w:hint="eastAsia"/>
        </w:rPr>
      </w:pPr>
    </w:p>
    <w:p w14:paraId="2845166A">
      <w:pPr>
        <w:rPr>
          <w:rFonts w:hint="eastAsia"/>
        </w:rPr>
      </w:pPr>
      <w:r>
        <w:rPr>
          <w:rFonts w:hint="eastAsia"/>
        </w:rPr>
        <w:t>口播要点</w:t>
      </w:r>
    </w:p>
    <w:p w14:paraId="7DEC5C88">
      <w:pPr>
        <w:rPr>
          <w:rFonts w:hint="eastAsia"/>
        </w:rPr>
      </w:pPr>
      <w:r>
        <w:rPr>
          <w:rFonts w:hint="eastAsia"/>
        </w:rPr>
        <w:t>按时间线讲演进，重点落在 PRICE 的跨库迁移与 ZeroCard 的零依赖；呼应本组 S20 跨表相关与 T11 动态数据问题。</w:t>
      </w:r>
    </w:p>
    <w:p w14:paraId="22D9454D">
      <w:pPr>
        <w:rPr>
          <w:rFonts w:hint="eastAsia"/>
        </w:rPr>
      </w:pPr>
    </w:p>
    <w:p w14:paraId="2FA71A60">
      <w:pPr>
        <w:rPr>
          <w:rFonts w:hint="eastAsia"/>
        </w:rPr>
      </w:pPr>
      <w:r>
        <w:rPr>
          <w:rFonts w:hint="eastAsia"/>
        </w:rPr>
        <w:t>页 4｜结论与评价边界</w:t>
      </w:r>
    </w:p>
    <w:p w14:paraId="23DD055C">
      <w:pPr>
        <w:rPr>
          <w:rFonts w:hint="eastAsia"/>
        </w:rPr>
      </w:pPr>
      <w:r>
        <w:rPr>
          <w:rFonts w:hint="eastAsia"/>
        </w:rPr>
        <w:t>结论式标题</w:t>
      </w:r>
    </w:p>
    <w:p w14:paraId="466004FC">
      <w:pPr>
        <w:rPr>
          <w:rFonts w:hint="eastAsia"/>
        </w:rPr>
      </w:pPr>
      <w:r>
        <w:rPr>
          <w:rFonts w:hint="eastAsia"/>
        </w:rPr>
        <w:t>结论：AI 补充传统统计边界，但 Q-error 不等于性能收益</w:t>
      </w:r>
    </w:p>
    <w:p w14:paraId="4178D0C6">
      <w:pPr>
        <w:rPr>
          <w:rFonts w:hint="eastAsia"/>
        </w:rPr>
      </w:pPr>
    </w:p>
    <w:p w14:paraId="54D08A35">
      <w:pPr>
        <w:rPr>
          <w:rFonts w:hint="eastAsia"/>
        </w:rPr>
      </w:pPr>
      <w:r>
        <w:rPr>
          <w:rFonts w:hint="eastAsia"/>
        </w:rPr>
        <w:t>建议图</w:t>
      </w:r>
    </w:p>
    <w:p w14:paraId="58BD3D5C">
      <w:pPr>
        <w:rPr>
          <w:rFonts w:hint="eastAsia"/>
        </w:rPr>
      </w:pPr>
      <w:r>
        <w:rPr>
          <w:rFonts w:hint="eastAsia"/>
        </w:rPr>
        <w:t>D03（影响链路图）+ 结论页文字。</w:t>
      </w:r>
    </w:p>
    <w:p w14:paraId="1E0F583F">
      <w:pPr>
        <w:rPr>
          <w:rFonts w:hint="eastAsia"/>
        </w:rPr>
      </w:pPr>
    </w:p>
    <w:p w14:paraId="55D3535C">
      <w:pPr>
        <w:rPr>
          <w:rFonts w:hint="eastAsia"/>
        </w:rPr>
      </w:pPr>
      <w:r>
        <w:rPr>
          <w:rFonts w:hint="eastAsia"/>
        </w:rPr>
        <w:t>要点</w:t>
      </w:r>
    </w:p>
    <w:p w14:paraId="5F1EE23D">
      <w:pPr>
        <w:rPr>
          <w:rFonts w:hint="eastAsia"/>
        </w:rPr>
      </w:pPr>
    </w:p>
    <w:p w14:paraId="4BC38E8B">
      <w:pPr>
        <w:rPr>
          <w:rFonts w:hint="eastAsia"/>
        </w:rPr>
      </w:pPr>
      <w:r>
        <w:rPr>
          <w:rFonts w:hint="eastAsia"/>
        </w:rPr>
        <w:t>传统 CBO 仍稳健：单表组 Q-error 中位数 1.003，两表组 1.010，多表组 1.066。</w:t>
      </w:r>
    </w:p>
    <w:p w14:paraId="52E8D052">
      <w:pPr>
        <w:rPr>
          <w:rFonts w:hint="eastAsia"/>
        </w:rPr>
      </w:pPr>
    </w:p>
    <w:p w14:paraId="04B3C9D1">
      <w:pPr>
        <w:rPr>
          <w:rFonts w:hint="eastAsia"/>
        </w:rPr>
      </w:pPr>
      <w:r>
        <w:rPr>
          <w:rFonts w:hint="eastAsia"/>
        </w:rPr>
        <w:t>同表相关可被扩展统计修正；跨表相关、Join 后相关性、n_distinct 采样误差仍是难点。</w:t>
      </w:r>
    </w:p>
    <w:p w14:paraId="55368DF2">
      <w:pPr>
        <w:rPr>
          <w:rFonts w:hint="eastAsia"/>
        </w:rPr>
      </w:pPr>
    </w:p>
    <w:p w14:paraId="69FAA123">
      <w:pPr>
        <w:rPr>
          <w:rFonts w:hint="eastAsia"/>
        </w:rPr>
      </w:pPr>
      <w:r>
        <w:rPr>
          <w:rFonts w:hint="eastAsia"/>
        </w:rPr>
        <w:t>学习型方法分别从联合分布学习（DeepDB/NeuroCard）、查询驱动估计（MSCN）、可迁移部署（PRICE）、安全干预（Bao）等角度回应。</w:t>
      </w:r>
    </w:p>
    <w:p w14:paraId="3F5BB0C7">
      <w:pPr>
        <w:rPr>
          <w:rFonts w:hint="eastAsia"/>
        </w:rPr>
      </w:pPr>
    </w:p>
    <w:p w14:paraId="59233039">
      <w:pPr>
        <w:rPr>
          <w:rFonts w:hint="eastAsia"/>
        </w:rPr>
      </w:pPr>
      <w:r>
        <w:rPr>
          <w:rFonts w:hint="eastAsia"/>
        </w:rPr>
        <w:t>本组未训练/评测 AI 模型；Q-error 变小不自动等于计划切换或查询加速。</w:t>
      </w:r>
    </w:p>
    <w:p w14:paraId="73BE4149">
      <w:pPr>
        <w:rPr>
          <w:rFonts w:hint="eastAsia"/>
        </w:rPr>
      </w:pPr>
    </w:p>
    <w:p w14:paraId="2E133D32">
      <w:pPr>
        <w:rPr>
          <w:rFonts w:hint="eastAsia"/>
        </w:rPr>
      </w:pPr>
      <w:r>
        <w:rPr>
          <w:rFonts w:hint="eastAsia"/>
        </w:rPr>
        <w:t>评价需结合计划质量、端到端延迟、泛化能力、部署成本。</w:t>
      </w:r>
    </w:p>
    <w:p w14:paraId="6916780F">
      <w:pPr>
        <w:rPr>
          <w:rFonts w:hint="eastAsia"/>
        </w:rPr>
      </w:pPr>
    </w:p>
    <w:p w14:paraId="34A5F79A">
      <w:pPr>
        <w:rPr>
          <w:rFonts w:hint="eastAsia"/>
        </w:rPr>
      </w:pPr>
      <w:r>
        <w:rPr>
          <w:rFonts w:hint="eastAsia"/>
        </w:rPr>
        <w:t>误差危害 ≈ 误差大小 × 误差位置 × 下游决策自由度。</w:t>
      </w:r>
    </w:p>
    <w:p w14:paraId="445F5531">
      <w:pPr>
        <w:rPr>
          <w:rFonts w:hint="eastAsia"/>
        </w:rPr>
      </w:pPr>
    </w:p>
    <w:p w14:paraId="362F4218">
      <w:pPr>
        <w:rPr>
          <w:rFonts w:hint="eastAsia"/>
        </w:rPr>
      </w:pPr>
      <w:r>
        <w:rPr>
          <w:rFonts w:hint="eastAsia"/>
        </w:rPr>
        <w:t>本页结论</w:t>
      </w:r>
    </w:p>
    <w:p w14:paraId="5A2C5168">
      <w:pPr>
        <w:rPr>
          <w:rFonts w:hint="eastAsia"/>
        </w:rPr>
      </w:pPr>
      <w:r>
        <w:rPr>
          <w:rFonts w:hint="eastAsia"/>
        </w:rPr>
        <w:t>本次未评测 AI 模型，结论用于解释研究动机与问题空间，而非宣称 AI 已优于 PostgreSQL。</w:t>
      </w:r>
    </w:p>
    <w:p w14:paraId="0FF19C83">
      <w:pPr>
        <w:rPr>
          <w:rFonts w:hint="eastAsia"/>
        </w:rPr>
      </w:pPr>
    </w:p>
    <w:p w14:paraId="17CB180C">
      <w:pPr>
        <w:rPr>
          <w:rFonts w:hint="eastAsia"/>
        </w:rPr>
      </w:pPr>
      <w:r>
        <w:rPr>
          <w:rFonts w:hint="eastAsia"/>
        </w:rPr>
        <w:t>口播要点</w:t>
      </w:r>
    </w:p>
    <w:p w14:paraId="075B3316">
      <w:pPr>
        <w:rPr>
          <w:rFonts w:hint="eastAsia"/>
        </w:rPr>
      </w:pPr>
      <w:r>
        <w:rPr>
          <w:rFonts w:hint="eastAsia"/>
        </w:rPr>
        <w:t>强调评价边界：Q-error ≠ 计划切换 ≠ 加速；AI 方法需要聚焦跨表、复杂查询和真实负载才能证明价值。</w:t>
      </w:r>
    </w:p>
    <w:p w14:paraId="35E0AB3B">
      <w:pPr>
        <w:rPr>
          <w:rFonts w:hint="eastAsia"/>
          <w:sz w:val="30"/>
          <w:szCs w:val="30"/>
        </w:rPr>
      </w:pPr>
    </w:p>
    <w:p w14:paraId="20F43905">
      <w:pPr>
        <w:rPr>
          <w:rFonts w:hint="eastAsia"/>
          <w:sz w:val="30"/>
          <w:szCs w:val="30"/>
        </w:rPr>
      </w:pPr>
      <w:r>
        <w:rPr>
          <w:rFonts w:hint="eastAsia"/>
          <w:sz w:val="30"/>
          <w:szCs w:val="30"/>
        </w:rPr>
        <w:t>三、图表清单与放置位置</w:t>
      </w:r>
    </w:p>
    <w:tbl>
      <w:tblPr>
        <w:tblW w:w="816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3181"/>
        <w:gridCol w:w="3332"/>
        <w:gridCol w:w="1656"/>
      </w:tblGrid>
      <w:tr w14:paraId="7AF8FC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3181" w:type="dxa"/>
            <w:tcBorders>
              <w:top w:val="single" w:color="auto" w:sz="4" w:space="0"/>
              <w:left w:val="single" w:color="auto" w:sz="4" w:space="0"/>
              <w:bottom w:val="single" w:color="auto" w:sz="4" w:space="0"/>
              <w:right w:val="single" w:color="auto" w:sz="4" w:space="0"/>
            </w:tcBorders>
            <w:shd w:val="clear" w:color="auto" w:fill="FFFFFF"/>
            <w:tcMar>
              <w:top w:w="75" w:type="dxa"/>
              <w:left w:w="0" w:type="dxa"/>
              <w:bottom w:w="75" w:type="dxa"/>
              <w:right w:w="120" w:type="dxa"/>
            </w:tcMar>
            <w:vAlign w:val="center"/>
          </w:tcPr>
          <w:p w14:paraId="3FE3DA03">
            <w:pPr>
              <w:keepNext w:val="0"/>
              <w:keepLines w:val="0"/>
              <w:widowControl/>
              <w:suppressLineNumbers w:val="0"/>
              <w:spacing w:line="188" w:lineRule="atLeast"/>
              <w:jc w:val="left"/>
              <w:rPr>
                <w:rFonts w:ascii="Segoe UI" w:hAnsi="Segoe UI" w:eastAsia="Segoe UI" w:cs="Segoe UI"/>
                <w:b/>
                <w:bCs/>
                <w:i w:val="0"/>
                <w:iCs w:val="0"/>
                <w:caps w:val="0"/>
                <w:color w:val="0F1115"/>
                <w:spacing w:val="0"/>
                <w:sz w:val="18"/>
                <w:szCs w:val="18"/>
              </w:rPr>
            </w:pPr>
            <w:r>
              <w:rPr>
                <w:rFonts w:hint="default" w:ascii="Segoe UI" w:hAnsi="Segoe UI" w:eastAsia="Segoe UI" w:cs="Segoe UI"/>
                <w:b/>
                <w:bCs/>
                <w:i w:val="0"/>
                <w:iCs w:val="0"/>
                <w:caps w:val="0"/>
                <w:color w:val="0F1115"/>
                <w:spacing w:val="0"/>
                <w:kern w:val="0"/>
                <w:sz w:val="18"/>
                <w:szCs w:val="18"/>
                <w:bdr w:val="none" w:color="auto" w:sz="0" w:space="0"/>
                <w:lang w:val="en-US" w:eastAsia="zh-CN" w:bidi="ar"/>
              </w:rPr>
              <w:t>图表</w:t>
            </w:r>
          </w:p>
        </w:tc>
        <w:tc>
          <w:tcPr>
            <w:tcW w:w="3332" w:type="dxa"/>
            <w:tcBorders>
              <w:top w:val="single" w:color="auto" w:sz="4" w:space="0"/>
              <w:left w:val="single" w:color="auto" w:sz="4" w:space="0"/>
              <w:bottom w:val="single" w:color="auto" w:sz="4" w:space="0"/>
              <w:right w:val="single" w:color="auto" w:sz="4" w:space="0"/>
            </w:tcBorders>
            <w:shd w:val="clear" w:color="auto" w:fill="FFFFFF"/>
            <w:tcMar>
              <w:top w:w="75" w:type="dxa"/>
              <w:left w:w="120" w:type="dxa"/>
              <w:bottom w:w="75" w:type="dxa"/>
              <w:right w:w="120" w:type="dxa"/>
            </w:tcMar>
            <w:vAlign w:val="center"/>
          </w:tcPr>
          <w:p w14:paraId="270A9C1F">
            <w:pPr>
              <w:keepNext w:val="0"/>
              <w:keepLines w:val="0"/>
              <w:widowControl/>
              <w:suppressLineNumbers w:val="0"/>
              <w:spacing w:line="188" w:lineRule="atLeast"/>
              <w:jc w:val="left"/>
              <w:rPr>
                <w:rFonts w:hint="default" w:ascii="Segoe UI" w:hAnsi="Segoe UI" w:eastAsia="Segoe UI" w:cs="Segoe UI"/>
                <w:b/>
                <w:bCs/>
                <w:i w:val="0"/>
                <w:iCs w:val="0"/>
                <w:caps w:val="0"/>
                <w:color w:val="0F1115"/>
                <w:spacing w:val="0"/>
                <w:sz w:val="18"/>
                <w:szCs w:val="18"/>
              </w:rPr>
            </w:pPr>
            <w:r>
              <w:rPr>
                <w:rFonts w:hint="default" w:ascii="Segoe UI" w:hAnsi="Segoe UI" w:eastAsia="Segoe UI" w:cs="Segoe UI"/>
                <w:b/>
                <w:bCs/>
                <w:i w:val="0"/>
                <w:iCs w:val="0"/>
                <w:caps w:val="0"/>
                <w:color w:val="0F1115"/>
                <w:spacing w:val="0"/>
                <w:kern w:val="0"/>
                <w:sz w:val="18"/>
                <w:szCs w:val="18"/>
                <w:bdr w:val="none" w:color="auto" w:sz="0" w:space="0"/>
                <w:lang w:val="en-US" w:eastAsia="zh-CN" w:bidi="ar"/>
              </w:rPr>
              <w:t>文件名建议</w:t>
            </w:r>
          </w:p>
        </w:tc>
        <w:tc>
          <w:tcPr>
            <w:tcW w:w="1656" w:type="dxa"/>
            <w:tcBorders>
              <w:top w:val="single" w:color="auto" w:sz="4" w:space="0"/>
              <w:left w:val="single" w:color="auto" w:sz="4" w:space="0"/>
              <w:bottom w:val="single" w:color="auto" w:sz="4" w:space="0"/>
              <w:right w:val="single" w:color="auto" w:sz="4" w:space="0"/>
            </w:tcBorders>
            <w:shd w:val="clear" w:color="auto" w:fill="FFFFFF"/>
            <w:tcMar>
              <w:top w:w="75" w:type="dxa"/>
              <w:left w:w="120" w:type="dxa"/>
              <w:bottom w:w="75" w:type="dxa"/>
              <w:right w:w="120" w:type="dxa"/>
            </w:tcMar>
            <w:vAlign w:val="center"/>
          </w:tcPr>
          <w:p w14:paraId="1439E238">
            <w:pPr>
              <w:keepNext w:val="0"/>
              <w:keepLines w:val="0"/>
              <w:widowControl/>
              <w:suppressLineNumbers w:val="0"/>
              <w:spacing w:line="188" w:lineRule="atLeast"/>
              <w:jc w:val="left"/>
              <w:rPr>
                <w:rFonts w:hint="default" w:ascii="Segoe UI" w:hAnsi="Segoe UI" w:eastAsia="Segoe UI" w:cs="Segoe UI"/>
                <w:b/>
                <w:bCs/>
                <w:i w:val="0"/>
                <w:iCs w:val="0"/>
                <w:caps w:val="0"/>
                <w:color w:val="0F1115"/>
                <w:spacing w:val="0"/>
                <w:sz w:val="18"/>
                <w:szCs w:val="18"/>
              </w:rPr>
            </w:pPr>
            <w:r>
              <w:rPr>
                <w:rFonts w:hint="default" w:ascii="Segoe UI" w:hAnsi="Segoe UI" w:eastAsia="Segoe UI" w:cs="Segoe UI"/>
                <w:b/>
                <w:bCs/>
                <w:i w:val="0"/>
                <w:iCs w:val="0"/>
                <w:caps w:val="0"/>
                <w:color w:val="0F1115"/>
                <w:spacing w:val="0"/>
                <w:kern w:val="0"/>
                <w:sz w:val="18"/>
                <w:szCs w:val="18"/>
                <w:bdr w:val="none" w:color="auto" w:sz="0" w:space="0"/>
                <w:lang w:val="en-US" w:eastAsia="zh-CN" w:bidi="ar"/>
              </w:rPr>
              <w:t>放哪页</w:t>
            </w:r>
          </w:p>
        </w:tc>
      </w:tr>
      <w:tr w14:paraId="2728A9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3181" w:type="dxa"/>
            <w:tcBorders>
              <w:top w:val="single" w:color="auto" w:sz="4" w:space="0"/>
              <w:left w:val="single" w:color="auto" w:sz="4" w:space="0"/>
              <w:bottom w:val="single" w:color="auto" w:sz="4" w:space="0"/>
              <w:right w:val="single" w:color="auto" w:sz="4" w:space="0"/>
            </w:tcBorders>
            <w:shd w:val="clear" w:color="auto" w:fill="FFFFFF"/>
            <w:tcMar>
              <w:top w:w="75" w:type="dxa"/>
              <w:left w:w="0" w:type="dxa"/>
              <w:bottom w:w="75" w:type="dxa"/>
              <w:right w:w="120" w:type="dxa"/>
            </w:tcMar>
            <w:vAlign w:val="center"/>
          </w:tcPr>
          <w:p w14:paraId="58DCD31F">
            <w:pPr>
              <w:keepNext w:val="0"/>
              <w:keepLines w:val="0"/>
              <w:widowControl/>
              <w:suppressLineNumbers w:val="0"/>
              <w:spacing w:line="188" w:lineRule="atLeast"/>
              <w:jc w:val="left"/>
              <w:rPr>
                <w:rFonts w:hint="default" w:ascii="Segoe UI" w:hAnsi="Segoe UI" w:eastAsia="Segoe UI" w:cs="Segoe UI"/>
                <w:b/>
                <w:bCs/>
                <w:i w:val="0"/>
                <w:iCs w:val="0"/>
                <w:caps w:val="0"/>
                <w:color w:val="0F1115"/>
                <w:spacing w:val="0"/>
                <w:sz w:val="18"/>
                <w:szCs w:val="18"/>
              </w:rPr>
            </w:pPr>
            <w:r>
              <w:rPr>
                <w:rFonts w:hint="default" w:ascii="Segoe UI" w:hAnsi="Segoe UI" w:eastAsia="Segoe UI" w:cs="Segoe UI"/>
                <w:b/>
                <w:bCs/>
                <w:i w:val="0"/>
                <w:iCs w:val="0"/>
                <w:caps w:val="0"/>
                <w:color w:val="0F1115"/>
                <w:spacing w:val="0"/>
                <w:kern w:val="0"/>
                <w:sz w:val="18"/>
                <w:szCs w:val="18"/>
                <w:bdr w:val="none" w:color="auto" w:sz="0" w:space="0"/>
                <w:lang w:val="en-US" w:eastAsia="zh-CN" w:bidi="ar"/>
              </w:rPr>
              <w:t>C03 扩展统计对照</w:t>
            </w:r>
          </w:p>
        </w:tc>
        <w:tc>
          <w:tcPr>
            <w:tcW w:w="3332" w:type="dxa"/>
            <w:tcBorders>
              <w:top w:val="single" w:color="auto" w:sz="4" w:space="0"/>
              <w:left w:val="single" w:color="auto" w:sz="4" w:space="0"/>
              <w:bottom w:val="single" w:color="auto" w:sz="4" w:space="0"/>
              <w:right w:val="single" w:color="auto" w:sz="4" w:space="0"/>
            </w:tcBorders>
            <w:shd w:val="clear" w:color="auto" w:fill="FFFFFF"/>
            <w:tcMar>
              <w:top w:w="75" w:type="dxa"/>
              <w:left w:w="120" w:type="dxa"/>
              <w:bottom w:w="75" w:type="dxa"/>
              <w:right w:w="120" w:type="dxa"/>
            </w:tcMar>
            <w:vAlign w:val="center"/>
          </w:tcPr>
          <w:p w14:paraId="4D4AC9F1">
            <w:pPr>
              <w:keepNext w:val="0"/>
              <w:keepLines w:val="0"/>
              <w:widowControl/>
              <w:suppressLineNumbers w:val="0"/>
              <w:spacing w:line="188" w:lineRule="atLeast"/>
              <w:jc w:val="left"/>
              <w:rPr>
                <w:rFonts w:hint="default" w:ascii="Segoe UI" w:hAnsi="Segoe UI" w:eastAsia="Segoe UI" w:cs="Segoe UI"/>
                <w:b/>
                <w:bCs/>
                <w:i w:val="0"/>
                <w:iCs w:val="0"/>
                <w:caps w:val="0"/>
                <w:color w:val="0F1115"/>
                <w:spacing w:val="0"/>
                <w:sz w:val="18"/>
                <w:szCs w:val="18"/>
              </w:rPr>
            </w:pPr>
            <w:r>
              <w:rPr>
                <w:rFonts w:hint="default" w:ascii="Segoe UI" w:hAnsi="Segoe UI" w:eastAsia="Segoe UI" w:cs="Segoe UI"/>
                <w:b/>
                <w:bCs/>
                <w:i w:val="0"/>
                <w:iCs w:val="0"/>
                <w:caps w:val="0"/>
                <w:color w:val="0F1115"/>
                <w:spacing w:val="0"/>
                <w:kern w:val="0"/>
                <w:sz w:val="18"/>
                <w:szCs w:val="18"/>
                <w:bdr w:val="none" w:color="auto" w:sz="0" w:space="0"/>
                <w:lang w:val="en-US" w:eastAsia="zh-CN" w:bidi="ar"/>
              </w:rPr>
              <w:t>已有 PNG</w:t>
            </w:r>
          </w:p>
        </w:tc>
        <w:tc>
          <w:tcPr>
            <w:tcW w:w="1656" w:type="dxa"/>
            <w:tcBorders>
              <w:top w:val="single" w:color="auto" w:sz="4" w:space="0"/>
              <w:left w:val="single" w:color="auto" w:sz="4" w:space="0"/>
              <w:bottom w:val="single" w:color="auto" w:sz="4" w:space="0"/>
              <w:right w:val="single" w:color="auto" w:sz="4" w:space="0"/>
            </w:tcBorders>
            <w:shd w:val="clear" w:color="auto" w:fill="FFFFFF"/>
            <w:tcMar>
              <w:top w:w="75" w:type="dxa"/>
              <w:left w:w="120" w:type="dxa"/>
              <w:bottom w:w="75" w:type="dxa"/>
              <w:right w:w="0" w:type="dxa"/>
            </w:tcMar>
            <w:vAlign w:val="center"/>
          </w:tcPr>
          <w:p w14:paraId="2BD09862">
            <w:pPr>
              <w:keepNext w:val="0"/>
              <w:keepLines w:val="0"/>
              <w:widowControl/>
              <w:suppressLineNumbers w:val="0"/>
              <w:spacing w:line="188" w:lineRule="atLeast"/>
              <w:jc w:val="left"/>
              <w:rPr>
                <w:rFonts w:hint="default" w:ascii="Segoe UI" w:hAnsi="Segoe UI" w:eastAsia="Segoe UI" w:cs="Segoe UI"/>
                <w:b/>
                <w:bCs/>
                <w:i w:val="0"/>
                <w:iCs w:val="0"/>
                <w:caps w:val="0"/>
                <w:color w:val="0F1115"/>
                <w:spacing w:val="0"/>
                <w:sz w:val="18"/>
                <w:szCs w:val="18"/>
              </w:rPr>
            </w:pPr>
            <w:r>
              <w:rPr>
                <w:rFonts w:hint="default" w:ascii="Segoe UI" w:hAnsi="Segoe UI" w:eastAsia="Segoe UI" w:cs="Segoe UI"/>
                <w:b/>
                <w:bCs/>
                <w:i w:val="0"/>
                <w:iCs w:val="0"/>
                <w:caps w:val="0"/>
                <w:color w:val="0F1115"/>
                <w:spacing w:val="0"/>
                <w:kern w:val="0"/>
                <w:sz w:val="18"/>
                <w:szCs w:val="18"/>
                <w:bdr w:val="none" w:color="auto" w:sz="0" w:space="0"/>
                <w:lang w:val="en-US" w:eastAsia="zh-CN" w:bidi="ar"/>
              </w:rPr>
              <w:t>页 1</w:t>
            </w:r>
          </w:p>
        </w:tc>
      </w:tr>
      <w:tr w14:paraId="79FE55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3181" w:type="dxa"/>
            <w:tcBorders>
              <w:top w:val="single" w:color="auto" w:sz="4" w:space="0"/>
              <w:left w:val="single" w:color="auto" w:sz="4" w:space="0"/>
              <w:bottom w:val="single" w:color="auto" w:sz="4" w:space="0"/>
              <w:right w:val="single" w:color="auto" w:sz="4" w:space="0"/>
            </w:tcBorders>
            <w:shd w:val="clear" w:color="auto" w:fill="FFFFFF"/>
            <w:tcMar>
              <w:top w:w="75" w:type="dxa"/>
              <w:left w:w="0" w:type="dxa"/>
              <w:bottom w:w="75" w:type="dxa"/>
              <w:right w:w="120" w:type="dxa"/>
            </w:tcMar>
            <w:vAlign w:val="center"/>
          </w:tcPr>
          <w:p w14:paraId="7BE463CA">
            <w:pPr>
              <w:keepNext w:val="0"/>
              <w:keepLines w:val="0"/>
              <w:widowControl/>
              <w:suppressLineNumbers w:val="0"/>
              <w:spacing w:line="188" w:lineRule="atLeast"/>
              <w:jc w:val="left"/>
              <w:rPr>
                <w:rFonts w:hint="default" w:ascii="Segoe UI" w:hAnsi="Segoe UI" w:eastAsia="Segoe UI" w:cs="Segoe UI"/>
                <w:b/>
                <w:bCs/>
                <w:i w:val="0"/>
                <w:iCs w:val="0"/>
                <w:caps w:val="0"/>
                <w:color w:val="0F1115"/>
                <w:spacing w:val="0"/>
                <w:sz w:val="18"/>
                <w:szCs w:val="18"/>
              </w:rPr>
            </w:pPr>
            <w:r>
              <w:rPr>
                <w:rFonts w:hint="default" w:ascii="Segoe UI" w:hAnsi="Segoe UI" w:eastAsia="Segoe UI" w:cs="Segoe UI"/>
                <w:b/>
                <w:bCs/>
                <w:i w:val="0"/>
                <w:iCs w:val="0"/>
                <w:caps w:val="0"/>
                <w:color w:val="0F1115"/>
                <w:spacing w:val="0"/>
                <w:kern w:val="0"/>
                <w:sz w:val="18"/>
                <w:szCs w:val="18"/>
                <w:bdr w:val="none" w:color="auto" w:sz="0" w:space="0"/>
                <w:lang w:val="en-US" w:eastAsia="zh-CN" w:bidi="ar"/>
              </w:rPr>
              <w:t>D02 S20 计划树</w:t>
            </w:r>
          </w:p>
        </w:tc>
        <w:tc>
          <w:tcPr>
            <w:tcW w:w="3332" w:type="dxa"/>
            <w:tcBorders>
              <w:top w:val="single" w:color="auto" w:sz="4" w:space="0"/>
              <w:left w:val="single" w:color="auto" w:sz="4" w:space="0"/>
              <w:bottom w:val="single" w:color="auto" w:sz="4" w:space="0"/>
              <w:right w:val="single" w:color="auto" w:sz="4" w:space="0"/>
            </w:tcBorders>
            <w:shd w:val="clear" w:color="auto" w:fill="FFFFFF"/>
            <w:tcMar>
              <w:top w:w="75" w:type="dxa"/>
              <w:left w:w="120" w:type="dxa"/>
              <w:bottom w:w="75" w:type="dxa"/>
              <w:right w:w="120" w:type="dxa"/>
            </w:tcMar>
            <w:vAlign w:val="center"/>
          </w:tcPr>
          <w:p w14:paraId="329DDA3E">
            <w:pPr>
              <w:keepNext w:val="0"/>
              <w:keepLines w:val="0"/>
              <w:widowControl/>
              <w:suppressLineNumbers w:val="0"/>
              <w:spacing w:line="188" w:lineRule="atLeast"/>
              <w:jc w:val="left"/>
              <w:rPr>
                <w:rFonts w:hint="default" w:ascii="Segoe UI" w:hAnsi="Segoe UI" w:eastAsia="Segoe UI" w:cs="Segoe UI"/>
                <w:b/>
                <w:bCs/>
                <w:i w:val="0"/>
                <w:iCs w:val="0"/>
                <w:caps w:val="0"/>
                <w:color w:val="0F1115"/>
                <w:spacing w:val="0"/>
                <w:sz w:val="18"/>
                <w:szCs w:val="18"/>
              </w:rPr>
            </w:pPr>
            <w:r>
              <w:rPr>
                <w:rFonts w:hint="default" w:ascii="Segoe UI" w:hAnsi="Segoe UI" w:eastAsia="Segoe UI" w:cs="Segoe UI"/>
                <w:b/>
                <w:bCs/>
                <w:i w:val="0"/>
                <w:iCs w:val="0"/>
                <w:caps w:val="0"/>
                <w:color w:val="0F1115"/>
                <w:spacing w:val="0"/>
                <w:kern w:val="0"/>
                <w:sz w:val="18"/>
                <w:szCs w:val="18"/>
                <w:bdr w:val="none" w:color="auto" w:sz="0" w:space="0"/>
                <w:lang w:val="en-US" w:eastAsia="zh-CN" w:bidi="ar"/>
              </w:rPr>
              <w:t>已有 PNG</w:t>
            </w:r>
          </w:p>
        </w:tc>
        <w:tc>
          <w:tcPr>
            <w:tcW w:w="1656" w:type="dxa"/>
            <w:tcBorders>
              <w:top w:val="single" w:color="auto" w:sz="4" w:space="0"/>
              <w:left w:val="single" w:color="auto" w:sz="4" w:space="0"/>
              <w:bottom w:val="single" w:color="auto" w:sz="4" w:space="0"/>
              <w:right w:val="single" w:color="auto" w:sz="4" w:space="0"/>
            </w:tcBorders>
            <w:shd w:val="clear" w:color="auto" w:fill="FFFFFF"/>
            <w:tcMar>
              <w:top w:w="75" w:type="dxa"/>
              <w:left w:w="120" w:type="dxa"/>
              <w:bottom w:w="75" w:type="dxa"/>
              <w:right w:w="0" w:type="dxa"/>
            </w:tcMar>
            <w:vAlign w:val="center"/>
          </w:tcPr>
          <w:p w14:paraId="7A028C55">
            <w:pPr>
              <w:keepNext w:val="0"/>
              <w:keepLines w:val="0"/>
              <w:widowControl/>
              <w:suppressLineNumbers w:val="0"/>
              <w:spacing w:line="188" w:lineRule="atLeast"/>
              <w:jc w:val="left"/>
              <w:rPr>
                <w:rFonts w:hint="default" w:ascii="Segoe UI" w:hAnsi="Segoe UI" w:eastAsia="Segoe UI" w:cs="Segoe UI"/>
                <w:b/>
                <w:bCs/>
                <w:i w:val="0"/>
                <w:iCs w:val="0"/>
                <w:caps w:val="0"/>
                <w:color w:val="0F1115"/>
                <w:spacing w:val="0"/>
                <w:sz w:val="18"/>
                <w:szCs w:val="18"/>
              </w:rPr>
            </w:pPr>
            <w:r>
              <w:rPr>
                <w:rFonts w:hint="default" w:ascii="Segoe UI" w:hAnsi="Segoe UI" w:eastAsia="Segoe UI" w:cs="Segoe UI"/>
                <w:b/>
                <w:bCs/>
                <w:i w:val="0"/>
                <w:iCs w:val="0"/>
                <w:caps w:val="0"/>
                <w:color w:val="0F1115"/>
                <w:spacing w:val="0"/>
                <w:kern w:val="0"/>
                <w:sz w:val="18"/>
                <w:szCs w:val="18"/>
                <w:bdr w:val="none" w:color="auto" w:sz="0" w:space="0"/>
                <w:lang w:val="en-US" w:eastAsia="zh-CN" w:bidi="ar"/>
              </w:rPr>
              <w:t>页 1 或附录</w:t>
            </w:r>
          </w:p>
        </w:tc>
      </w:tr>
      <w:tr w14:paraId="06B597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3181" w:type="dxa"/>
            <w:tcBorders>
              <w:top w:val="single" w:color="auto" w:sz="4" w:space="0"/>
              <w:left w:val="single" w:color="auto" w:sz="4" w:space="0"/>
              <w:bottom w:val="single" w:color="auto" w:sz="4" w:space="0"/>
              <w:right w:val="single" w:color="auto" w:sz="4" w:space="0"/>
            </w:tcBorders>
            <w:shd w:val="clear" w:color="auto" w:fill="FFFFFF"/>
            <w:tcMar>
              <w:top w:w="75" w:type="dxa"/>
              <w:left w:w="0" w:type="dxa"/>
              <w:bottom w:w="75" w:type="dxa"/>
              <w:right w:w="120" w:type="dxa"/>
            </w:tcMar>
            <w:vAlign w:val="center"/>
          </w:tcPr>
          <w:p w14:paraId="6D55D542">
            <w:pPr>
              <w:keepNext w:val="0"/>
              <w:keepLines w:val="0"/>
              <w:widowControl/>
              <w:suppressLineNumbers w:val="0"/>
              <w:spacing w:line="188" w:lineRule="atLeast"/>
              <w:jc w:val="left"/>
              <w:rPr>
                <w:rFonts w:hint="default" w:ascii="Segoe UI" w:hAnsi="Segoe UI" w:eastAsia="Segoe UI" w:cs="Segoe UI"/>
                <w:b/>
                <w:bCs/>
                <w:i w:val="0"/>
                <w:iCs w:val="0"/>
                <w:caps w:val="0"/>
                <w:color w:val="0F1115"/>
                <w:spacing w:val="0"/>
                <w:sz w:val="18"/>
                <w:szCs w:val="18"/>
              </w:rPr>
            </w:pPr>
            <w:r>
              <w:rPr>
                <w:rFonts w:hint="default" w:ascii="Segoe UI" w:hAnsi="Segoe UI" w:eastAsia="Segoe UI" w:cs="Segoe UI"/>
                <w:b/>
                <w:bCs/>
                <w:i w:val="0"/>
                <w:iCs w:val="0"/>
                <w:caps w:val="0"/>
                <w:color w:val="0F1115"/>
                <w:spacing w:val="0"/>
                <w:kern w:val="0"/>
                <w:sz w:val="18"/>
                <w:szCs w:val="18"/>
                <w:bdr w:val="none" w:color="auto" w:sz="0" w:space="0"/>
                <w:lang w:val="en-US" w:eastAsia="zh-CN" w:bidi="ar"/>
              </w:rPr>
              <w:t>D03 影响链路图</w:t>
            </w:r>
          </w:p>
        </w:tc>
        <w:tc>
          <w:tcPr>
            <w:tcW w:w="3332" w:type="dxa"/>
            <w:tcBorders>
              <w:top w:val="single" w:color="auto" w:sz="4" w:space="0"/>
              <w:left w:val="single" w:color="auto" w:sz="4" w:space="0"/>
              <w:bottom w:val="single" w:color="auto" w:sz="4" w:space="0"/>
              <w:right w:val="single" w:color="auto" w:sz="4" w:space="0"/>
            </w:tcBorders>
            <w:shd w:val="clear" w:color="auto" w:fill="FFFFFF"/>
            <w:tcMar>
              <w:top w:w="75" w:type="dxa"/>
              <w:left w:w="120" w:type="dxa"/>
              <w:bottom w:w="75" w:type="dxa"/>
              <w:right w:w="120" w:type="dxa"/>
            </w:tcMar>
            <w:vAlign w:val="center"/>
          </w:tcPr>
          <w:p w14:paraId="5DC76172">
            <w:pPr>
              <w:keepNext w:val="0"/>
              <w:keepLines w:val="0"/>
              <w:widowControl/>
              <w:suppressLineNumbers w:val="0"/>
              <w:spacing w:line="188" w:lineRule="atLeast"/>
              <w:jc w:val="left"/>
              <w:rPr>
                <w:rFonts w:hint="default" w:ascii="Segoe UI" w:hAnsi="Segoe UI" w:eastAsia="Segoe UI" w:cs="Segoe UI"/>
                <w:b/>
                <w:bCs/>
                <w:i w:val="0"/>
                <w:iCs w:val="0"/>
                <w:caps w:val="0"/>
                <w:color w:val="0F1115"/>
                <w:spacing w:val="0"/>
                <w:sz w:val="18"/>
                <w:szCs w:val="18"/>
              </w:rPr>
            </w:pPr>
            <w:r>
              <w:rPr>
                <w:rFonts w:hint="default" w:ascii="Segoe UI" w:hAnsi="Segoe UI" w:eastAsia="Segoe UI" w:cs="Segoe UI"/>
                <w:b/>
                <w:bCs/>
                <w:i w:val="0"/>
                <w:iCs w:val="0"/>
                <w:caps w:val="0"/>
                <w:color w:val="0F1115"/>
                <w:spacing w:val="0"/>
                <w:kern w:val="0"/>
                <w:sz w:val="18"/>
                <w:szCs w:val="18"/>
                <w:bdr w:val="none" w:color="auto" w:sz="0" w:space="0"/>
                <w:lang w:val="en-US" w:eastAsia="zh-CN" w:bidi="ar"/>
              </w:rPr>
              <w:t>已有 PNG</w:t>
            </w:r>
          </w:p>
        </w:tc>
        <w:tc>
          <w:tcPr>
            <w:tcW w:w="1656" w:type="dxa"/>
            <w:tcBorders>
              <w:top w:val="single" w:color="auto" w:sz="4" w:space="0"/>
              <w:left w:val="single" w:color="auto" w:sz="4" w:space="0"/>
              <w:bottom w:val="single" w:color="auto" w:sz="4" w:space="0"/>
              <w:right w:val="single" w:color="auto" w:sz="4" w:space="0"/>
            </w:tcBorders>
            <w:shd w:val="clear" w:color="auto" w:fill="FFFFFF"/>
            <w:tcMar>
              <w:top w:w="75" w:type="dxa"/>
              <w:left w:w="120" w:type="dxa"/>
              <w:bottom w:w="75" w:type="dxa"/>
              <w:right w:w="0" w:type="dxa"/>
            </w:tcMar>
            <w:vAlign w:val="center"/>
          </w:tcPr>
          <w:p w14:paraId="2E22AAE3">
            <w:pPr>
              <w:keepNext w:val="0"/>
              <w:keepLines w:val="0"/>
              <w:widowControl/>
              <w:suppressLineNumbers w:val="0"/>
              <w:spacing w:line="188" w:lineRule="atLeast"/>
              <w:jc w:val="left"/>
              <w:rPr>
                <w:rFonts w:hint="default" w:ascii="Segoe UI" w:hAnsi="Segoe UI" w:eastAsia="Segoe UI" w:cs="Segoe UI"/>
                <w:b/>
                <w:bCs/>
                <w:i w:val="0"/>
                <w:iCs w:val="0"/>
                <w:caps w:val="0"/>
                <w:color w:val="0F1115"/>
                <w:spacing w:val="0"/>
                <w:sz w:val="18"/>
                <w:szCs w:val="18"/>
              </w:rPr>
            </w:pPr>
            <w:r>
              <w:rPr>
                <w:rFonts w:hint="default" w:ascii="Segoe UI" w:hAnsi="Segoe UI" w:eastAsia="Segoe UI" w:cs="Segoe UI"/>
                <w:b/>
                <w:bCs/>
                <w:i w:val="0"/>
                <w:iCs w:val="0"/>
                <w:caps w:val="0"/>
                <w:color w:val="0F1115"/>
                <w:spacing w:val="0"/>
                <w:kern w:val="0"/>
                <w:sz w:val="18"/>
                <w:szCs w:val="18"/>
                <w:bdr w:val="none" w:color="auto" w:sz="0" w:space="0"/>
                <w:lang w:val="en-US" w:eastAsia="zh-CN" w:bidi="ar"/>
              </w:rPr>
              <w:t>页 4</w:t>
            </w:r>
          </w:p>
        </w:tc>
      </w:tr>
      <w:tr w14:paraId="519190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3181" w:type="dxa"/>
            <w:tcBorders>
              <w:top w:val="single" w:color="auto" w:sz="4" w:space="0"/>
              <w:left w:val="single" w:color="auto" w:sz="4" w:space="0"/>
              <w:bottom w:val="single" w:color="auto" w:sz="4" w:space="0"/>
              <w:right w:val="single" w:color="auto" w:sz="4" w:space="0"/>
            </w:tcBorders>
            <w:shd w:val="clear" w:color="auto" w:fill="FFFFFF"/>
            <w:tcMar>
              <w:top w:w="75" w:type="dxa"/>
              <w:left w:w="0" w:type="dxa"/>
              <w:bottom w:w="75" w:type="dxa"/>
              <w:right w:w="120" w:type="dxa"/>
            </w:tcMar>
            <w:vAlign w:val="center"/>
          </w:tcPr>
          <w:p w14:paraId="1EE5FBAA">
            <w:pPr>
              <w:keepNext w:val="0"/>
              <w:keepLines w:val="0"/>
              <w:widowControl/>
              <w:suppressLineNumbers w:val="0"/>
              <w:spacing w:line="188" w:lineRule="atLeast"/>
              <w:jc w:val="left"/>
              <w:rPr>
                <w:rFonts w:hint="default" w:ascii="Segoe UI" w:hAnsi="Segoe UI" w:eastAsia="Segoe UI" w:cs="Segoe UI"/>
                <w:b/>
                <w:bCs/>
                <w:i w:val="0"/>
                <w:iCs w:val="0"/>
                <w:caps w:val="0"/>
                <w:color w:val="0F1115"/>
                <w:spacing w:val="0"/>
                <w:sz w:val="18"/>
                <w:szCs w:val="18"/>
              </w:rPr>
            </w:pPr>
            <w:r>
              <w:rPr>
                <w:rFonts w:hint="default" w:ascii="Segoe UI" w:hAnsi="Segoe UI" w:eastAsia="Segoe UI" w:cs="Segoe UI"/>
                <w:b/>
                <w:bCs/>
                <w:i w:val="0"/>
                <w:iCs w:val="0"/>
                <w:caps w:val="0"/>
                <w:color w:val="0F1115"/>
                <w:spacing w:val="0"/>
                <w:kern w:val="0"/>
                <w:sz w:val="18"/>
                <w:szCs w:val="18"/>
                <w:bdr w:val="none" w:color="auto" w:sz="0" w:space="0"/>
                <w:lang w:val="en-US" w:eastAsia="zh-CN" w:bidi="ar"/>
              </w:rPr>
              <w:t>D01 T09 计划树</w:t>
            </w:r>
          </w:p>
        </w:tc>
        <w:tc>
          <w:tcPr>
            <w:tcW w:w="3332" w:type="dxa"/>
            <w:tcBorders>
              <w:top w:val="single" w:color="auto" w:sz="4" w:space="0"/>
              <w:left w:val="single" w:color="auto" w:sz="4" w:space="0"/>
              <w:bottom w:val="single" w:color="auto" w:sz="4" w:space="0"/>
              <w:right w:val="single" w:color="auto" w:sz="4" w:space="0"/>
            </w:tcBorders>
            <w:shd w:val="clear" w:color="auto" w:fill="FFFFFF"/>
            <w:tcMar>
              <w:top w:w="75" w:type="dxa"/>
              <w:left w:w="120" w:type="dxa"/>
              <w:bottom w:w="75" w:type="dxa"/>
              <w:right w:w="120" w:type="dxa"/>
            </w:tcMar>
            <w:vAlign w:val="center"/>
          </w:tcPr>
          <w:p w14:paraId="37613523">
            <w:pPr>
              <w:keepNext w:val="0"/>
              <w:keepLines w:val="0"/>
              <w:widowControl/>
              <w:suppressLineNumbers w:val="0"/>
              <w:spacing w:line="188" w:lineRule="atLeast"/>
              <w:jc w:val="left"/>
              <w:rPr>
                <w:rFonts w:hint="default" w:ascii="Segoe UI" w:hAnsi="Segoe UI" w:eastAsia="Segoe UI" w:cs="Segoe UI"/>
                <w:b/>
                <w:bCs/>
                <w:i w:val="0"/>
                <w:iCs w:val="0"/>
                <w:caps w:val="0"/>
                <w:color w:val="0F1115"/>
                <w:spacing w:val="0"/>
                <w:sz w:val="18"/>
                <w:szCs w:val="18"/>
              </w:rPr>
            </w:pPr>
            <w:r>
              <w:rPr>
                <w:rFonts w:hint="default" w:ascii="Segoe UI" w:hAnsi="Segoe UI" w:eastAsia="Segoe UI" w:cs="Segoe UI"/>
                <w:b/>
                <w:bCs/>
                <w:i w:val="0"/>
                <w:iCs w:val="0"/>
                <w:caps w:val="0"/>
                <w:color w:val="0F1115"/>
                <w:spacing w:val="0"/>
                <w:kern w:val="0"/>
                <w:sz w:val="18"/>
                <w:szCs w:val="18"/>
                <w:bdr w:val="none" w:color="auto" w:sz="0" w:space="0"/>
                <w:lang w:val="en-US" w:eastAsia="zh-CN" w:bidi="ar"/>
              </w:rPr>
              <w:t>已有 PNG</w:t>
            </w:r>
          </w:p>
        </w:tc>
        <w:tc>
          <w:tcPr>
            <w:tcW w:w="1656" w:type="dxa"/>
            <w:tcBorders>
              <w:top w:val="single" w:color="auto" w:sz="4" w:space="0"/>
              <w:left w:val="single" w:color="auto" w:sz="4" w:space="0"/>
              <w:bottom w:val="single" w:color="auto" w:sz="4" w:space="0"/>
              <w:right w:val="single" w:color="auto" w:sz="4" w:space="0"/>
            </w:tcBorders>
            <w:shd w:val="clear" w:color="auto" w:fill="FFFFFF"/>
            <w:tcMar>
              <w:top w:w="75" w:type="dxa"/>
              <w:left w:w="120" w:type="dxa"/>
              <w:bottom w:w="75" w:type="dxa"/>
              <w:right w:w="0" w:type="dxa"/>
            </w:tcMar>
            <w:vAlign w:val="center"/>
          </w:tcPr>
          <w:p w14:paraId="61A7FE96">
            <w:pPr>
              <w:keepNext w:val="0"/>
              <w:keepLines w:val="0"/>
              <w:widowControl/>
              <w:suppressLineNumbers w:val="0"/>
              <w:spacing w:line="188" w:lineRule="atLeast"/>
              <w:jc w:val="left"/>
              <w:rPr>
                <w:rFonts w:hint="default" w:ascii="Segoe UI" w:hAnsi="Segoe UI" w:eastAsia="Segoe UI" w:cs="Segoe UI"/>
                <w:b/>
                <w:bCs/>
                <w:i w:val="0"/>
                <w:iCs w:val="0"/>
                <w:caps w:val="0"/>
                <w:color w:val="0F1115"/>
                <w:spacing w:val="0"/>
                <w:sz w:val="18"/>
                <w:szCs w:val="18"/>
              </w:rPr>
            </w:pPr>
            <w:r>
              <w:rPr>
                <w:rFonts w:hint="default" w:ascii="Segoe UI" w:hAnsi="Segoe UI" w:eastAsia="Segoe UI" w:cs="Segoe UI"/>
                <w:b/>
                <w:bCs/>
                <w:i w:val="0"/>
                <w:iCs w:val="0"/>
                <w:caps w:val="0"/>
                <w:color w:val="0F1115"/>
                <w:spacing w:val="0"/>
                <w:kern w:val="0"/>
                <w:sz w:val="18"/>
                <w:szCs w:val="18"/>
                <w:bdr w:val="none" w:color="auto" w:sz="0" w:space="0"/>
                <w:lang w:val="en-US" w:eastAsia="zh-CN" w:bidi="ar"/>
              </w:rPr>
              <w:t>附录或页 4</w:t>
            </w:r>
          </w:p>
        </w:tc>
      </w:tr>
      <w:tr w14:paraId="2B417D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3181" w:type="dxa"/>
            <w:tcBorders>
              <w:top w:val="single" w:color="auto" w:sz="4" w:space="0"/>
              <w:left w:val="single" w:color="auto" w:sz="4" w:space="0"/>
              <w:bottom w:val="single" w:color="auto" w:sz="4" w:space="0"/>
              <w:right w:val="single" w:color="auto" w:sz="4" w:space="0"/>
            </w:tcBorders>
            <w:shd w:val="clear" w:color="auto" w:fill="FFFFFF"/>
            <w:tcMar>
              <w:top w:w="75" w:type="dxa"/>
              <w:left w:w="0" w:type="dxa"/>
              <w:bottom w:w="75" w:type="dxa"/>
              <w:right w:w="120" w:type="dxa"/>
            </w:tcMar>
            <w:vAlign w:val="center"/>
          </w:tcPr>
          <w:p w14:paraId="6C9E8B15">
            <w:pPr>
              <w:keepNext w:val="0"/>
              <w:keepLines w:val="0"/>
              <w:widowControl/>
              <w:suppressLineNumbers w:val="0"/>
              <w:spacing w:line="188" w:lineRule="atLeast"/>
              <w:jc w:val="left"/>
              <w:rPr>
                <w:rFonts w:hint="default" w:ascii="Segoe UI" w:hAnsi="Segoe UI" w:eastAsia="Segoe UI" w:cs="Segoe UI"/>
                <w:b/>
                <w:bCs/>
                <w:i w:val="0"/>
                <w:iCs w:val="0"/>
                <w:caps w:val="0"/>
                <w:color w:val="0F1115"/>
                <w:spacing w:val="0"/>
                <w:sz w:val="18"/>
                <w:szCs w:val="18"/>
              </w:rPr>
            </w:pPr>
            <w:r>
              <w:rPr>
                <w:rFonts w:hint="default" w:ascii="Segoe UI" w:hAnsi="Segoe UI" w:eastAsia="Segoe UI" w:cs="Segoe UI"/>
                <w:b/>
                <w:bCs/>
                <w:i w:val="0"/>
                <w:iCs w:val="0"/>
                <w:caps w:val="0"/>
                <w:color w:val="0F1115"/>
                <w:spacing w:val="0"/>
                <w:kern w:val="0"/>
                <w:sz w:val="18"/>
                <w:szCs w:val="18"/>
                <w:bdr w:val="none" w:color="auto" w:sz="0" w:space="0"/>
                <w:lang w:val="en-US" w:eastAsia="zh-CN" w:bidi="ar"/>
              </w:rPr>
              <w:t>趋势时间线图</w:t>
            </w:r>
          </w:p>
        </w:tc>
        <w:tc>
          <w:tcPr>
            <w:tcW w:w="3332" w:type="dxa"/>
            <w:tcBorders>
              <w:top w:val="single" w:color="auto" w:sz="4" w:space="0"/>
              <w:left w:val="single" w:color="auto" w:sz="4" w:space="0"/>
              <w:bottom w:val="single" w:color="auto" w:sz="4" w:space="0"/>
              <w:right w:val="single" w:color="auto" w:sz="4" w:space="0"/>
            </w:tcBorders>
            <w:shd w:val="clear" w:color="auto" w:fill="FFFFFF"/>
            <w:tcMar>
              <w:top w:w="75" w:type="dxa"/>
              <w:left w:w="120" w:type="dxa"/>
              <w:bottom w:w="75" w:type="dxa"/>
              <w:right w:w="120" w:type="dxa"/>
            </w:tcMar>
            <w:vAlign w:val="center"/>
          </w:tcPr>
          <w:p w14:paraId="1B89D514">
            <w:pPr>
              <w:keepNext w:val="0"/>
              <w:keepLines w:val="0"/>
              <w:widowControl/>
              <w:suppressLineNumbers w:val="0"/>
              <w:spacing w:line="188" w:lineRule="atLeast"/>
              <w:jc w:val="left"/>
              <w:rPr>
                <w:rFonts w:hint="default" w:ascii="Segoe UI" w:hAnsi="Segoe UI" w:eastAsia="Segoe UI" w:cs="Segoe UI"/>
                <w:b/>
                <w:bCs/>
                <w:i w:val="0"/>
                <w:iCs w:val="0"/>
                <w:caps w:val="0"/>
                <w:color w:val="0F1115"/>
                <w:spacing w:val="0"/>
                <w:sz w:val="18"/>
                <w:szCs w:val="18"/>
              </w:rPr>
            </w:pPr>
            <w:r>
              <w:rPr>
                <w:rFonts w:hint="default" w:ascii="Segoe UI" w:hAnsi="Segoe UI" w:eastAsia="Segoe UI" w:cs="Segoe UI"/>
                <w:b/>
                <w:bCs/>
                <w:i w:val="0"/>
                <w:iCs w:val="0"/>
                <w:caps w:val="0"/>
                <w:color w:val="0F1115"/>
                <w:spacing w:val="0"/>
                <w:kern w:val="0"/>
                <w:sz w:val="18"/>
                <w:szCs w:val="18"/>
                <w:bdr w:val="none" w:color="auto" w:sz="0" w:space="0"/>
                <w:lang w:val="en-US" w:eastAsia="zh-CN" w:bidi="ar"/>
              </w:rPr>
              <w:t>Learned_CE_Evolution_Timeline.png</w:t>
            </w:r>
          </w:p>
        </w:tc>
        <w:tc>
          <w:tcPr>
            <w:tcW w:w="1656" w:type="dxa"/>
            <w:tcBorders>
              <w:top w:val="single" w:color="auto" w:sz="4" w:space="0"/>
              <w:left w:val="single" w:color="auto" w:sz="4" w:space="0"/>
              <w:bottom w:val="single" w:color="auto" w:sz="4" w:space="0"/>
              <w:right w:val="single" w:color="auto" w:sz="4" w:space="0"/>
            </w:tcBorders>
            <w:shd w:val="clear" w:color="auto" w:fill="FFFFFF"/>
            <w:tcMar>
              <w:top w:w="75" w:type="dxa"/>
              <w:left w:w="120" w:type="dxa"/>
              <w:bottom w:w="75" w:type="dxa"/>
              <w:right w:w="0" w:type="dxa"/>
            </w:tcMar>
            <w:vAlign w:val="center"/>
          </w:tcPr>
          <w:p w14:paraId="0D175E92">
            <w:pPr>
              <w:keepNext w:val="0"/>
              <w:keepLines w:val="0"/>
              <w:widowControl/>
              <w:suppressLineNumbers w:val="0"/>
              <w:spacing w:line="188" w:lineRule="atLeast"/>
              <w:jc w:val="left"/>
              <w:rPr>
                <w:rFonts w:hint="default" w:ascii="Segoe UI" w:hAnsi="Segoe UI" w:eastAsia="Segoe UI" w:cs="Segoe UI"/>
                <w:b/>
                <w:bCs/>
                <w:i w:val="0"/>
                <w:iCs w:val="0"/>
                <w:caps w:val="0"/>
                <w:color w:val="0F1115"/>
                <w:spacing w:val="0"/>
                <w:sz w:val="18"/>
                <w:szCs w:val="18"/>
              </w:rPr>
            </w:pPr>
            <w:r>
              <w:rPr>
                <w:rFonts w:hint="default" w:ascii="Segoe UI" w:hAnsi="Segoe UI" w:eastAsia="Segoe UI" w:cs="Segoe UI"/>
                <w:b/>
                <w:bCs/>
                <w:i w:val="0"/>
                <w:iCs w:val="0"/>
                <w:caps w:val="0"/>
                <w:color w:val="0F1115"/>
                <w:spacing w:val="0"/>
                <w:kern w:val="0"/>
                <w:sz w:val="18"/>
                <w:szCs w:val="18"/>
                <w:bdr w:val="none" w:color="auto" w:sz="0" w:space="0"/>
                <w:lang w:val="en-US" w:eastAsia="zh-CN" w:bidi="ar"/>
              </w:rPr>
              <w:t>页 3</w:t>
            </w:r>
          </w:p>
        </w:tc>
      </w:tr>
      <w:tr w14:paraId="13DEF6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3181" w:type="dxa"/>
            <w:tcBorders>
              <w:top w:val="single" w:color="auto" w:sz="4" w:space="0"/>
              <w:left w:val="single" w:color="auto" w:sz="4" w:space="0"/>
              <w:bottom w:val="single" w:color="auto" w:sz="4" w:space="0"/>
              <w:right w:val="single" w:color="auto" w:sz="4" w:space="0"/>
            </w:tcBorders>
            <w:shd w:val="clear" w:color="auto" w:fill="FFFFFF"/>
            <w:tcMar>
              <w:top w:w="75" w:type="dxa"/>
              <w:left w:w="0" w:type="dxa"/>
              <w:bottom w:w="75" w:type="dxa"/>
              <w:right w:w="120" w:type="dxa"/>
            </w:tcMar>
            <w:vAlign w:val="center"/>
          </w:tcPr>
          <w:p w14:paraId="0670A049">
            <w:pPr>
              <w:keepNext w:val="0"/>
              <w:keepLines w:val="0"/>
              <w:widowControl/>
              <w:suppressLineNumbers w:val="0"/>
              <w:spacing w:line="188" w:lineRule="atLeast"/>
              <w:jc w:val="left"/>
              <w:rPr>
                <w:rFonts w:hint="default" w:ascii="Segoe UI" w:hAnsi="Segoe UI" w:eastAsia="Segoe UI" w:cs="Segoe UI"/>
                <w:b/>
                <w:bCs/>
                <w:i w:val="0"/>
                <w:iCs w:val="0"/>
                <w:caps w:val="0"/>
                <w:color w:val="0F1115"/>
                <w:spacing w:val="0"/>
                <w:sz w:val="18"/>
                <w:szCs w:val="18"/>
              </w:rPr>
            </w:pPr>
            <w:r>
              <w:rPr>
                <w:rFonts w:hint="default" w:ascii="Segoe UI" w:hAnsi="Segoe UI" w:eastAsia="Segoe UI" w:cs="Segoe UI"/>
                <w:b/>
                <w:bCs/>
                <w:i w:val="0"/>
                <w:iCs w:val="0"/>
                <w:caps w:val="0"/>
                <w:color w:val="0F1115"/>
                <w:spacing w:val="0"/>
                <w:kern w:val="0"/>
                <w:sz w:val="18"/>
                <w:szCs w:val="18"/>
                <w:bdr w:val="none" w:color="auto" w:sz="0" w:space="0"/>
                <w:lang w:val="en-US" w:eastAsia="zh-CN" w:bidi="ar"/>
              </w:rPr>
              <w:t>趋势–工程问题映射矩阵</w:t>
            </w:r>
          </w:p>
        </w:tc>
        <w:tc>
          <w:tcPr>
            <w:tcW w:w="3332" w:type="dxa"/>
            <w:tcBorders>
              <w:top w:val="single" w:color="auto" w:sz="4" w:space="0"/>
              <w:left w:val="single" w:color="auto" w:sz="4" w:space="0"/>
              <w:bottom w:val="single" w:color="auto" w:sz="4" w:space="0"/>
              <w:right w:val="single" w:color="auto" w:sz="4" w:space="0"/>
            </w:tcBorders>
            <w:shd w:val="clear" w:color="auto" w:fill="FFFFFF"/>
            <w:tcMar>
              <w:top w:w="75" w:type="dxa"/>
              <w:left w:w="120" w:type="dxa"/>
              <w:bottom w:w="75" w:type="dxa"/>
              <w:right w:w="120" w:type="dxa"/>
            </w:tcMar>
            <w:vAlign w:val="center"/>
          </w:tcPr>
          <w:p w14:paraId="29F06FD2">
            <w:pPr>
              <w:keepNext w:val="0"/>
              <w:keepLines w:val="0"/>
              <w:widowControl/>
              <w:suppressLineNumbers w:val="0"/>
              <w:spacing w:line="188" w:lineRule="atLeast"/>
              <w:jc w:val="left"/>
              <w:rPr>
                <w:rFonts w:hint="default" w:ascii="Segoe UI" w:hAnsi="Segoe UI" w:eastAsia="Segoe UI" w:cs="Segoe UI"/>
                <w:b/>
                <w:bCs/>
                <w:i w:val="0"/>
                <w:iCs w:val="0"/>
                <w:caps w:val="0"/>
                <w:color w:val="0F1115"/>
                <w:spacing w:val="0"/>
                <w:sz w:val="18"/>
                <w:szCs w:val="18"/>
              </w:rPr>
            </w:pPr>
            <w:r>
              <w:rPr>
                <w:rFonts w:hint="default" w:ascii="Segoe UI" w:hAnsi="Segoe UI" w:eastAsia="Segoe UI" w:cs="Segoe UI"/>
                <w:b/>
                <w:bCs/>
                <w:i w:val="0"/>
                <w:iCs w:val="0"/>
                <w:caps w:val="0"/>
                <w:color w:val="0F1115"/>
                <w:spacing w:val="0"/>
                <w:kern w:val="0"/>
                <w:sz w:val="18"/>
                <w:szCs w:val="18"/>
                <w:bdr w:val="none" w:color="auto" w:sz="0" w:space="0"/>
                <w:lang w:val="en-US" w:eastAsia="zh-CN" w:bidi="ar"/>
              </w:rPr>
              <w:t>已有 XLSX</w:t>
            </w:r>
          </w:p>
        </w:tc>
        <w:tc>
          <w:tcPr>
            <w:tcW w:w="1656" w:type="dxa"/>
            <w:tcBorders>
              <w:top w:val="single" w:color="auto" w:sz="4" w:space="0"/>
              <w:left w:val="single" w:color="auto" w:sz="4" w:space="0"/>
              <w:bottom w:val="single" w:color="auto" w:sz="4" w:space="0"/>
              <w:right w:val="single" w:color="auto" w:sz="4" w:space="0"/>
            </w:tcBorders>
            <w:shd w:val="clear" w:color="auto" w:fill="FFFFFF"/>
            <w:tcMar>
              <w:top w:w="75" w:type="dxa"/>
              <w:left w:w="120" w:type="dxa"/>
              <w:bottom w:w="75" w:type="dxa"/>
              <w:right w:w="0" w:type="dxa"/>
            </w:tcMar>
            <w:vAlign w:val="center"/>
          </w:tcPr>
          <w:p w14:paraId="316CC5F0">
            <w:pPr>
              <w:keepNext w:val="0"/>
              <w:keepLines w:val="0"/>
              <w:widowControl/>
              <w:suppressLineNumbers w:val="0"/>
              <w:spacing w:line="188" w:lineRule="atLeast"/>
              <w:jc w:val="left"/>
              <w:rPr>
                <w:rFonts w:hint="default" w:ascii="Segoe UI" w:hAnsi="Segoe UI" w:eastAsia="Segoe UI" w:cs="Segoe UI"/>
                <w:b/>
                <w:bCs/>
                <w:i w:val="0"/>
                <w:iCs w:val="0"/>
                <w:caps w:val="0"/>
                <w:color w:val="0F1115"/>
                <w:spacing w:val="0"/>
                <w:sz w:val="18"/>
                <w:szCs w:val="18"/>
              </w:rPr>
            </w:pPr>
            <w:r>
              <w:rPr>
                <w:rFonts w:hint="default" w:ascii="Segoe UI" w:hAnsi="Segoe UI" w:eastAsia="Segoe UI" w:cs="Segoe UI"/>
                <w:b/>
                <w:bCs/>
                <w:i w:val="0"/>
                <w:iCs w:val="0"/>
                <w:caps w:val="0"/>
                <w:color w:val="0F1115"/>
                <w:spacing w:val="0"/>
                <w:kern w:val="0"/>
                <w:sz w:val="18"/>
                <w:szCs w:val="18"/>
                <w:bdr w:val="none" w:color="auto" w:sz="0" w:space="0"/>
                <w:lang w:val="en-US" w:eastAsia="zh-CN" w:bidi="ar"/>
              </w:rPr>
              <w:t>页 2</w:t>
            </w:r>
          </w:p>
        </w:tc>
      </w:tr>
      <w:tr w14:paraId="36925D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3181" w:type="dxa"/>
            <w:tcBorders>
              <w:top w:val="single" w:color="auto" w:sz="4" w:space="0"/>
              <w:left w:val="single" w:color="auto" w:sz="4" w:space="0"/>
              <w:bottom w:val="single" w:color="auto" w:sz="4" w:space="0"/>
              <w:right w:val="single" w:color="auto" w:sz="4" w:space="0"/>
            </w:tcBorders>
            <w:shd w:val="clear" w:color="auto" w:fill="FFFFFF"/>
            <w:tcMar>
              <w:top w:w="75" w:type="dxa"/>
              <w:left w:w="0" w:type="dxa"/>
              <w:bottom w:w="75" w:type="dxa"/>
              <w:right w:w="120" w:type="dxa"/>
            </w:tcMar>
            <w:vAlign w:val="center"/>
          </w:tcPr>
          <w:p w14:paraId="620EE03F">
            <w:pPr>
              <w:keepNext w:val="0"/>
              <w:keepLines w:val="0"/>
              <w:widowControl/>
              <w:suppressLineNumbers w:val="0"/>
              <w:spacing w:line="188" w:lineRule="atLeast"/>
              <w:jc w:val="left"/>
              <w:rPr>
                <w:rFonts w:hint="default" w:ascii="Segoe UI" w:hAnsi="Segoe UI" w:eastAsia="Segoe UI" w:cs="Segoe UI"/>
                <w:b/>
                <w:bCs/>
                <w:i w:val="0"/>
                <w:iCs w:val="0"/>
                <w:caps w:val="0"/>
                <w:color w:val="0F1115"/>
                <w:spacing w:val="0"/>
                <w:sz w:val="18"/>
                <w:szCs w:val="18"/>
              </w:rPr>
            </w:pPr>
            <w:r>
              <w:rPr>
                <w:rFonts w:hint="default" w:ascii="Segoe UI" w:hAnsi="Segoe UI" w:eastAsia="Segoe UI" w:cs="Segoe UI"/>
                <w:b/>
                <w:bCs/>
                <w:i w:val="0"/>
                <w:iCs w:val="0"/>
                <w:caps w:val="0"/>
                <w:color w:val="0F1115"/>
                <w:spacing w:val="0"/>
                <w:kern w:val="0"/>
                <w:sz w:val="18"/>
                <w:szCs w:val="18"/>
                <w:bdr w:val="none" w:color="auto" w:sz="0" w:space="0"/>
                <w:lang w:val="en-US" w:eastAsia="zh-CN" w:bidi="ar"/>
              </w:rPr>
              <w:t>“趋势–证据–影响–本组接口”四栏表</w:t>
            </w:r>
          </w:p>
        </w:tc>
        <w:tc>
          <w:tcPr>
            <w:tcW w:w="3332" w:type="dxa"/>
            <w:tcBorders>
              <w:top w:val="single" w:color="auto" w:sz="4" w:space="0"/>
              <w:left w:val="single" w:color="auto" w:sz="4" w:space="0"/>
              <w:bottom w:val="single" w:color="auto" w:sz="4" w:space="0"/>
              <w:right w:val="single" w:color="auto" w:sz="4" w:space="0"/>
            </w:tcBorders>
            <w:shd w:val="clear" w:color="auto" w:fill="FFFFFF"/>
            <w:tcMar>
              <w:top w:w="75" w:type="dxa"/>
              <w:left w:w="120" w:type="dxa"/>
              <w:bottom w:w="75" w:type="dxa"/>
              <w:right w:w="120" w:type="dxa"/>
            </w:tcMar>
            <w:vAlign w:val="center"/>
          </w:tcPr>
          <w:p w14:paraId="02FB10A2">
            <w:pPr>
              <w:keepNext w:val="0"/>
              <w:keepLines w:val="0"/>
              <w:widowControl/>
              <w:suppressLineNumbers w:val="0"/>
              <w:spacing w:line="188" w:lineRule="atLeast"/>
              <w:jc w:val="left"/>
              <w:rPr>
                <w:rFonts w:hint="default" w:ascii="Segoe UI" w:hAnsi="Segoe UI" w:eastAsia="Segoe UI" w:cs="Segoe UI"/>
                <w:b/>
                <w:bCs/>
                <w:i w:val="0"/>
                <w:iCs w:val="0"/>
                <w:caps w:val="0"/>
                <w:color w:val="0F1115"/>
                <w:spacing w:val="0"/>
                <w:sz w:val="18"/>
                <w:szCs w:val="18"/>
              </w:rPr>
            </w:pPr>
            <w:r>
              <w:rPr>
                <w:rFonts w:hint="default" w:ascii="Segoe UI" w:hAnsi="Segoe UI" w:eastAsia="Segoe UI" w:cs="Segoe UI"/>
                <w:b/>
                <w:bCs/>
                <w:i w:val="0"/>
                <w:iCs w:val="0"/>
                <w:caps w:val="0"/>
                <w:color w:val="0F1115"/>
                <w:spacing w:val="0"/>
                <w:kern w:val="0"/>
                <w:sz w:val="18"/>
                <w:szCs w:val="18"/>
                <w:bdr w:val="none" w:color="auto" w:sz="0" w:space="0"/>
                <w:lang w:val="en-US" w:eastAsia="zh-CN" w:bidi="ar"/>
              </w:rPr>
              <w:t>已有 XLSX</w:t>
            </w:r>
          </w:p>
        </w:tc>
        <w:tc>
          <w:tcPr>
            <w:tcW w:w="1656" w:type="dxa"/>
            <w:tcBorders>
              <w:top w:val="single" w:color="auto" w:sz="4" w:space="0"/>
              <w:left w:val="single" w:color="auto" w:sz="4" w:space="0"/>
              <w:bottom w:val="single" w:color="auto" w:sz="4" w:space="0"/>
              <w:right w:val="single" w:color="auto" w:sz="4" w:space="0"/>
            </w:tcBorders>
            <w:shd w:val="clear" w:color="auto" w:fill="FFFFFF"/>
            <w:tcMar>
              <w:top w:w="75" w:type="dxa"/>
              <w:left w:w="120" w:type="dxa"/>
              <w:bottom w:w="75" w:type="dxa"/>
              <w:right w:w="0" w:type="dxa"/>
            </w:tcMar>
            <w:vAlign w:val="center"/>
          </w:tcPr>
          <w:p w14:paraId="5FC2BC94">
            <w:pPr>
              <w:keepNext w:val="0"/>
              <w:keepLines w:val="0"/>
              <w:widowControl/>
              <w:suppressLineNumbers w:val="0"/>
              <w:spacing w:line="188" w:lineRule="atLeast"/>
              <w:jc w:val="left"/>
              <w:rPr>
                <w:rFonts w:hint="default" w:ascii="Segoe UI" w:hAnsi="Segoe UI" w:eastAsia="Segoe UI" w:cs="Segoe UI"/>
                <w:b/>
                <w:bCs/>
                <w:i w:val="0"/>
                <w:iCs w:val="0"/>
                <w:caps w:val="0"/>
                <w:color w:val="0F1115"/>
                <w:spacing w:val="0"/>
                <w:sz w:val="18"/>
                <w:szCs w:val="18"/>
              </w:rPr>
            </w:pPr>
            <w:r>
              <w:rPr>
                <w:rFonts w:hint="default" w:ascii="Segoe UI" w:hAnsi="Segoe UI" w:eastAsia="Segoe UI" w:cs="Segoe UI"/>
                <w:b/>
                <w:bCs/>
                <w:i w:val="0"/>
                <w:iCs w:val="0"/>
                <w:caps w:val="0"/>
                <w:color w:val="0F1115"/>
                <w:spacing w:val="0"/>
                <w:kern w:val="0"/>
                <w:sz w:val="18"/>
                <w:szCs w:val="18"/>
                <w:bdr w:val="none" w:color="auto" w:sz="0" w:space="0"/>
                <w:lang w:val="en-US" w:eastAsia="zh-CN" w:bidi="ar"/>
              </w:rPr>
              <w:t>附录</w:t>
            </w:r>
          </w:p>
        </w:tc>
      </w:tr>
      <w:tr w14:paraId="094D32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3181" w:type="dxa"/>
            <w:tcBorders>
              <w:top w:val="single" w:color="auto" w:sz="4" w:space="0"/>
              <w:left w:val="single" w:color="auto" w:sz="4" w:space="0"/>
              <w:bottom w:val="single" w:color="auto" w:sz="4" w:space="0"/>
              <w:right w:val="single" w:color="auto" w:sz="4" w:space="0"/>
            </w:tcBorders>
            <w:shd w:val="clear" w:color="auto" w:fill="FFFFFF"/>
            <w:tcMar>
              <w:top w:w="75" w:type="dxa"/>
              <w:left w:w="0" w:type="dxa"/>
              <w:bottom w:w="75" w:type="dxa"/>
              <w:right w:w="120" w:type="dxa"/>
            </w:tcMar>
            <w:vAlign w:val="center"/>
          </w:tcPr>
          <w:p w14:paraId="17766969">
            <w:pPr>
              <w:keepNext w:val="0"/>
              <w:keepLines w:val="0"/>
              <w:widowControl/>
              <w:suppressLineNumbers w:val="0"/>
              <w:spacing w:line="188" w:lineRule="atLeast"/>
              <w:jc w:val="left"/>
              <w:rPr>
                <w:rFonts w:hint="default" w:ascii="Segoe UI" w:hAnsi="Segoe UI" w:eastAsia="Segoe UI" w:cs="Segoe UI"/>
                <w:b/>
                <w:bCs/>
                <w:i w:val="0"/>
                <w:iCs w:val="0"/>
                <w:caps w:val="0"/>
                <w:color w:val="0F1115"/>
                <w:spacing w:val="0"/>
                <w:sz w:val="18"/>
                <w:szCs w:val="18"/>
              </w:rPr>
            </w:pPr>
            <w:r>
              <w:rPr>
                <w:rFonts w:hint="default" w:ascii="Segoe UI" w:hAnsi="Segoe UI" w:eastAsia="Segoe UI" w:cs="Segoe UI"/>
                <w:b/>
                <w:bCs/>
                <w:i w:val="0"/>
                <w:iCs w:val="0"/>
                <w:caps w:val="0"/>
                <w:color w:val="0F1115"/>
                <w:spacing w:val="0"/>
                <w:kern w:val="0"/>
                <w:sz w:val="18"/>
                <w:szCs w:val="18"/>
                <w:bdr w:val="none" w:color="auto" w:sz="0" w:space="0"/>
                <w:lang w:val="en-US" w:eastAsia="zh-CN" w:bidi="ar"/>
              </w:rPr>
              <w:t>雷达图</w:t>
            </w:r>
          </w:p>
        </w:tc>
        <w:tc>
          <w:tcPr>
            <w:tcW w:w="3332" w:type="dxa"/>
            <w:tcBorders>
              <w:top w:val="single" w:color="auto" w:sz="4" w:space="0"/>
              <w:left w:val="single" w:color="auto" w:sz="4" w:space="0"/>
              <w:bottom w:val="single" w:color="auto" w:sz="4" w:space="0"/>
              <w:right w:val="single" w:color="auto" w:sz="4" w:space="0"/>
            </w:tcBorders>
            <w:shd w:val="clear" w:color="auto" w:fill="FFFFFF"/>
            <w:tcMar>
              <w:top w:w="75" w:type="dxa"/>
              <w:left w:w="120" w:type="dxa"/>
              <w:bottom w:w="75" w:type="dxa"/>
              <w:right w:w="120" w:type="dxa"/>
            </w:tcMar>
            <w:vAlign w:val="center"/>
          </w:tcPr>
          <w:p w14:paraId="542A233B">
            <w:pPr>
              <w:keepNext w:val="0"/>
              <w:keepLines w:val="0"/>
              <w:widowControl/>
              <w:suppressLineNumbers w:val="0"/>
              <w:spacing w:line="188" w:lineRule="atLeast"/>
              <w:jc w:val="left"/>
              <w:rPr>
                <w:rFonts w:hint="default" w:ascii="Segoe UI" w:hAnsi="Segoe UI" w:eastAsia="Segoe UI" w:cs="Segoe UI"/>
                <w:b/>
                <w:bCs/>
                <w:i w:val="0"/>
                <w:iCs w:val="0"/>
                <w:caps w:val="0"/>
                <w:color w:val="0F1115"/>
                <w:spacing w:val="0"/>
                <w:sz w:val="18"/>
                <w:szCs w:val="18"/>
              </w:rPr>
            </w:pPr>
            <w:r>
              <w:rPr>
                <w:rFonts w:hint="default" w:ascii="Segoe UI" w:hAnsi="Segoe UI" w:eastAsia="Segoe UI" w:cs="Segoe UI"/>
                <w:b/>
                <w:bCs/>
                <w:i w:val="0"/>
                <w:iCs w:val="0"/>
                <w:caps w:val="0"/>
                <w:color w:val="0F1115"/>
                <w:spacing w:val="0"/>
                <w:kern w:val="0"/>
                <w:sz w:val="18"/>
                <w:szCs w:val="18"/>
                <w:bdr w:val="none" w:color="auto" w:sz="0" w:space="0"/>
                <w:lang w:val="en-US" w:eastAsia="zh-CN" w:bidi="ar"/>
              </w:rPr>
              <w:t>已有 PNG</w:t>
            </w:r>
          </w:p>
        </w:tc>
        <w:tc>
          <w:tcPr>
            <w:tcW w:w="1656" w:type="dxa"/>
            <w:tcBorders>
              <w:top w:val="single" w:color="auto" w:sz="4" w:space="0"/>
              <w:left w:val="single" w:color="auto" w:sz="4" w:space="0"/>
              <w:bottom w:val="single" w:color="auto" w:sz="4" w:space="0"/>
              <w:right w:val="single" w:color="auto" w:sz="4" w:space="0"/>
            </w:tcBorders>
            <w:shd w:val="clear" w:color="auto" w:fill="FFFFFF"/>
            <w:tcMar>
              <w:top w:w="75" w:type="dxa"/>
              <w:left w:w="120" w:type="dxa"/>
              <w:bottom w:w="75" w:type="dxa"/>
              <w:right w:w="0" w:type="dxa"/>
            </w:tcMar>
            <w:vAlign w:val="center"/>
          </w:tcPr>
          <w:p w14:paraId="6553EBAC">
            <w:pPr>
              <w:keepNext w:val="0"/>
              <w:keepLines w:val="0"/>
              <w:widowControl/>
              <w:suppressLineNumbers w:val="0"/>
              <w:spacing w:line="188" w:lineRule="atLeast"/>
              <w:jc w:val="left"/>
              <w:rPr>
                <w:rFonts w:hint="default" w:ascii="Segoe UI" w:hAnsi="Segoe UI" w:eastAsia="Segoe UI" w:cs="Segoe UI"/>
                <w:b/>
                <w:bCs/>
                <w:i w:val="0"/>
                <w:iCs w:val="0"/>
                <w:caps w:val="0"/>
                <w:color w:val="0F1115"/>
                <w:spacing w:val="0"/>
                <w:sz w:val="18"/>
                <w:szCs w:val="18"/>
              </w:rPr>
            </w:pPr>
            <w:r>
              <w:rPr>
                <w:rFonts w:hint="default" w:ascii="Segoe UI" w:hAnsi="Segoe UI" w:eastAsia="Segoe UI" w:cs="Segoe UI"/>
                <w:b/>
                <w:bCs/>
                <w:i w:val="0"/>
                <w:iCs w:val="0"/>
                <w:caps w:val="0"/>
                <w:color w:val="0F1115"/>
                <w:spacing w:val="0"/>
                <w:kern w:val="0"/>
                <w:sz w:val="18"/>
                <w:szCs w:val="18"/>
                <w:bdr w:val="none" w:color="auto" w:sz="0" w:space="0"/>
                <w:lang w:val="en-US" w:eastAsia="zh-CN" w:bidi="ar"/>
              </w:rPr>
              <w:t>页 2 或附录</w:t>
            </w:r>
          </w:p>
        </w:tc>
      </w:tr>
    </w:tbl>
    <w:p w14:paraId="332B8CFD">
      <w:pPr>
        <w:rPr>
          <w:rFonts w:hint="eastAsia"/>
        </w:rPr>
      </w:pPr>
      <w:r>
        <w:rPr>
          <w:rFonts w:hint="eastAsia"/>
        </w:rPr>
        <w:t>说明：E-1 的“实验问题—AI方法”映射图已在前期报告中出现，PPT 中不必重复；如需要，可作为附录。</w:t>
      </w:r>
    </w:p>
    <w:p w14:paraId="3F87A225">
      <w:pPr>
        <w:rPr>
          <w:rFonts w:hint="eastAsia"/>
        </w:rPr>
      </w:pPr>
    </w:p>
    <w:p w14:paraId="23E9FEC3">
      <w:pPr>
        <w:rPr>
          <w:rFonts w:hint="eastAsia"/>
          <w:sz w:val="30"/>
          <w:szCs w:val="30"/>
        </w:rPr>
      </w:pPr>
      <w:r>
        <w:rPr>
          <w:rFonts w:hint="eastAsia"/>
          <w:sz w:val="30"/>
          <w:szCs w:val="30"/>
        </w:rPr>
        <w:t>四、与前面 B/C/D 的衔接说明</w:t>
      </w:r>
    </w:p>
    <w:p w14:paraId="1CB7C8E9">
      <w:pPr>
        <w:rPr>
          <w:rFonts w:hint="eastAsia"/>
        </w:rPr>
      </w:pPr>
      <w:r>
        <w:rPr>
          <w:rFonts w:hint="eastAsia"/>
        </w:rPr>
        <w:t>B/C/D 的内容承担“实验事实”部分：B 说明数据与执行计划是怎么采集的，C 说明 Q-error 在什么场景出现，D 说明误差是否真正传导到 Cost、计划和执行时间。E 不再重复这些过程，而是承接 D 的最后一步：为什么这些问题会促使研究者提出学习型基数估计方法。</w:t>
      </w:r>
    </w:p>
    <w:p w14:paraId="2509C1EF">
      <w:pPr>
        <w:rPr>
          <w:rFonts w:hint="eastAsia"/>
        </w:rPr>
      </w:pPr>
    </w:p>
    <w:p w14:paraId="23DA4A56">
      <w:pPr>
        <w:rPr>
          <w:rFonts w:hint="eastAsia"/>
        </w:rPr>
      </w:pPr>
      <w:r>
        <w:rPr>
          <w:rFonts w:hint="eastAsia"/>
        </w:rPr>
        <w:t>推荐衔接句</w:t>
      </w:r>
    </w:p>
    <w:p w14:paraId="6C2578A8">
      <w:pPr>
        <w:rPr>
          <w:rFonts w:hint="eastAsia"/>
        </w:rPr>
      </w:pPr>
    </w:p>
    <w:p w14:paraId="6D2CA900">
      <w:pPr>
        <w:rPr>
          <w:rFonts w:hint="eastAsia"/>
        </w:rPr>
      </w:pPr>
      <w:r>
        <w:rPr>
          <w:rFonts w:hint="eastAsia"/>
        </w:rPr>
        <w:t>前面的实验说明，传统优化器并不是在所有查询上都不准确；同表相关很多时候可以通过 Extended Statistics 修正。但 S20 和 T09 又说明，当相关关系横跨多表、或只在 Join 后才出现时，单表统计仍可能失效。学习型基数估计正是试图在这些传统统计难以表达的场景中学习更复杂的联合关系。下面不再逐篇介绍论文，而是按照“我们的实验问题—AI 方法回应”的逻辑进行比较。</w:t>
      </w:r>
    </w:p>
    <w:p w14:paraId="39D13930">
      <w:pPr>
        <w:rPr>
          <w:rFonts w:hint="eastAsia"/>
        </w:rPr>
      </w:pPr>
    </w:p>
    <w:p w14:paraId="27973437">
      <w:pPr>
        <w:rPr>
          <w:rFonts w:hint="eastAsia"/>
          <w:sz w:val="30"/>
          <w:szCs w:val="30"/>
        </w:rPr>
      </w:pPr>
      <w:r>
        <w:rPr>
          <w:rFonts w:hint="eastAsia"/>
          <w:sz w:val="30"/>
          <w:szCs w:val="30"/>
        </w:rPr>
        <w:t>五、E 部分结论与后续衔接</w:t>
      </w:r>
    </w:p>
    <w:p w14:paraId="4D4443E8">
      <w:pPr>
        <w:rPr>
          <w:rFonts w:hint="eastAsia"/>
        </w:rPr>
      </w:pPr>
      <w:r>
        <w:rPr>
          <w:rFonts w:hint="eastAsia"/>
        </w:rPr>
        <w:t>E 部分结论</w:t>
      </w:r>
    </w:p>
    <w:p w14:paraId="4C8CE486">
      <w:pPr>
        <w:rPr>
          <w:rFonts w:hint="eastAsia"/>
        </w:rPr>
      </w:pPr>
      <w:r>
        <w:rPr>
          <w:rFonts w:hint="eastAsia"/>
        </w:rPr>
        <w:t>学习型 CE 的研究重心正在从“单库更准”走向“跨库可迁移、系统级收益与工程落地”。本组实验表明：传统 CBO 在单表、简单连接和同表相关场景仍具稳健性，S16/S19 可被扩展统计修正；真正困难的是跨表联合分布（S20）、Join 后相关性（T09）与统计输入偏差（T11）。这些边界问题正是学习型方法的研究动机，但 Q-error 改善不自动等于计划切换或查询加速，评价必须结合计划质量、端到端延迟、泛化能力与部署成本。本组未训练或评测任何 AI 模型，所有趋势讨论仅用于解释研究动机，而非宣称 AI 已优于 PostgreSQL。</w:t>
      </w:r>
    </w:p>
    <w:p w14:paraId="6C22E946">
      <w:pPr>
        <w:rPr>
          <w:rFonts w:hint="eastAsia"/>
        </w:rPr>
      </w:pPr>
    </w:p>
    <w:p w14:paraId="136BE459">
      <w:pPr>
        <w:rPr>
          <w:rFonts w:hint="eastAsia"/>
        </w:rPr>
      </w:pPr>
      <w:r>
        <w:rPr>
          <w:rFonts w:hint="eastAsia"/>
        </w:rPr>
        <w:t>给后续部分的衔接句</w:t>
      </w:r>
    </w:p>
    <w:p w14:paraId="656CF446">
      <w:pPr>
        <w:rPr>
          <w:rFonts w:hint="eastAsia"/>
        </w:rPr>
      </w:pPr>
    </w:p>
    <w:p w14:paraId="237B9750">
      <w:pPr>
        <w:rPr>
          <w:rFonts w:hint="eastAsia"/>
        </w:rPr>
      </w:pPr>
      <w:r>
        <w:rPr>
          <w:rFonts w:hint="eastAsia"/>
        </w:rPr>
        <w:t>不过，模型能把某些查询估得更准并不意味着已经解决工程问题。本组实验也显示 Q-error 与计划切换、执行时间并不是线性关系；同时 learned CE 还面临训练数据、更新、迁移和推理成本。因此，下一部分进一步从工程落地和最新趋势讨论 AI 查询优化为什么开始走向预训练、低依赖和传统 CBO 协同。</w:t>
      </w:r>
    </w:p>
    <w:p w14:paraId="4049D324">
      <w:pPr>
        <w:rPr>
          <w:rFonts w:hint="eastAsia"/>
        </w:rPr>
      </w:pPr>
    </w:p>
    <w:p w14:paraId="52F17CE4">
      <w:pPr>
        <w:rPr>
          <w:rFonts w:hint="eastAsia"/>
          <w:sz w:val="30"/>
          <w:szCs w:val="30"/>
        </w:rPr>
      </w:pPr>
      <w:r>
        <w:rPr>
          <w:rFonts w:hint="eastAsia"/>
          <w:sz w:val="30"/>
          <w:szCs w:val="30"/>
        </w:rPr>
        <w:t>六、口播稿（1 分钟）</w:t>
      </w:r>
    </w:p>
    <w:p w14:paraId="1C9D8988">
      <w:pPr>
        <w:rPr>
          <w:rFonts w:hint="eastAsia"/>
        </w:rPr>
      </w:pPr>
      <w:r>
        <w:rPr>
          <w:rFonts w:hint="eastAsia"/>
        </w:rPr>
        <w:t>我们的实验发现，传统 CBO 并非全面失效：单表、简单连接和同表相关场景估计较准，扩展统计也能修正 S16/S19。但跨表相关 S20 的 Q-error 仍为 100，T09 连接后独立性失效导致 10.37 倍误差，T11 暴露 n_distinct 采样误差。这些正是学习型方法的研究动机：DeepDB/NeuroCard 学习跨表联合分布，MSCN 做查询驱动估计，Bao 用 Hint 安全干预，PRICE/ZeroCard 降低跨库部署成本。我们未训练 AI 模型，但实验清晰划出了传统统计的边界，也说明 AI 方法需要聚焦跨表、复杂查询和真实负载才能证明价值。</w:t>
      </w:r>
    </w:p>
    <w:p w14:paraId="094F8A9C">
      <w:pPr>
        <w:rPr>
          <w:rFonts w:hint="eastAsia"/>
        </w:rPr>
      </w:pPr>
    </w:p>
    <w:p w14:paraId="6BF3B780">
      <w:pPr>
        <w:rPr>
          <w:rFonts w:hint="eastAsia"/>
          <w:sz w:val="30"/>
          <w:szCs w:val="30"/>
        </w:rPr>
      </w:pPr>
      <w:bookmarkStart w:id="0" w:name="_GoBack"/>
      <w:r>
        <w:rPr>
          <w:rFonts w:hint="eastAsia"/>
          <w:sz w:val="30"/>
          <w:szCs w:val="30"/>
        </w:rPr>
        <w:t>七、评价边界声明（必须保留）</w:t>
      </w:r>
    </w:p>
    <w:bookmarkEnd w:id="0"/>
    <w:p w14:paraId="585EE9F2">
      <w:pPr>
        <w:rPr>
          <w:rFonts w:hint="eastAsia"/>
        </w:rPr>
      </w:pPr>
      <w:r>
        <w:rPr>
          <w:rFonts w:hint="eastAsia"/>
        </w:rPr>
        <w:t>本组未训练、推理或评测任何 AI 模型，所有 AI 方法内容均为文献调研与问题映射，不能写成“实验验证 AI 优于 PostgreSQL”。</w:t>
      </w:r>
    </w:p>
    <w:p w14:paraId="14382B46">
      <w:pPr>
        <w:rPr>
          <w:rFonts w:hint="eastAsia"/>
        </w:rPr>
      </w:pPr>
    </w:p>
    <w:p w14:paraId="3FD8030B">
      <w:pPr>
        <w:rPr>
          <w:rFonts w:hint="eastAsia"/>
        </w:rPr>
      </w:pPr>
      <w:r>
        <w:rPr>
          <w:rFonts w:hint="eastAsia"/>
        </w:rPr>
        <w:t>Q-error 变小 ≠ 计划一定切换 ≠ 查询一定变快。本组 S16、S19、S20 三阶段物理计划均未切换；T09 误差在根节点，计划仍为 Hash Join。</w:t>
      </w:r>
    </w:p>
    <w:p w14:paraId="139C273D">
      <w:pPr>
        <w:rPr>
          <w:rFonts w:hint="eastAsia"/>
        </w:rPr>
      </w:pPr>
    </w:p>
    <w:p w14:paraId="5792FF89">
      <w:pPr>
        <w:rPr>
          <w:rFonts w:hint="eastAsia"/>
        </w:rPr>
      </w:pPr>
      <w:r>
        <w:rPr>
          <w:rFonts w:hint="eastAsia"/>
        </w:rPr>
        <w:t>误差危害公式：危害 ≈ 误差大小 × 误差位置（是否被下游决策引用）× 下游决策自由度。</w:t>
      </w:r>
    </w:p>
    <w:p w14:paraId="379051A3">
      <w:pPr>
        <w:rPr>
          <w:rFonts w:hint="eastAsia"/>
        </w:rPr>
      </w:pPr>
    </w:p>
    <w:p w14:paraId="0DC5FE3E">
      <w:pPr>
        <w:rPr>
          <w:rFonts w:hint="eastAsia"/>
        </w:rPr>
      </w:pPr>
      <w:r>
        <w:rPr>
          <w:rFonts w:hint="eastAsia"/>
        </w:rPr>
        <w:t>评价链条：基数估计 → Cost → 计划选择 → 执行时间；同时关注泛化能力、训练成本、推理开销、更新成本、内核集成难度。</w:t>
      </w:r>
    </w:p>
    <w:p w14:paraId="2B8A4528">
      <w:pPr>
        <w:rPr>
          <w:rFonts w:hint="eastAsia"/>
        </w:rPr>
      </w:pPr>
    </w:p>
    <w:p w14:paraId="5E379069">
      <w:pPr>
        <w:rPr>
          <w:rFonts w:hint="eastAsia"/>
        </w:rPr>
      </w:pPr>
      <w:r>
        <w:rPr>
          <w:rFonts w:hint="eastAsia"/>
        </w:rPr>
        <w:t>传统 CBO 仍具稳健性：在 SF=1 轻量场景下，单表组 Q-error 中位数 1.003，两表组 1.010，多表组 1.066；仅 T09 出现 10.371 的明显误差。</w:t>
      </w:r>
    </w:p>
    <w:p w14:paraId="6864F1D4">
      <w:pPr>
        <w:rPr>
          <w:rFonts w:hint="eastAsia"/>
        </w:rPr>
      </w:pPr>
    </w:p>
    <w:p w14:paraId="54014B68">
      <w:r>
        <w:rPr>
          <w:rFonts w:hint="eastAsia"/>
        </w:rPr>
        <w:t>AI 方法的价值在于补充传统统计难以表达的复杂相关关系，而非全面替代传统优化器。</w:t>
      </w: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ED734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4</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2026-10-05T09:10:20Z</dcterms:created>
  <dc:creator>lenovo</dc:creator>
  <cp:lastModifiedBy>依依&amp;Viola</cp:lastModifiedBy>
  <dcterms:modified xsi:type="dcterms:W3CDTF">2026-10-05T09:14:32Z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eyJoZGlkIjoiMDNkMTdkNDBhZjg1MzFhMjhlNTRmOGUxMGJmYzY0NGYiLCJ1c2VySWQiOiI4NDc1NjkzNTAifQ==</vt:lpwstr>
  </property>
  <property fmtid="{D5CDD505-2E9C-101B-9397-08002B2CF9AE}" pid="4" name="ICV">
    <vt:lpwstr>B7CEF1010C56464FAF6C648BBF1BEC4C_12</vt:lpwstr>
  </property>
</Properties>
</file>