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Microsoft YaHei"/>
          <w:b/>
          <w:color w:val="167B5A"/>
          <w:sz w:val="20"/>
        </w:rPr>
        <w:t>PULSEGUARD · V1.0</w:t>
      </w:r>
    </w:p>
    <w:p>
      <w:pPr>
        <w:spacing w:after="80"/>
      </w:pPr>
      <w:r>
        <w:rPr>
          <w:rFonts w:ascii="Calibri" w:hAnsi="Calibri" w:eastAsia="Microsoft YaHei"/>
          <w:b/>
          <w:color w:val="17211D"/>
          <w:sz w:val="48"/>
        </w:rPr>
        <w:t>社区用户沉默预警与运营策略 Agent</w:t>
      </w:r>
    </w:p>
    <w:p>
      <w:pPr>
        <w:spacing w:after="360"/>
      </w:pPr>
      <w:r>
        <w:rPr>
          <w:rFonts w:ascii="Calibri" w:hAnsi="Calibri" w:eastAsia="Microsoft YaHei"/>
          <w:b w:val="0"/>
          <w:color w:val="65716B"/>
          <w:sz w:val="26"/>
        </w:rPr>
        <w:t>基于 Meta Kaggle 纵向行为数据的可解释产品原型</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文档属性</w:t>
            </w:r>
          </w:p>
        </w:tc>
        <w:tc>
          <w:tcPr>
            <w:tcW w:type="dxa" w:w="74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内容</w:t>
            </w:r>
          </w:p>
        </w:tc>
      </w:tr>
      <w:tr>
        <w:tc>
          <w:tcPr>
            <w:tcW w:type="dxa" w:w="1900"/>
            <w:tcMar>
              <w:top w:w="80" w:type="dxa"/>
              <w:start w:w="120" w:type="dxa"/>
              <w:bottom w:w="80" w:type="dxa"/>
              <w:end w:w="120" w:type="dxa"/>
            </w:tcMar>
            <w:vAlign w:val="center"/>
          </w:tcPr>
          <w:p>
            <w:pPr>
              <w:spacing w:after="0"/>
            </w:pPr>
            <w:r>
              <w:rPr>
                <w:rFonts w:ascii="Calibri" w:hAnsi="Calibri" w:eastAsia="Microsoft YaHei"/>
                <w:b w:val="0"/>
                <w:color w:val="17211D"/>
                <w:sz w:val="19"/>
              </w:rPr>
              <w:t>负责人</w:t>
            </w:r>
          </w:p>
        </w:tc>
        <w:tc>
          <w:tcPr>
            <w:tcW w:type="dxa" w:w="7460"/>
            <w:tcMar>
              <w:top w:w="80" w:type="dxa"/>
              <w:start w:w="120" w:type="dxa"/>
              <w:bottom w:w="80" w:type="dxa"/>
              <w:end w:w="120" w:type="dxa"/>
            </w:tcMar>
            <w:vAlign w:val="center"/>
          </w:tcPr>
          <w:p>
            <w:pPr>
              <w:spacing w:after="0"/>
            </w:pPr>
            <w:r>
              <w:rPr>
                <w:rFonts w:ascii="Calibri" w:hAnsi="Calibri" w:eastAsia="Microsoft YaHei"/>
                <w:b w:val="0"/>
                <w:color w:val="17211D"/>
                <w:sz w:val="19"/>
              </w:rPr>
              <w:t>程诗雨 · 产品设计 / 数据分析 / 原型实现</w:t>
            </w:r>
          </w:p>
        </w:tc>
      </w:tr>
      <w:tr>
        <w:tc>
          <w:tcPr>
            <w:tcW w:type="dxa" w:w="1900"/>
            <w:tcMar>
              <w:top w:w="80" w:type="dxa"/>
              <w:start w:w="120" w:type="dxa"/>
              <w:bottom w:w="80" w:type="dxa"/>
              <w:end w:w="120" w:type="dxa"/>
            </w:tcMar>
            <w:vAlign w:val="center"/>
          </w:tcPr>
          <w:p>
            <w:pPr>
              <w:spacing w:after="0"/>
            </w:pPr>
            <w:r>
              <w:rPr>
                <w:rFonts w:ascii="Calibri" w:hAnsi="Calibri" w:eastAsia="Microsoft YaHei"/>
                <w:b w:val="0"/>
                <w:color w:val="17211D"/>
                <w:sz w:val="19"/>
              </w:rPr>
              <w:t>目标用户</w:t>
            </w:r>
          </w:p>
        </w:tc>
        <w:tc>
          <w:tcPr>
            <w:tcW w:type="dxa" w:w="7460"/>
            <w:tcMar>
              <w:top w:w="80" w:type="dxa"/>
              <w:start w:w="120" w:type="dxa"/>
              <w:bottom w:w="80" w:type="dxa"/>
              <w:end w:w="120" w:type="dxa"/>
            </w:tcMar>
            <w:vAlign w:val="center"/>
          </w:tcPr>
          <w:p>
            <w:pPr>
              <w:spacing w:after="0"/>
            </w:pPr>
            <w:r>
              <w:rPr>
                <w:rFonts w:ascii="Calibri" w:hAnsi="Calibri" w:eastAsia="Microsoft YaHei"/>
                <w:b w:val="0"/>
                <w:color w:val="17211D"/>
                <w:sz w:val="19"/>
              </w:rPr>
              <w:t>高技能在线社区运营人员</w:t>
            </w:r>
          </w:p>
        </w:tc>
      </w:tr>
      <w:tr>
        <w:tc>
          <w:tcPr>
            <w:tcW w:type="dxa" w:w="1900"/>
            <w:tcMar>
              <w:top w:w="80" w:type="dxa"/>
              <w:start w:w="120" w:type="dxa"/>
              <w:bottom w:w="80" w:type="dxa"/>
              <w:end w:w="120" w:type="dxa"/>
            </w:tcMar>
            <w:vAlign w:val="center"/>
          </w:tcPr>
          <w:p>
            <w:pPr>
              <w:spacing w:after="0"/>
            </w:pPr>
            <w:r>
              <w:rPr>
                <w:rFonts w:ascii="Calibri" w:hAnsi="Calibri" w:eastAsia="Microsoft YaHei"/>
                <w:b w:val="0"/>
                <w:color w:val="17211D"/>
                <w:sz w:val="19"/>
              </w:rPr>
              <w:t>核心任务</w:t>
            </w:r>
          </w:p>
        </w:tc>
        <w:tc>
          <w:tcPr>
            <w:tcW w:type="dxa" w:w="7460"/>
            <w:tcMar>
              <w:top w:w="80" w:type="dxa"/>
              <w:start w:w="120" w:type="dxa"/>
              <w:bottom w:w="80" w:type="dxa"/>
              <w:end w:w="120" w:type="dxa"/>
            </w:tcMar>
            <w:vAlign w:val="center"/>
          </w:tcPr>
          <w:p>
            <w:pPr>
              <w:spacing w:after="0"/>
            </w:pPr>
            <w:r>
              <w:rPr>
                <w:rFonts w:ascii="Calibri" w:hAnsi="Calibri" w:eastAsia="Microsoft YaHei"/>
                <w:b w:val="0"/>
                <w:color w:val="17211D"/>
                <w:sz w:val="19"/>
              </w:rPr>
              <w:t>识别未来3个月沉默风险、解释风险因素、生成运营干预建议</w:t>
            </w:r>
          </w:p>
        </w:tc>
      </w:tr>
      <w:tr>
        <w:tc>
          <w:tcPr>
            <w:tcW w:type="dxa" w:w="1900"/>
            <w:tcMar>
              <w:top w:w="80" w:type="dxa"/>
              <w:start w:w="120" w:type="dxa"/>
              <w:bottom w:w="80" w:type="dxa"/>
              <w:end w:w="120" w:type="dxa"/>
            </w:tcMar>
            <w:vAlign w:val="center"/>
          </w:tcPr>
          <w:p>
            <w:pPr>
              <w:spacing w:after="0"/>
            </w:pPr>
            <w:r>
              <w:rPr>
                <w:rFonts w:ascii="Calibri" w:hAnsi="Calibri" w:eastAsia="Microsoft YaHei"/>
                <w:b w:val="0"/>
                <w:color w:val="17211D"/>
                <w:sz w:val="19"/>
              </w:rPr>
              <w:t>当前状态</w:t>
            </w:r>
          </w:p>
        </w:tc>
        <w:tc>
          <w:tcPr>
            <w:tcW w:type="dxa" w:w="7460"/>
            <w:tcMar>
              <w:top w:w="80" w:type="dxa"/>
              <w:start w:w="120" w:type="dxa"/>
              <w:bottom w:w="80" w:type="dxa"/>
              <w:end w:w="120" w:type="dxa"/>
            </w:tcMar>
            <w:vAlign w:val="center"/>
          </w:tcPr>
          <w:p>
            <w:pPr>
              <w:spacing w:after="0"/>
            </w:pPr>
            <w:r>
              <w:rPr>
                <w:rFonts w:ascii="Calibri" w:hAnsi="Calibri" w:eastAsia="Microsoft YaHei"/>
                <w:b w:val="0"/>
                <w:color w:val="17211D"/>
                <w:sz w:val="19"/>
              </w:rPr>
              <w:t>可运行离线原型；大模型自然语言层待接入</w:t>
            </w:r>
          </w:p>
        </w:tc>
      </w:tr>
    </w:tbl>
    <w:p>
      <w:pPr>
        <w:spacing w:after="0"/>
      </w:pPr>
    </w:p>
    <w:p>
      <w:pPr>
        <w:pStyle w:val="Heading1"/>
        <w:keepNext/>
      </w:pPr>
      <w:r>
        <w:t>执行摘要</w:t>
      </w:r>
    </w:p>
    <w:p>
      <w:pPr>
        <w:spacing w:after="120" w:line="300" w:lineRule="auto"/>
      </w:pPr>
      <w:r>
        <w:rPr>
          <w:rFonts w:ascii="Calibri" w:hAnsi="Calibri" w:eastAsia="Microsoft YaHei"/>
          <w:b w:val="0"/>
          <w:color w:val="17211D"/>
          <w:sz w:val="22"/>
        </w:rPr>
        <w:t>PulseGuard将分散在用户行为表中的提交、活跃天数、竞赛参与和历史节奏信息，转换为运营人员可查询、可解释、可复核的风险队列。产品以统计模型负责风险排序，以Agent工具链负责编排画像查询、风险计算、因素解释和策略生成，避免大模型直接猜测数据。</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F5F7F5"/>
            <w:tcMar>
              <w:top w:w="80" w:type="dxa"/>
              <w:start w:w="120" w:type="dxa"/>
              <w:bottom w:w="80" w:type="dxa"/>
              <w:end w:w="120" w:type="dxa"/>
            </w:tcMar>
            <w:vAlign w:val="center"/>
          </w:tcPr>
          <w:p>
            <w:pPr>
              <w:spacing w:after="0"/>
              <w:jc w:val="center"/>
            </w:pPr>
            <w:r>
              <w:rPr>
                <w:rFonts w:ascii="Calibri" w:hAnsi="Calibri" w:eastAsia="Microsoft YaHei"/>
                <w:b/>
                <w:color w:val="17211D"/>
                <w:sz w:val="34"/>
              </w:rPr>
              <w:t>2,306</w:t>
              <w:br/>
            </w:r>
            <w:r>
              <w:rPr>
                <w:rFonts w:ascii="Calibri" w:hAnsi="Calibri" w:eastAsia="Microsoft YaHei"/>
                <w:b w:val="0"/>
                <w:color w:val="65716B"/>
                <w:sz w:val="18"/>
              </w:rPr>
              <w:t>建模样本</w:t>
            </w:r>
          </w:p>
        </w:tc>
        <w:tc>
          <w:tcPr>
            <w:tcW w:type="dxa" w:w="3120"/>
            <w:shd w:fill="F5F7F5"/>
            <w:tcMar>
              <w:top w:w="80" w:type="dxa"/>
              <w:start w:w="120" w:type="dxa"/>
              <w:bottom w:w="80" w:type="dxa"/>
              <w:end w:w="120" w:type="dxa"/>
            </w:tcMar>
            <w:vAlign w:val="center"/>
          </w:tcPr>
          <w:p>
            <w:pPr>
              <w:spacing w:after="0"/>
              <w:jc w:val="center"/>
            </w:pPr>
            <w:r>
              <w:rPr>
                <w:rFonts w:ascii="Calibri" w:hAnsi="Calibri" w:eastAsia="Microsoft YaHei"/>
                <w:b/>
                <w:color w:val="17211D"/>
                <w:sz w:val="34"/>
              </w:rPr>
              <w:t>0.777</w:t>
              <w:br/>
            </w:r>
            <w:r>
              <w:rPr>
                <w:rFonts w:ascii="Calibri" w:hAnsi="Calibri" w:eastAsia="Microsoft YaHei"/>
                <w:b w:val="0"/>
                <w:color w:val="65716B"/>
                <w:sz w:val="18"/>
              </w:rPr>
              <w:t>时间留出 AUC</w:t>
            </w:r>
          </w:p>
        </w:tc>
        <w:tc>
          <w:tcPr>
            <w:tcW w:type="dxa" w:w="3120"/>
            <w:shd w:fill="F5F7F5"/>
            <w:tcMar>
              <w:top w:w="80" w:type="dxa"/>
              <w:start w:w="120" w:type="dxa"/>
              <w:bottom w:w="80" w:type="dxa"/>
              <w:end w:w="120" w:type="dxa"/>
            </w:tcMar>
            <w:vAlign w:val="center"/>
          </w:tcPr>
          <w:p>
            <w:pPr>
              <w:spacing w:after="0"/>
              <w:jc w:val="center"/>
            </w:pPr>
            <w:r>
              <w:rPr>
                <w:rFonts w:ascii="Calibri" w:hAnsi="Calibri" w:eastAsia="Microsoft YaHei"/>
                <w:b/>
                <w:color w:val="17211D"/>
                <w:sz w:val="34"/>
              </w:rPr>
              <w:t>73.6%</w:t>
              <w:br/>
            </w:r>
            <w:r>
              <w:rPr>
                <w:rFonts w:ascii="Calibri" w:hAnsi="Calibri" w:eastAsia="Microsoft YaHei"/>
                <w:b w:val="0"/>
                <w:color w:val="65716B"/>
                <w:sz w:val="18"/>
              </w:rPr>
              <w:t>测试准确率</w:t>
            </w:r>
          </w:p>
        </w:tc>
      </w:tr>
    </w:tbl>
    <w:p>
      <w:r>
        <w:br w:type="page"/>
      </w:r>
    </w:p>
    <w:p>
      <w:pPr>
        <w:pStyle w:val="Heading1"/>
        <w:keepNext/>
      </w:pPr>
      <w:r>
        <w:t>1. 背景与问题</w:t>
      </w:r>
    </w:p>
    <w:p>
      <w:pPr>
        <w:spacing w:after="120" w:line="300" w:lineRule="auto"/>
      </w:pPr>
      <w:r>
        <w:rPr>
          <w:rFonts w:ascii="Calibri" w:hAnsi="Calibri" w:eastAsia="Microsoft YaHei"/>
          <w:b/>
          <w:color w:val="17211D"/>
          <w:sz w:val="22"/>
        </w:rPr>
        <w:t>业务问题：</w:t>
      </w:r>
      <w:r>
        <w:rPr>
          <w:rFonts w:ascii="Calibri" w:hAnsi="Calibri" w:eastAsia="Microsoft YaHei"/>
          <w:b w:val="0"/>
          <w:color w:val="17211D"/>
          <w:sz w:val="22"/>
        </w:rPr>
        <w:t>高技能社区的用户贡献具有长周期、高投入特征。运营人员往往在用户已经连续多月无活动后才发现流失，缺少可提前排序的风险队列，也难以解释风险来自短期活跃下降、长期节奏中断还是资源连接不足。</w:t>
      </w:r>
    </w:p>
    <w:p>
      <w:pPr>
        <w:spacing w:after="120" w:line="300" w:lineRule="auto"/>
      </w:pPr>
      <w:r>
        <w:rPr>
          <w:rFonts w:ascii="Calibri" w:hAnsi="Calibri" w:eastAsia="Microsoft YaHei"/>
          <w:b/>
          <w:color w:val="17211D"/>
          <w:sz w:val="22"/>
        </w:rPr>
        <w:t>数据机会：</w:t>
      </w:r>
      <w:r>
        <w:rPr>
          <w:rFonts w:ascii="Calibri" w:hAnsi="Calibri" w:eastAsia="Microsoft YaHei"/>
          <w:b w:val="0"/>
          <w:color w:val="17211D"/>
          <w:sz w:val="22"/>
        </w:rPr>
        <w:t>本项目使用Meta Kaggle公开活动数据，保留用户、竞赛、提交和资源连接的纵向记录，并已有可复现的用户月度面板和研究代码。</w:t>
      </w:r>
    </w:p>
    <w:p>
      <w:pPr>
        <w:pStyle w:val="Heading1"/>
        <w:keepNext/>
      </w:pPr>
      <w:r>
        <w:t>2. 产品目标与边界</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类型</w:t>
            </w:r>
          </w:p>
        </w:tc>
        <w:tc>
          <w:tcPr>
            <w:tcW w:type="dxa" w:w="78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内容</w:t>
            </w:r>
          </w:p>
        </w:tc>
      </w:tr>
      <w:tr>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目标</w:t>
            </w:r>
          </w:p>
        </w:tc>
        <w:tc>
          <w:tcPr>
            <w:tcW w:type="dxa" w:w="7860"/>
            <w:tcMar>
              <w:top w:w="80" w:type="dxa"/>
              <w:start w:w="120" w:type="dxa"/>
              <w:bottom w:w="80" w:type="dxa"/>
              <w:end w:w="120" w:type="dxa"/>
            </w:tcMar>
            <w:vAlign w:val="center"/>
          </w:tcPr>
          <w:p>
            <w:pPr>
              <w:spacing w:after="0"/>
            </w:pPr>
            <w:r>
              <w:rPr>
                <w:rFonts w:ascii="Calibri" w:hAnsi="Calibri" w:eastAsia="Microsoft YaHei"/>
                <w:b w:val="0"/>
                <w:color w:val="17211D"/>
                <w:sz w:val="19"/>
              </w:rPr>
              <w:t>将活跃用户按未来3个月沉默风险排序；解释主要风险与保护信号；输出可人工复核的干预建议。</w:t>
            </w:r>
          </w:p>
        </w:tc>
      </w:tr>
      <w:tr>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非目标</w:t>
            </w:r>
          </w:p>
        </w:tc>
        <w:tc>
          <w:tcPr>
            <w:tcW w:type="dxa" w:w="7860"/>
            <w:tcMar>
              <w:top w:w="80" w:type="dxa"/>
              <w:start w:w="120" w:type="dxa"/>
              <w:bottom w:w="80" w:type="dxa"/>
              <w:end w:w="120" w:type="dxa"/>
            </w:tcMar>
            <w:vAlign w:val="center"/>
          </w:tcPr>
          <w:p>
            <w:pPr>
              <w:spacing w:after="0"/>
            </w:pPr>
            <w:r>
              <w:rPr>
                <w:rFonts w:ascii="Calibri" w:hAnsi="Calibri" w:eastAsia="Microsoft YaHei"/>
                <w:b w:val="0"/>
                <w:color w:val="17211D"/>
                <w:sz w:val="19"/>
              </w:rPr>
              <w:t>不宣称预测因果关系；不替代运营人员最终决策；不使用公开数据推断自然人身份。</w:t>
            </w:r>
          </w:p>
        </w:tc>
      </w:tr>
      <w:tr>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成功标准</w:t>
            </w:r>
          </w:p>
        </w:tc>
        <w:tc>
          <w:tcPr>
            <w:tcW w:type="dxa" w:w="7860"/>
            <w:tcMar>
              <w:top w:w="80" w:type="dxa"/>
              <w:start w:w="120" w:type="dxa"/>
              <w:bottom w:w="80" w:type="dxa"/>
              <w:end w:w="120" w:type="dxa"/>
            </w:tcMar>
            <w:vAlign w:val="center"/>
          </w:tcPr>
          <w:p>
            <w:pPr>
              <w:spacing w:after="0"/>
            </w:pPr>
            <w:r>
              <w:rPr>
                <w:rFonts w:ascii="Calibri" w:hAnsi="Calibri" w:eastAsia="Microsoft YaHei"/>
                <w:b w:val="0"/>
                <w:color w:val="17211D"/>
                <w:sz w:val="19"/>
              </w:rPr>
              <w:t>离线测试AUC高于统一概率基线；每条建议可追溯至具体指标；用户ID在演示层匿名化。</w:t>
            </w:r>
          </w:p>
        </w:tc>
      </w:tr>
    </w:tbl>
    <w:p>
      <w:pPr>
        <w:spacing w:after="0"/>
      </w:pPr>
    </w:p>
    <w:p>
      <w:pPr>
        <w:pStyle w:val="Heading1"/>
        <w:keepNext/>
      </w:pPr>
      <w:r>
        <w:t>3. 用户与核心场景</w:t>
      </w:r>
    </w:p>
    <w:tbl>
      <w:tblPr>
        <w:tblStyle w:val="TableGrid"/>
        <w:tblW w:type="dxa" w:w="9360"/>
        <w:jc w:val="left"/>
        <w:tblLayout w:type="fixed"/>
        <w:tblLook w:firstColumn="1" w:firstRow="1" w:lastColumn="0" w:lastRow="0" w:noHBand="0" w:noVBand="1" w:val="04A0"/>
        <w:tblInd w:w="120" w:type="dxa"/>
      </w:tblPr>
      <w:tblGrid>
        <w:gridCol w:w="1700"/>
        <w:gridCol w:w="3600"/>
        <w:gridCol w:w="4060"/>
      </w:tblGrid>
      <w:tr>
        <w:trPr>
          <w:tblHeader w:val="true"/>
        </w:trPr>
        <w:tc>
          <w:tcPr>
            <w:tcW w:type="dxa" w:w="17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用户</w:t>
            </w:r>
          </w:p>
        </w:tc>
        <w:tc>
          <w:tcPr>
            <w:tcW w:type="dxa" w:w="36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场景</w:t>
            </w:r>
          </w:p>
        </w:tc>
        <w:tc>
          <w:tcPr>
            <w:tcW w:type="dxa" w:w="40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期望结果</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社区运营</w:t>
            </w:r>
          </w:p>
        </w:tc>
        <w:tc>
          <w:tcPr>
            <w:tcW w:type="dxa" w:w="3600"/>
            <w:tcMar>
              <w:top w:w="80" w:type="dxa"/>
              <w:start w:w="120" w:type="dxa"/>
              <w:bottom w:w="80" w:type="dxa"/>
              <w:end w:w="120" w:type="dxa"/>
            </w:tcMar>
            <w:vAlign w:val="center"/>
          </w:tcPr>
          <w:p>
            <w:pPr>
              <w:spacing w:after="0"/>
            </w:pPr>
            <w:r>
              <w:rPr>
                <w:rFonts w:ascii="Calibri" w:hAnsi="Calibri" w:eastAsia="Microsoft YaHei"/>
                <w:b w:val="0"/>
                <w:color w:val="17211D"/>
                <w:sz w:val="19"/>
              </w:rPr>
              <w:t>月度召回前筛选高风险用户</w:t>
            </w:r>
          </w:p>
        </w:tc>
        <w:tc>
          <w:tcPr>
            <w:tcW w:type="dxa" w:w="4060"/>
            <w:tcMar>
              <w:top w:w="80" w:type="dxa"/>
              <w:start w:w="120" w:type="dxa"/>
              <w:bottom w:w="80" w:type="dxa"/>
              <w:end w:w="120" w:type="dxa"/>
            </w:tcMar>
            <w:vAlign w:val="center"/>
          </w:tcPr>
          <w:p>
            <w:pPr>
              <w:spacing w:after="0"/>
            </w:pPr>
            <w:r>
              <w:rPr>
                <w:rFonts w:ascii="Calibri" w:hAnsi="Calibri" w:eastAsia="Microsoft YaHei"/>
                <w:b w:val="0"/>
                <w:color w:val="17211D"/>
                <w:sz w:val="19"/>
              </w:rPr>
              <w:t>获得按风险排序的可执行名单</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活动运营</w:t>
            </w:r>
          </w:p>
        </w:tc>
        <w:tc>
          <w:tcPr>
            <w:tcW w:type="dxa" w:w="3600"/>
            <w:tcMar>
              <w:top w:w="80" w:type="dxa"/>
              <w:start w:w="120" w:type="dxa"/>
              <w:bottom w:w="80" w:type="dxa"/>
              <w:end w:w="120" w:type="dxa"/>
            </w:tcMar>
            <w:vAlign w:val="center"/>
          </w:tcPr>
          <w:p>
            <w:pPr>
              <w:spacing w:after="0"/>
            </w:pPr>
            <w:r>
              <w:rPr>
                <w:rFonts w:ascii="Calibri" w:hAnsi="Calibri" w:eastAsia="Microsoft YaHei"/>
                <w:b w:val="0"/>
                <w:color w:val="17211D"/>
                <w:sz w:val="19"/>
              </w:rPr>
              <w:t>为低活跃用户匹配竞赛和内容</w:t>
            </w:r>
          </w:p>
        </w:tc>
        <w:tc>
          <w:tcPr>
            <w:tcW w:type="dxa" w:w="4060"/>
            <w:tcMar>
              <w:top w:w="80" w:type="dxa"/>
              <w:start w:w="120" w:type="dxa"/>
              <w:bottom w:w="80" w:type="dxa"/>
              <w:end w:w="120" w:type="dxa"/>
            </w:tcMar>
            <w:vAlign w:val="center"/>
          </w:tcPr>
          <w:p>
            <w:pPr>
              <w:spacing w:after="0"/>
            </w:pPr>
            <w:r>
              <w:rPr>
                <w:rFonts w:ascii="Calibri" w:hAnsi="Calibri" w:eastAsia="Microsoft YaHei"/>
                <w:b w:val="0"/>
                <w:color w:val="17211D"/>
                <w:sz w:val="19"/>
              </w:rPr>
              <w:t>理解任务偏好与资源缺口</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运营负责人</w:t>
            </w:r>
          </w:p>
        </w:tc>
        <w:tc>
          <w:tcPr>
            <w:tcW w:type="dxa" w:w="3600"/>
            <w:tcMar>
              <w:top w:w="80" w:type="dxa"/>
              <w:start w:w="120" w:type="dxa"/>
              <w:bottom w:w="80" w:type="dxa"/>
              <w:end w:w="120" w:type="dxa"/>
            </w:tcMar>
            <w:vAlign w:val="center"/>
          </w:tcPr>
          <w:p>
            <w:pPr>
              <w:spacing w:after="0"/>
            </w:pPr>
            <w:r>
              <w:rPr>
                <w:rFonts w:ascii="Calibri" w:hAnsi="Calibri" w:eastAsia="Microsoft YaHei"/>
                <w:b w:val="0"/>
                <w:color w:val="17211D"/>
                <w:sz w:val="19"/>
              </w:rPr>
              <w:t>复盘风险模型和策略覆盖情况</w:t>
            </w:r>
          </w:p>
        </w:tc>
        <w:tc>
          <w:tcPr>
            <w:tcW w:type="dxa" w:w="4060"/>
            <w:tcMar>
              <w:top w:w="80" w:type="dxa"/>
              <w:start w:w="120" w:type="dxa"/>
              <w:bottom w:w="80" w:type="dxa"/>
              <w:end w:w="120" w:type="dxa"/>
            </w:tcMar>
            <w:vAlign w:val="center"/>
          </w:tcPr>
          <w:p>
            <w:pPr>
              <w:spacing w:after="0"/>
            </w:pPr>
            <w:r>
              <w:rPr>
                <w:rFonts w:ascii="Calibri" w:hAnsi="Calibri" w:eastAsia="Microsoft YaHei"/>
                <w:b w:val="0"/>
                <w:color w:val="17211D"/>
                <w:sz w:val="19"/>
              </w:rPr>
              <w:t>查看评测指标、工具轨迹和使用边界</w:t>
            </w:r>
          </w:p>
        </w:tc>
      </w:tr>
    </w:tbl>
    <w:p>
      <w:pPr>
        <w:spacing w:after="0"/>
      </w:pPr>
    </w:p>
    <w:p>
      <w:pPr>
        <w:pStyle w:val="Heading1"/>
        <w:keepNext/>
      </w:pPr>
      <w:r>
        <w:t>4. 风险指标定义</w:t>
      </w:r>
    </w:p>
    <w:p>
      <w:pPr>
        <w:spacing w:after="120" w:line="300" w:lineRule="auto"/>
      </w:pPr>
      <w:r>
        <w:rPr>
          <w:rFonts w:ascii="Calibri" w:hAnsi="Calibri" w:eastAsia="Microsoft YaHei"/>
          <w:b w:val="0"/>
          <w:color w:val="17211D"/>
          <w:sz w:val="22"/>
        </w:rPr>
        <w:t>当前月有活动，随后连续3个自然月无提交、无活跃天数且无参赛记录。当前月必须存在活动，以保证标签描述的是从活跃进入沉默的转移，而不是持续沉默状态的重复记录。</w:t>
      </w:r>
    </w:p>
    <w:p>
      <w:pPr>
        <w:pStyle w:val="ListBullet"/>
        <w:spacing w:after="80" w:line="300" w:lineRule="auto"/>
        <w:ind w:left="540" w:hanging="271"/>
      </w:pPr>
      <w:r>
        <w:rPr>
          <w:rFonts w:ascii="Calibri" w:hAnsi="Calibri" w:eastAsia="Microsoft YaHei"/>
          <w:b w:val="0"/>
          <w:color w:val="17211D"/>
          <w:sz w:val="22"/>
        </w:rPr>
        <w:t>训练区间：2015-01 至 2023-12。</w:t>
      </w:r>
    </w:p>
    <w:p>
      <w:pPr>
        <w:pStyle w:val="ListBullet"/>
        <w:spacing w:after="80" w:line="300" w:lineRule="auto"/>
        <w:ind w:left="540" w:hanging="271"/>
      </w:pPr>
      <w:r>
        <w:rPr>
          <w:rFonts w:ascii="Calibri" w:hAnsi="Calibri" w:eastAsia="Microsoft YaHei"/>
          <w:b w:val="0"/>
          <w:color w:val="17211D"/>
          <w:sz w:val="22"/>
        </w:rPr>
        <w:t>时间留出测试区间：2024-01 至 2025-12。</w:t>
      </w:r>
    </w:p>
    <w:p>
      <w:pPr>
        <w:pStyle w:val="ListBullet"/>
        <w:spacing w:after="80" w:line="300" w:lineRule="auto"/>
        <w:ind w:left="540" w:hanging="271"/>
      </w:pPr>
      <w:r>
        <w:rPr>
          <w:rFonts w:ascii="Calibri" w:hAnsi="Calibri" w:eastAsia="Microsoft YaHei"/>
          <w:b w:val="0"/>
          <w:color w:val="17211D"/>
          <w:sz w:val="22"/>
        </w:rPr>
        <w:t>风险阈值：高风险≥0.70；中风险0.45–0.70；低风险&lt;0.45。</w:t>
      </w:r>
    </w:p>
    <w:p>
      <w:r>
        <w:br w:type="page"/>
      </w:r>
    </w:p>
    <w:p>
      <w:pPr>
        <w:pStyle w:val="Heading1"/>
        <w:keepNext/>
      </w:pPr>
      <w:r>
        <w:t>5. 产品流程与Agent工具链</w:t>
      </w:r>
    </w:p>
    <w:tbl>
      <w:tblPr>
        <w:tblStyle w:val="TableGrid"/>
        <w:tblW w:type="dxa" w:w="9360"/>
        <w:jc w:val="left"/>
        <w:tblLayout w:type="fixed"/>
        <w:tblLook w:firstColumn="1" w:firstRow="1" w:lastColumn="0" w:lastRow="0" w:noHBand="0" w:noVBand="1" w:val="04A0"/>
        <w:tblInd w:w="120" w:type="dxa"/>
      </w:tblPr>
      <w:tblGrid>
        <w:gridCol w:w="750"/>
        <w:gridCol w:w="2550"/>
        <w:gridCol w:w="2600"/>
        <w:gridCol w:w="3460"/>
      </w:tblGrid>
      <w:tr>
        <w:trPr>
          <w:tblHeader w:val="true"/>
        </w:trPr>
        <w:tc>
          <w:tcPr>
            <w:tcW w:type="dxa" w:w="750"/>
            <w:shd w:fill="E8F4EF"/>
            <w:tcMar>
              <w:top w:w="80" w:type="dxa"/>
              <w:start w:w="120" w:type="dxa"/>
              <w:bottom w:w="80" w:type="dxa"/>
              <w:end w:w="120" w:type="dxa"/>
            </w:tcMar>
            <w:vAlign w:val="center"/>
          </w:tcPr>
          <w:p>
            <w:pPr>
              <w:spacing w:after="0"/>
            </w:pPr>
            <w:r>
              <w:rPr>
                <w:rFonts w:ascii="Calibri" w:hAnsi="Calibri" w:eastAsia="Microsoft YaHei"/>
                <w:b/>
                <w:color w:val="167B5A"/>
                <w:sz w:val="19"/>
              </w:rPr>
              <w:t>步骤</w:t>
            </w:r>
          </w:p>
        </w:tc>
        <w:tc>
          <w:tcPr>
            <w:tcW w:type="dxa" w:w="2550"/>
            <w:shd w:fill="E8F4EF"/>
            <w:tcMar>
              <w:top w:w="80" w:type="dxa"/>
              <w:start w:w="120" w:type="dxa"/>
              <w:bottom w:w="80" w:type="dxa"/>
              <w:end w:w="120" w:type="dxa"/>
            </w:tcMar>
            <w:vAlign w:val="center"/>
          </w:tcPr>
          <w:p>
            <w:pPr>
              <w:spacing w:after="0"/>
            </w:pPr>
            <w:r>
              <w:rPr>
                <w:rFonts w:ascii="Calibri" w:hAnsi="Calibri" w:eastAsia="Microsoft YaHei"/>
                <w:b/>
                <w:color w:val="167B5A"/>
                <w:sz w:val="19"/>
              </w:rPr>
              <w:t>工具</w:t>
            </w:r>
          </w:p>
        </w:tc>
        <w:tc>
          <w:tcPr>
            <w:tcW w:type="dxa" w:w="26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输入</w:t>
            </w:r>
          </w:p>
        </w:tc>
        <w:tc>
          <w:tcPr>
            <w:tcW w:type="dxa" w:w="34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输出</w:t>
            </w:r>
          </w:p>
        </w:tc>
      </w:tr>
      <w:tr>
        <w:tc>
          <w:tcPr>
            <w:tcW w:type="dxa" w:w="750"/>
            <w:tcMar>
              <w:top w:w="80" w:type="dxa"/>
              <w:start w:w="120" w:type="dxa"/>
              <w:bottom w:w="80" w:type="dxa"/>
              <w:end w:w="120" w:type="dxa"/>
            </w:tcMar>
            <w:vAlign w:val="center"/>
          </w:tcPr>
          <w:p>
            <w:pPr>
              <w:spacing w:after="0"/>
            </w:pPr>
            <w:r>
              <w:rPr>
                <w:rFonts w:ascii="Calibri" w:hAnsi="Calibri" w:eastAsia="Microsoft YaHei"/>
                <w:b w:val="0"/>
                <w:color w:val="17211D"/>
                <w:sz w:val="19"/>
              </w:rPr>
              <w:t>1</w:t>
            </w:r>
          </w:p>
        </w:tc>
        <w:tc>
          <w:tcPr>
            <w:tcW w:type="dxa" w:w="2550"/>
            <w:tcMar>
              <w:top w:w="80" w:type="dxa"/>
              <w:start w:w="120" w:type="dxa"/>
              <w:bottom w:w="80" w:type="dxa"/>
              <w:end w:w="120" w:type="dxa"/>
            </w:tcMar>
            <w:vAlign w:val="center"/>
          </w:tcPr>
          <w:p>
            <w:pPr>
              <w:spacing w:after="0"/>
            </w:pPr>
            <w:r>
              <w:rPr>
                <w:rFonts w:ascii="Calibri" w:hAnsi="Calibri" w:eastAsia="Microsoft YaHei"/>
                <w:b w:val="0"/>
                <w:color w:val="17211D"/>
                <w:sz w:val="19"/>
              </w:rPr>
              <w:t>get_user_profile</w:t>
            </w:r>
          </w:p>
        </w:tc>
        <w:tc>
          <w:tcPr>
            <w:tcW w:type="dxa" w:w="2600"/>
            <w:tcMar>
              <w:top w:w="80" w:type="dxa"/>
              <w:start w:w="120" w:type="dxa"/>
              <w:bottom w:w="80" w:type="dxa"/>
              <w:end w:w="120" w:type="dxa"/>
            </w:tcMar>
            <w:vAlign w:val="center"/>
          </w:tcPr>
          <w:p>
            <w:pPr>
              <w:spacing w:after="0"/>
            </w:pPr>
            <w:r>
              <w:rPr>
                <w:rFonts w:ascii="Calibri" w:hAnsi="Calibri" w:eastAsia="Microsoft YaHei"/>
                <w:b w:val="0"/>
                <w:color w:val="17211D"/>
                <w:sz w:val="19"/>
              </w:rPr>
              <w:t>匿名用户ID</w:t>
            </w:r>
          </w:p>
        </w:tc>
        <w:tc>
          <w:tcPr>
            <w:tcW w:type="dxa" w:w="3460"/>
            <w:tcMar>
              <w:top w:w="80" w:type="dxa"/>
              <w:start w:w="120" w:type="dxa"/>
              <w:bottom w:w="80" w:type="dxa"/>
              <w:end w:w="120" w:type="dxa"/>
            </w:tcMar>
            <w:vAlign w:val="center"/>
          </w:tcPr>
          <w:p>
            <w:pPr>
              <w:spacing w:after="0"/>
            </w:pPr>
            <w:r>
              <w:rPr>
                <w:rFonts w:ascii="Calibri" w:hAnsi="Calibri" w:eastAsia="Microsoft YaHei"/>
                <w:b w:val="0"/>
                <w:color w:val="17211D"/>
                <w:sz w:val="19"/>
              </w:rPr>
              <w:t>最近活跃行为与历史参与信息</w:t>
            </w:r>
          </w:p>
        </w:tc>
      </w:tr>
      <w:tr>
        <w:tc>
          <w:tcPr>
            <w:tcW w:type="dxa" w:w="750"/>
            <w:tcMar>
              <w:top w:w="80" w:type="dxa"/>
              <w:start w:w="120" w:type="dxa"/>
              <w:bottom w:w="80" w:type="dxa"/>
              <w:end w:w="120" w:type="dxa"/>
            </w:tcMar>
            <w:vAlign w:val="center"/>
          </w:tcPr>
          <w:p>
            <w:pPr>
              <w:spacing w:after="0"/>
            </w:pPr>
            <w:r>
              <w:rPr>
                <w:rFonts w:ascii="Calibri" w:hAnsi="Calibri" w:eastAsia="Microsoft YaHei"/>
                <w:b w:val="0"/>
                <w:color w:val="17211D"/>
                <w:sz w:val="19"/>
              </w:rPr>
              <w:t>2</w:t>
            </w:r>
          </w:p>
        </w:tc>
        <w:tc>
          <w:tcPr>
            <w:tcW w:type="dxa" w:w="2550"/>
            <w:tcMar>
              <w:top w:w="80" w:type="dxa"/>
              <w:start w:w="120" w:type="dxa"/>
              <w:bottom w:w="80" w:type="dxa"/>
              <w:end w:w="120" w:type="dxa"/>
            </w:tcMar>
            <w:vAlign w:val="center"/>
          </w:tcPr>
          <w:p>
            <w:pPr>
              <w:spacing w:after="0"/>
            </w:pPr>
            <w:r>
              <w:rPr>
                <w:rFonts w:ascii="Calibri" w:hAnsi="Calibri" w:eastAsia="Microsoft YaHei"/>
                <w:b w:val="0"/>
                <w:color w:val="17211D"/>
                <w:sz w:val="19"/>
              </w:rPr>
              <w:t>calculate_silence_risk</w:t>
            </w:r>
          </w:p>
        </w:tc>
        <w:tc>
          <w:tcPr>
            <w:tcW w:type="dxa" w:w="2600"/>
            <w:tcMar>
              <w:top w:w="80" w:type="dxa"/>
              <w:start w:w="120" w:type="dxa"/>
              <w:bottom w:w="80" w:type="dxa"/>
              <w:end w:w="120" w:type="dxa"/>
            </w:tcMar>
            <w:vAlign w:val="center"/>
          </w:tcPr>
          <w:p>
            <w:pPr>
              <w:spacing w:after="0"/>
            </w:pPr>
            <w:r>
              <w:rPr>
                <w:rFonts w:ascii="Calibri" w:hAnsi="Calibri" w:eastAsia="Microsoft YaHei"/>
                <w:b w:val="0"/>
                <w:color w:val="17211D"/>
                <w:sz w:val="19"/>
              </w:rPr>
              <w:t>用户特征</w:t>
            </w:r>
          </w:p>
        </w:tc>
        <w:tc>
          <w:tcPr>
            <w:tcW w:type="dxa" w:w="3460"/>
            <w:tcMar>
              <w:top w:w="80" w:type="dxa"/>
              <w:start w:w="120" w:type="dxa"/>
              <w:bottom w:w="80" w:type="dxa"/>
              <w:end w:w="120" w:type="dxa"/>
            </w:tcMar>
            <w:vAlign w:val="center"/>
          </w:tcPr>
          <w:p>
            <w:pPr>
              <w:spacing w:after="0"/>
            </w:pPr>
            <w:r>
              <w:rPr>
                <w:rFonts w:ascii="Calibri" w:hAnsi="Calibri" w:eastAsia="Microsoft YaHei"/>
                <w:b w:val="0"/>
                <w:color w:val="17211D"/>
                <w:sz w:val="19"/>
              </w:rPr>
              <w:t>风险分数、风险分层和模型版本</w:t>
            </w:r>
          </w:p>
        </w:tc>
      </w:tr>
      <w:tr>
        <w:tc>
          <w:tcPr>
            <w:tcW w:type="dxa" w:w="750"/>
            <w:tcMar>
              <w:top w:w="80" w:type="dxa"/>
              <w:start w:w="120" w:type="dxa"/>
              <w:bottom w:w="80" w:type="dxa"/>
              <w:end w:w="120" w:type="dxa"/>
            </w:tcMar>
            <w:vAlign w:val="center"/>
          </w:tcPr>
          <w:p>
            <w:pPr>
              <w:spacing w:after="0"/>
            </w:pPr>
            <w:r>
              <w:rPr>
                <w:rFonts w:ascii="Calibri" w:hAnsi="Calibri" w:eastAsia="Microsoft YaHei"/>
                <w:b w:val="0"/>
                <w:color w:val="17211D"/>
                <w:sz w:val="19"/>
              </w:rPr>
              <w:t>3</w:t>
            </w:r>
          </w:p>
        </w:tc>
        <w:tc>
          <w:tcPr>
            <w:tcW w:type="dxa" w:w="2550"/>
            <w:tcMar>
              <w:top w:w="80" w:type="dxa"/>
              <w:start w:w="120" w:type="dxa"/>
              <w:bottom w:w="80" w:type="dxa"/>
              <w:end w:w="120" w:type="dxa"/>
            </w:tcMar>
            <w:vAlign w:val="center"/>
          </w:tcPr>
          <w:p>
            <w:pPr>
              <w:spacing w:after="0"/>
            </w:pPr>
            <w:r>
              <w:rPr>
                <w:rFonts w:ascii="Calibri" w:hAnsi="Calibri" w:eastAsia="Microsoft YaHei"/>
                <w:b w:val="0"/>
                <w:color w:val="17211D"/>
                <w:sz w:val="19"/>
              </w:rPr>
              <w:t>explain_risk_factors</w:t>
            </w:r>
          </w:p>
        </w:tc>
        <w:tc>
          <w:tcPr>
            <w:tcW w:type="dxa" w:w="2600"/>
            <w:tcMar>
              <w:top w:w="80" w:type="dxa"/>
              <w:start w:w="120" w:type="dxa"/>
              <w:bottom w:w="80" w:type="dxa"/>
              <w:end w:w="120" w:type="dxa"/>
            </w:tcMar>
            <w:vAlign w:val="center"/>
          </w:tcPr>
          <w:p>
            <w:pPr>
              <w:spacing w:after="0"/>
            </w:pPr>
            <w:r>
              <w:rPr>
                <w:rFonts w:ascii="Calibri" w:hAnsi="Calibri" w:eastAsia="Microsoft YaHei"/>
                <w:b w:val="0"/>
                <w:color w:val="17211D"/>
                <w:sz w:val="19"/>
              </w:rPr>
              <w:t>标准化特征贡献</w:t>
            </w:r>
          </w:p>
        </w:tc>
        <w:tc>
          <w:tcPr>
            <w:tcW w:type="dxa" w:w="3460"/>
            <w:tcMar>
              <w:top w:w="80" w:type="dxa"/>
              <w:start w:w="120" w:type="dxa"/>
              <w:bottom w:w="80" w:type="dxa"/>
              <w:end w:w="120" w:type="dxa"/>
            </w:tcMar>
            <w:vAlign w:val="center"/>
          </w:tcPr>
          <w:p>
            <w:pPr>
              <w:spacing w:after="0"/>
            </w:pPr>
            <w:r>
              <w:rPr>
                <w:rFonts w:ascii="Calibri" w:hAnsi="Calibri" w:eastAsia="Microsoft YaHei"/>
                <w:b w:val="0"/>
                <w:color w:val="17211D"/>
                <w:sz w:val="19"/>
              </w:rPr>
              <w:t>风险信号、保护信号及证据</w:t>
            </w:r>
          </w:p>
        </w:tc>
      </w:tr>
      <w:tr>
        <w:tc>
          <w:tcPr>
            <w:tcW w:type="dxa" w:w="750"/>
            <w:tcMar>
              <w:top w:w="80" w:type="dxa"/>
              <w:start w:w="120" w:type="dxa"/>
              <w:bottom w:w="80" w:type="dxa"/>
              <w:end w:w="120" w:type="dxa"/>
            </w:tcMar>
            <w:vAlign w:val="center"/>
          </w:tcPr>
          <w:p>
            <w:pPr>
              <w:spacing w:after="0"/>
            </w:pPr>
            <w:r>
              <w:rPr>
                <w:rFonts w:ascii="Calibri" w:hAnsi="Calibri" w:eastAsia="Microsoft YaHei"/>
                <w:b w:val="0"/>
                <w:color w:val="17211D"/>
                <w:sz w:val="19"/>
              </w:rPr>
              <w:t>4</w:t>
            </w:r>
          </w:p>
        </w:tc>
        <w:tc>
          <w:tcPr>
            <w:tcW w:type="dxa" w:w="2550"/>
            <w:tcMar>
              <w:top w:w="80" w:type="dxa"/>
              <w:start w:w="120" w:type="dxa"/>
              <w:bottom w:w="80" w:type="dxa"/>
              <w:end w:w="120" w:type="dxa"/>
            </w:tcMar>
            <w:vAlign w:val="center"/>
          </w:tcPr>
          <w:p>
            <w:pPr>
              <w:spacing w:after="0"/>
            </w:pPr>
            <w:r>
              <w:rPr>
                <w:rFonts w:ascii="Calibri" w:hAnsi="Calibri" w:eastAsia="Microsoft YaHei"/>
                <w:b w:val="0"/>
                <w:color w:val="17211D"/>
                <w:sz w:val="19"/>
              </w:rPr>
              <w:t>generate_operation_actions</w:t>
            </w:r>
          </w:p>
        </w:tc>
        <w:tc>
          <w:tcPr>
            <w:tcW w:type="dxa" w:w="2600"/>
            <w:tcMar>
              <w:top w:w="80" w:type="dxa"/>
              <w:start w:w="120" w:type="dxa"/>
              <w:bottom w:w="80" w:type="dxa"/>
              <w:end w:w="120" w:type="dxa"/>
            </w:tcMar>
            <w:vAlign w:val="center"/>
          </w:tcPr>
          <w:p>
            <w:pPr>
              <w:spacing w:after="0"/>
            </w:pPr>
            <w:r>
              <w:rPr>
                <w:rFonts w:ascii="Calibri" w:hAnsi="Calibri" w:eastAsia="Microsoft YaHei"/>
                <w:b w:val="0"/>
                <w:color w:val="17211D"/>
                <w:sz w:val="19"/>
              </w:rPr>
              <w:t>用户状态与风险因素</w:t>
            </w:r>
          </w:p>
        </w:tc>
        <w:tc>
          <w:tcPr>
            <w:tcW w:type="dxa" w:w="3460"/>
            <w:tcMar>
              <w:top w:w="80" w:type="dxa"/>
              <w:start w:w="120" w:type="dxa"/>
              <w:bottom w:w="80" w:type="dxa"/>
              <w:end w:w="120" w:type="dxa"/>
            </w:tcMar>
            <w:vAlign w:val="center"/>
          </w:tcPr>
          <w:p>
            <w:pPr>
              <w:spacing w:after="0"/>
            </w:pPr>
            <w:r>
              <w:rPr>
                <w:rFonts w:ascii="Calibri" w:hAnsi="Calibri" w:eastAsia="Microsoft YaHei"/>
                <w:b w:val="0"/>
                <w:color w:val="17211D"/>
                <w:sz w:val="19"/>
              </w:rPr>
              <w:t>任务推荐、资源补充和召回建议</w:t>
            </w:r>
          </w:p>
        </w:tc>
      </w:tr>
      <w:tr>
        <w:tc>
          <w:tcPr>
            <w:tcW w:type="dxa" w:w="750"/>
            <w:tcMar>
              <w:top w:w="80" w:type="dxa"/>
              <w:start w:w="120" w:type="dxa"/>
              <w:bottom w:w="80" w:type="dxa"/>
              <w:end w:w="120" w:type="dxa"/>
            </w:tcMar>
            <w:vAlign w:val="center"/>
          </w:tcPr>
          <w:p>
            <w:pPr>
              <w:spacing w:after="0"/>
            </w:pPr>
            <w:r>
              <w:rPr>
                <w:rFonts w:ascii="Calibri" w:hAnsi="Calibri" w:eastAsia="Microsoft YaHei"/>
                <w:b w:val="0"/>
                <w:color w:val="17211D"/>
                <w:sz w:val="19"/>
              </w:rPr>
              <w:t>5</w:t>
            </w:r>
          </w:p>
        </w:tc>
        <w:tc>
          <w:tcPr>
            <w:tcW w:type="dxa" w:w="2550"/>
            <w:tcMar>
              <w:top w:w="80" w:type="dxa"/>
              <w:start w:w="120" w:type="dxa"/>
              <w:bottom w:w="80" w:type="dxa"/>
              <w:end w:w="120" w:type="dxa"/>
            </w:tcMar>
            <w:vAlign w:val="center"/>
          </w:tcPr>
          <w:p>
            <w:pPr>
              <w:spacing w:after="0"/>
            </w:pPr>
            <w:r>
              <w:rPr>
                <w:rFonts w:ascii="Calibri" w:hAnsi="Calibri" w:eastAsia="Microsoft YaHei"/>
                <w:b w:val="0"/>
                <w:color w:val="17211D"/>
                <w:sz w:val="19"/>
              </w:rPr>
              <w:t>human_review</w:t>
            </w:r>
          </w:p>
        </w:tc>
        <w:tc>
          <w:tcPr>
            <w:tcW w:type="dxa" w:w="2600"/>
            <w:tcMar>
              <w:top w:w="80" w:type="dxa"/>
              <w:start w:w="120" w:type="dxa"/>
              <w:bottom w:w="80" w:type="dxa"/>
              <w:end w:w="120" w:type="dxa"/>
            </w:tcMar>
            <w:vAlign w:val="center"/>
          </w:tcPr>
          <w:p>
            <w:pPr>
              <w:spacing w:after="0"/>
            </w:pPr>
            <w:r>
              <w:rPr>
                <w:rFonts w:ascii="Calibri" w:hAnsi="Calibri" w:eastAsia="Microsoft YaHei"/>
                <w:b w:val="0"/>
                <w:color w:val="17211D"/>
                <w:sz w:val="19"/>
              </w:rPr>
              <w:t>Agent建议</w:t>
            </w:r>
          </w:p>
        </w:tc>
        <w:tc>
          <w:tcPr>
            <w:tcW w:type="dxa" w:w="3460"/>
            <w:tcMar>
              <w:top w:w="80" w:type="dxa"/>
              <w:start w:w="120" w:type="dxa"/>
              <w:bottom w:w="80" w:type="dxa"/>
              <w:end w:w="120" w:type="dxa"/>
            </w:tcMar>
            <w:vAlign w:val="center"/>
          </w:tcPr>
          <w:p>
            <w:pPr>
              <w:spacing w:after="0"/>
            </w:pPr>
            <w:r>
              <w:rPr>
                <w:rFonts w:ascii="Calibri" w:hAnsi="Calibri" w:eastAsia="Microsoft YaHei"/>
                <w:b w:val="0"/>
                <w:color w:val="17211D"/>
                <w:sz w:val="19"/>
              </w:rPr>
              <w:t>通过、修改或退回补充信息</w:t>
            </w:r>
          </w:p>
        </w:tc>
      </w:tr>
    </w:tbl>
    <w:p>
      <w:pPr>
        <w:spacing w:after="0"/>
      </w:pPr>
    </w:p>
    <w:p>
      <w:pPr>
        <w:pStyle w:val="Heading1"/>
        <w:keepNext/>
      </w:pPr>
      <w:r>
        <w:t>6. 功能需求与验收标准</w:t>
      </w:r>
    </w:p>
    <w:tbl>
      <w:tblPr>
        <w:tblStyle w:val="TableGrid"/>
        <w:tblW w:type="dxa" w:w="9360"/>
        <w:jc w:val="left"/>
        <w:tblLayout w:type="fixed"/>
        <w:tblLook w:firstColumn="1" w:firstRow="1" w:lastColumn="0" w:lastRow="0" w:noHBand="0" w:noVBand="1" w:val="04A0"/>
        <w:tblInd w:w="120" w:type="dxa"/>
      </w:tblPr>
      <w:tblGrid>
        <w:gridCol w:w="850"/>
        <w:gridCol w:w="1500"/>
        <w:gridCol w:w="3510"/>
        <w:gridCol w:w="3500"/>
      </w:tblGrid>
      <w:tr>
        <w:trPr>
          <w:tblHeader w:val="true"/>
        </w:trPr>
        <w:tc>
          <w:tcPr>
            <w:tcW w:type="dxa" w:w="850"/>
            <w:shd w:fill="E8F4EF"/>
            <w:tcMar>
              <w:top w:w="80" w:type="dxa"/>
              <w:start w:w="120" w:type="dxa"/>
              <w:bottom w:w="80" w:type="dxa"/>
              <w:end w:w="120" w:type="dxa"/>
            </w:tcMar>
            <w:vAlign w:val="center"/>
          </w:tcPr>
          <w:p>
            <w:pPr>
              <w:spacing w:after="0"/>
            </w:pPr>
            <w:r>
              <w:rPr>
                <w:rFonts w:ascii="Calibri" w:hAnsi="Calibri" w:eastAsia="Microsoft YaHei"/>
                <w:b/>
                <w:color w:val="167B5A"/>
                <w:sz w:val="19"/>
              </w:rPr>
              <w:t>优先级</w:t>
            </w:r>
          </w:p>
        </w:tc>
        <w:tc>
          <w:tcPr>
            <w:tcW w:type="dxa" w:w="15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功能</w:t>
            </w:r>
          </w:p>
        </w:tc>
        <w:tc>
          <w:tcPr>
            <w:tcW w:type="dxa" w:w="3510"/>
            <w:shd w:fill="E8F4EF"/>
            <w:tcMar>
              <w:top w:w="80" w:type="dxa"/>
              <w:start w:w="120" w:type="dxa"/>
              <w:bottom w:w="80" w:type="dxa"/>
              <w:end w:w="120" w:type="dxa"/>
            </w:tcMar>
            <w:vAlign w:val="center"/>
          </w:tcPr>
          <w:p>
            <w:pPr>
              <w:spacing w:after="0"/>
            </w:pPr>
            <w:r>
              <w:rPr>
                <w:rFonts w:ascii="Calibri" w:hAnsi="Calibri" w:eastAsia="Microsoft YaHei"/>
                <w:b/>
                <w:color w:val="167B5A"/>
                <w:sz w:val="19"/>
              </w:rPr>
              <w:t>需求说明</w:t>
            </w:r>
          </w:p>
        </w:tc>
        <w:tc>
          <w:tcPr>
            <w:tcW w:type="dxa" w:w="35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验收标准</w:t>
            </w:r>
          </w:p>
        </w:tc>
      </w:tr>
      <w:tr>
        <w:tc>
          <w:tcPr>
            <w:tcW w:type="dxa" w:w="850"/>
            <w:tcMar>
              <w:top w:w="80" w:type="dxa"/>
              <w:start w:w="120" w:type="dxa"/>
              <w:bottom w:w="80" w:type="dxa"/>
              <w:end w:w="120" w:type="dxa"/>
            </w:tcMar>
            <w:vAlign w:val="center"/>
          </w:tcPr>
          <w:p>
            <w:pPr>
              <w:spacing w:after="0"/>
            </w:pPr>
            <w:r>
              <w:rPr>
                <w:rFonts w:ascii="Calibri" w:hAnsi="Calibri" w:eastAsia="Microsoft YaHei"/>
                <w:b w:val="0"/>
                <w:color w:val="17211D"/>
                <w:sz w:val="19"/>
              </w:rPr>
              <w:t>P0</w:t>
            </w:r>
          </w:p>
        </w:tc>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风险队列</w:t>
            </w:r>
          </w:p>
        </w:tc>
        <w:tc>
          <w:tcPr>
            <w:tcW w:type="dxa" w:w="3510"/>
            <w:tcMar>
              <w:top w:w="80" w:type="dxa"/>
              <w:start w:w="120" w:type="dxa"/>
              <w:bottom w:w="80" w:type="dxa"/>
              <w:end w:w="120" w:type="dxa"/>
            </w:tcMar>
            <w:vAlign w:val="center"/>
          </w:tcPr>
          <w:p>
            <w:pPr>
              <w:spacing w:after="0"/>
            </w:pPr>
            <w:r>
              <w:rPr>
                <w:rFonts w:ascii="Calibri" w:hAnsi="Calibri" w:eastAsia="Microsoft YaHei"/>
                <w:b w:val="0"/>
                <w:color w:val="17211D"/>
                <w:sz w:val="19"/>
              </w:rPr>
              <w:t>支持按高/中/低风险筛选，并按分数降序展示匿名用户。</w:t>
            </w:r>
          </w:p>
        </w:tc>
        <w:tc>
          <w:tcPr>
            <w:tcW w:type="dxa" w:w="3500"/>
            <w:tcMar>
              <w:top w:w="80" w:type="dxa"/>
              <w:start w:w="120" w:type="dxa"/>
              <w:bottom w:w="80" w:type="dxa"/>
              <w:end w:w="120" w:type="dxa"/>
            </w:tcMar>
            <w:vAlign w:val="center"/>
          </w:tcPr>
          <w:p>
            <w:pPr>
              <w:spacing w:after="0"/>
            </w:pPr>
            <w:r>
              <w:rPr>
                <w:rFonts w:ascii="Calibri" w:hAnsi="Calibri" w:eastAsia="Microsoft YaHei"/>
                <w:b w:val="0"/>
                <w:color w:val="17211D"/>
                <w:sz w:val="19"/>
              </w:rPr>
              <w:t>筛选结果与模型输出一致；不暴露原始用户ID。</w:t>
            </w:r>
          </w:p>
        </w:tc>
      </w:tr>
      <w:tr>
        <w:tc>
          <w:tcPr>
            <w:tcW w:type="dxa" w:w="850"/>
            <w:tcMar>
              <w:top w:w="80" w:type="dxa"/>
              <w:start w:w="120" w:type="dxa"/>
              <w:bottom w:w="80" w:type="dxa"/>
              <w:end w:w="120" w:type="dxa"/>
            </w:tcMar>
            <w:vAlign w:val="center"/>
          </w:tcPr>
          <w:p>
            <w:pPr>
              <w:spacing w:after="0"/>
            </w:pPr>
            <w:r>
              <w:rPr>
                <w:rFonts w:ascii="Calibri" w:hAnsi="Calibri" w:eastAsia="Microsoft YaHei"/>
                <w:b w:val="0"/>
                <w:color w:val="17211D"/>
                <w:sz w:val="19"/>
              </w:rPr>
              <w:t>P0</w:t>
            </w:r>
          </w:p>
        </w:tc>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用户诊断</w:t>
            </w:r>
          </w:p>
        </w:tc>
        <w:tc>
          <w:tcPr>
            <w:tcW w:type="dxa" w:w="3510"/>
            <w:tcMar>
              <w:top w:w="80" w:type="dxa"/>
              <w:start w:w="120" w:type="dxa"/>
              <w:bottom w:w="80" w:type="dxa"/>
              <w:end w:w="120" w:type="dxa"/>
            </w:tcMar>
            <w:vAlign w:val="center"/>
          </w:tcPr>
          <w:p>
            <w:pPr>
              <w:spacing w:after="0"/>
            </w:pPr>
            <w:r>
              <w:rPr>
                <w:rFonts w:ascii="Calibri" w:hAnsi="Calibri" w:eastAsia="Microsoft YaHei"/>
                <w:b w:val="0"/>
                <w:color w:val="17211D"/>
                <w:sz w:val="19"/>
              </w:rPr>
              <w:t>展示最近活跃行为、风险分数和4项主要模型贡献。</w:t>
            </w:r>
          </w:p>
        </w:tc>
        <w:tc>
          <w:tcPr>
            <w:tcW w:type="dxa" w:w="3500"/>
            <w:tcMar>
              <w:top w:w="80" w:type="dxa"/>
              <w:start w:w="120" w:type="dxa"/>
              <w:bottom w:w="80" w:type="dxa"/>
              <w:end w:w="120" w:type="dxa"/>
            </w:tcMar>
            <w:vAlign w:val="center"/>
          </w:tcPr>
          <w:p>
            <w:pPr>
              <w:spacing w:after="0"/>
            </w:pPr>
            <w:r>
              <w:rPr>
                <w:rFonts w:ascii="Calibri" w:hAnsi="Calibri" w:eastAsia="Microsoft YaHei"/>
                <w:b w:val="0"/>
                <w:color w:val="17211D"/>
                <w:sz w:val="19"/>
              </w:rPr>
              <w:t>每项因素包含方向和贡献值；缺失信息需明确标识。</w:t>
            </w:r>
          </w:p>
        </w:tc>
      </w:tr>
      <w:tr>
        <w:tc>
          <w:tcPr>
            <w:tcW w:type="dxa" w:w="850"/>
            <w:tcMar>
              <w:top w:w="80" w:type="dxa"/>
              <w:start w:w="120" w:type="dxa"/>
              <w:bottom w:w="80" w:type="dxa"/>
              <w:end w:w="120" w:type="dxa"/>
            </w:tcMar>
            <w:vAlign w:val="center"/>
          </w:tcPr>
          <w:p>
            <w:pPr>
              <w:spacing w:after="0"/>
            </w:pPr>
            <w:r>
              <w:rPr>
                <w:rFonts w:ascii="Calibri" w:hAnsi="Calibri" w:eastAsia="Microsoft YaHei"/>
                <w:b w:val="0"/>
                <w:color w:val="17211D"/>
                <w:sz w:val="19"/>
              </w:rPr>
              <w:t>P0</w:t>
            </w:r>
          </w:p>
        </w:tc>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Agent分析</w:t>
            </w:r>
          </w:p>
        </w:tc>
        <w:tc>
          <w:tcPr>
            <w:tcW w:type="dxa" w:w="3510"/>
            <w:tcMar>
              <w:top w:w="80" w:type="dxa"/>
              <w:start w:w="120" w:type="dxa"/>
              <w:bottom w:w="80" w:type="dxa"/>
              <w:end w:w="120" w:type="dxa"/>
            </w:tcMar>
            <w:vAlign w:val="center"/>
          </w:tcPr>
          <w:p>
            <w:pPr>
              <w:spacing w:after="0"/>
            </w:pPr>
            <w:r>
              <w:rPr>
                <w:rFonts w:ascii="Calibri" w:hAnsi="Calibri" w:eastAsia="Microsoft YaHei"/>
                <w:b w:val="0"/>
                <w:color w:val="17211D"/>
                <w:sz w:val="19"/>
              </w:rPr>
              <w:t>按顺序调用画像、计算、解释和策略工具。</w:t>
            </w:r>
          </w:p>
        </w:tc>
        <w:tc>
          <w:tcPr>
            <w:tcW w:type="dxa" w:w="3500"/>
            <w:tcMar>
              <w:top w:w="80" w:type="dxa"/>
              <w:start w:w="120" w:type="dxa"/>
              <w:bottom w:w="80" w:type="dxa"/>
              <w:end w:w="120" w:type="dxa"/>
            </w:tcMar>
            <w:vAlign w:val="center"/>
          </w:tcPr>
          <w:p>
            <w:pPr>
              <w:spacing w:after="0"/>
            </w:pPr>
            <w:r>
              <w:rPr>
                <w:rFonts w:ascii="Calibri" w:hAnsi="Calibri" w:eastAsia="Microsoft YaHei"/>
                <w:b w:val="0"/>
                <w:color w:val="17211D"/>
                <w:sz w:val="19"/>
              </w:rPr>
              <w:t>输出工具调用轨迹；建议默认标记人工复核。</w:t>
            </w:r>
          </w:p>
        </w:tc>
      </w:tr>
      <w:tr>
        <w:tc>
          <w:tcPr>
            <w:tcW w:type="dxa" w:w="850"/>
            <w:tcMar>
              <w:top w:w="80" w:type="dxa"/>
              <w:start w:w="120" w:type="dxa"/>
              <w:bottom w:w="80" w:type="dxa"/>
              <w:end w:w="120" w:type="dxa"/>
            </w:tcMar>
            <w:vAlign w:val="center"/>
          </w:tcPr>
          <w:p>
            <w:pPr>
              <w:spacing w:after="0"/>
            </w:pPr>
            <w:r>
              <w:rPr>
                <w:rFonts w:ascii="Calibri" w:hAnsi="Calibri" w:eastAsia="Microsoft YaHei"/>
                <w:b w:val="0"/>
                <w:color w:val="17211D"/>
                <w:sz w:val="19"/>
              </w:rPr>
              <w:t>P1</w:t>
            </w:r>
          </w:p>
        </w:tc>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模型评测</w:t>
            </w:r>
          </w:p>
        </w:tc>
        <w:tc>
          <w:tcPr>
            <w:tcW w:type="dxa" w:w="3510"/>
            <w:tcMar>
              <w:top w:w="80" w:type="dxa"/>
              <w:start w:w="120" w:type="dxa"/>
              <w:bottom w:w="80" w:type="dxa"/>
              <w:end w:w="120" w:type="dxa"/>
            </w:tcMar>
            <w:vAlign w:val="center"/>
          </w:tcPr>
          <w:p>
            <w:pPr>
              <w:spacing w:after="0"/>
            </w:pPr>
            <w:r>
              <w:rPr>
                <w:rFonts w:ascii="Calibri" w:hAnsi="Calibri" w:eastAsia="Microsoft YaHei"/>
                <w:b w:val="0"/>
                <w:color w:val="17211D"/>
                <w:sz w:val="19"/>
              </w:rPr>
              <w:t>展示样本、AUC、准确率、召回率、F1和Brier分数。</w:t>
            </w:r>
          </w:p>
        </w:tc>
        <w:tc>
          <w:tcPr>
            <w:tcW w:type="dxa" w:w="3500"/>
            <w:tcMar>
              <w:top w:w="80" w:type="dxa"/>
              <w:start w:w="120" w:type="dxa"/>
              <w:bottom w:w="80" w:type="dxa"/>
              <w:end w:w="120" w:type="dxa"/>
            </w:tcMar>
            <w:vAlign w:val="center"/>
          </w:tcPr>
          <w:p>
            <w:pPr>
              <w:spacing w:after="0"/>
            </w:pPr>
            <w:r>
              <w:rPr>
                <w:rFonts w:ascii="Calibri" w:hAnsi="Calibri" w:eastAsia="Microsoft YaHei"/>
                <w:b w:val="0"/>
                <w:color w:val="17211D"/>
                <w:sz w:val="19"/>
              </w:rPr>
              <w:t>指标与离线评测文件一致，并显示时间切分区间。</w:t>
            </w:r>
          </w:p>
        </w:tc>
      </w:tr>
      <w:tr>
        <w:tc>
          <w:tcPr>
            <w:tcW w:type="dxa" w:w="850"/>
            <w:tcMar>
              <w:top w:w="80" w:type="dxa"/>
              <w:start w:w="120" w:type="dxa"/>
              <w:bottom w:w="80" w:type="dxa"/>
              <w:end w:w="120" w:type="dxa"/>
            </w:tcMar>
            <w:vAlign w:val="center"/>
          </w:tcPr>
          <w:p>
            <w:pPr>
              <w:spacing w:after="0"/>
            </w:pPr>
            <w:r>
              <w:rPr>
                <w:rFonts w:ascii="Calibri" w:hAnsi="Calibri" w:eastAsia="Microsoft YaHei"/>
                <w:b w:val="0"/>
                <w:color w:val="17211D"/>
                <w:sz w:val="19"/>
              </w:rPr>
              <w:t>P1</w:t>
            </w:r>
          </w:p>
        </w:tc>
        <w:tc>
          <w:tcPr>
            <w:tcW w:type="dxa" w:w="1500"/>
            <w:tcMar>
              <w:top w:w="80" w:type="dxa"/>
              <w:start w:w="120" w:type="dxa"/>
              <w:bottom w:w="80" w:type="dxa"/>
              <w:end w:w="120" w:type="dxa"/>
            </w:tcMar>
            <w:vAlign w:val="center"/>
          </w:tcPr>
          <w:p>
            <w:pPr>
              <w:spacing w:after="0"/>
            </w:pPr>
            <w:r>
              <w:rPr>
                <w:rFonts w:ascii="Calibri" w:hAnsi="Calibri" w:eastAsia="Microsoft YaHei"/>
                <w:b w:val="0"/>
                <w:color w:val="17211D"/>
                <w:sz w:val="19"/>
              </w:rPr>
              <w:t>搜索</w:t>
            </w:r>
          </w:p>
        </w:tc>
        <w:tc>
          <w:tcPr>
            <w:tcW w:type="dxa" w:w="3510"/>
            <w:tcMar>
              <w:top w:w="80" w:type="dxa"/>
              <w:start w:w="120" w:type="dxa"/>
              <w:bottom w:w="80" w:type="dxa"/>
              <w:end w:w="120" w:type="dxa"/>
            </w:tcMar>
            <w:vAlign w:val="center"/>
          </w:tcPr>
          <w:p>
            <w:pPr>
              <w:spacing w:after="0"/>
            </w:pPr>
            <w:r>
              <w:rPr>
                <w:rFonts w:ascii="Calibri" w:hAnsi="Calibri" w:eastAsia="Microsoft YaHei"/>
                <w:b w:val="0"/>
                <w:color w:val="17211D"/>
                <w:sz w:val="19"/>
              </w:rPr>
              <w:t>支持按匿名用户ID检索。</w:t>
            </w:r>
          </w:p>
        </w:tc>
        <w:tc>
          <w:tcPr>
            <w:tcW w:type="dxa" w:w="3500"/>
            <w:tcMar>
              <w:top w:w="80" w:type="dxa"/>
              <w:start w:w="120" w:type="dxa"/>
              <w:bottom w:w="80" w:type="dxa"/>
              <w:end w:w="120" w:type="dxa"/>
            </w:tcMar>
            <w:vAlign w:val="center"/>
          </w:tcPr>
          <w:p>
            <w:pPr>
              <w:spacing w:after="0"/>
            </w:pPr>
            <w:r>
              <w:rPr>
                <w:rFonts w:ascii="Calibri" w:hAnsi="Calibri" w:eastAsia="Microsoft YaHei"/>
                <w:b w:val="0"/>
                <w:color w:val="17211D"/>
                <w:sz w:val="19"/>
              </w:rPr>
              <w:t>输入部分ID能够返回匹配用户。</w:t>
            </w:r>
          </w:p>
        </w:tc>
      </w:tr>
    </w:tbl>
    <w:p>
      <w:pPr>
        <w:spacing w:after="0"/>
      </w:pPr>
    </w:p>
    <w:p>
      <w:r>
        <w:br w:type="page"/>
      </w:r>
    </w:p>
    <w:p>
      <w:pPr>
        <w:pStyle w:val="Heading1"/>
        <w:keepNext/>
      </w:pPr>
      <w:r>
        <w:t>7. 数据与模型方案</w:t>
      </w:r>
    </w:p>
    <w:p>
      <w:pPr>
        <w:spacing w:after="120" w:line="300" w:lineRule="auto"/>
      </w:pPr>
      <w:r>
        <w:rPr>
          <w:rFonts w:ascii="Calibri" w:hAnsi="Calibri" w:eastAsia="Microsoft YaHei"/>
          <w:b/>
          <w:color w:val="17211D"/>
          <w:sz w:val="22"/>
        </w:rPr>
        <w:t>数据规模：</w:t>
      </w:r>
      <w:r>
        <w:rPr>
          <w:rFonts w:ascii="Calibri" w:hAnsi="Calibri" w:eastAsia="Microsoft YaHei"/>
          <w:b w:val="0"/>
          <w:color w:val="17211D"/>
          <w:sz w:val="22"/>
        </w:rPr>
        <w:t>原始用户月度面板共62,471行、1,000名用户；用于产品风险建模的样本限定为当前月活跃且具有完整未来观察窗口，共2,306行、975名用户。</w:t>
      </w:r>
    </w:p>
    <w:p>
      <w:pPr>
        <w:spacing w:after="120" w:line="300" w:lineRule="auto"/>
      </w:pPr>
      <w:r>
        <w:rPr>
          <w:rFonts w:ascii="Calibri" w:hAnsi="Calibri" w:eastAsia="Microsoft YaHei"/>
          <w:b/>
          <w:color w:val="17211D"/>
          <w:sz w:val="22"/>
        </w:rPr>
        <w:t>特征设计：</w:t>
      </w:r>
      <w:r>
        <w:rPr>
          <w:rFonts w:ascii="Calibri" w:hAnsi="Calibri" w:eastAsia="Microsoft YaHei"/>
          <w:b w:val="0"/>
          <w:color w:val="17211D"/>
          <w:sz w:val="22"/>
        </w:rPr>
        <w:t>包含当月提交、活跃天数、参与竞赛数、近期活跃动量、历史月均提交、竞赛资源连接、投入与动量错配、历史参与时长和累计提交。</w:t>
      </w:r>
    </w:p>
    <w:p>
      <w:pPr>
        <w:spacing w:after="120" w:line="300" w:lineRule="auto"/>
      </w:pPr>
      <w:r>
        <w:rPr>
          <w:rFonts w:ascii="Calibri" w:hAnsi="Calibri" w:eastAsia="Microsoft YaHei"/>
          <w:b/>
          <w:color w:val="17211D"/>
          <w:sz w:val="22"/>
        </w:rPr>
        <w:t>模型方案：</w:t>
      </w:r>
      <w:r>
        <w:rPr>
          <w:rFonts w:ascii="Calibri" w:hAnsi="Calibri" w:eastAsia="Microsoft YaHei"/>
          <w:b w:val="0"/>
          <w:color w:val="17211D"/>
          <w:sz w:val="22"/>
        </w:rPr>
        <w:t>使用L2正则逻辑回归进行风险排序；训练集缺失值以训练中位数填充，并将缺失状态作为独立特征。解释层展示标准化特征贡献，不将其描述为因果效应。</w:t>
      </w:r>
    </w:p>
    <w:p>
      <w:pPr>
        <w:pStyle w:val="Heading1"/>
        <w:keepNext/>
      </w:pPr>
      <w:r>
        <w:t>8. 离线评测结果</w:t>
      </w:r>
    </w:p>
    <w:tbl>
      <w:tblPr>
        <w:tblStyle w:val="TableGrid"/>
        <w:tblW w:type="dxa" w:w="9360"/>
        <w:jc w:val="left"/>
        <w:tblLayout w:type="fixed"/>
        <w:tblLook w:firstColumn="1" w:firstRow="1" w:lastColumn="0" w:lastRow="0" w:noHBand="0" w:noVBand="1" w:val="04A0"/>
        <w:tblInd w:w="120" w:type="dxa"/>
      </w:tblPr>
      <w:tblGrid>
        <w:gridCol w:w="1700"/>
        <w:gridCol w:w="1700"/>
        <w:gridCol w:w="2200"/>
        <w:gridCol w:w="3760"/>
      </w:tblGrid>
      <w:tr>
        <w:trPr>
          <w:tblHeader w:val="true"/>
        </w:trPr>
        <w:tc>
          <w:tcPr>
            <w:tcW w:type="dxa" w:w="17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指标</w:t>
            </w:r>
          </w:p>
        </w:tc>
        <w:tc>
          <w:tcPr>
            <w:tcW w:type="dxa" w:w="17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模型</w:t>
            </w:r>
          </w:p>
        </w:tc>
        <w:tc>
          <w:tcPr>
            <w:tcW w:type="dxa" w:w="22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统一概率基线</w:t>
            </w:r>
          </w:p>
        </w:tc>
        <w:tc>
          <w:tcPr>
            <w:tcW w:type="dxa" w:w="37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说明</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ROC AUC</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0.777</w:t>
            </w:r>
          </w:p>
        </w:tc>
        <w:tc>
          <w:tcPr>
            <w:tcW w:type="dxa" w:w="2200"/>
            <w:tcMar>
              <w:top w:w="80" w:type="dxa"/>
              <w:start w:w="120" w:type="dxa"/>
              <w:bottom w:w="80" w:type="dxa"/>
              <w:end w:w="120" w:type="dxa"/>
            </w:tcMar>
            <w:vAlign w:val="center"/>
          </w:tcPr>
          <w:p>
            <w:pPr>
              <w:spacing w:after="0"/>
            </w:pPr>
            <w:r>
              <w:rPr>
                <w:rFonts w:ascii="Calibri" w:hAnsi="Calibri" w:eastAsia="Microsoft YaHei"/>
                <w:b w:val="0"/>
                <w:color w:val="17211D"/>
                <w:sz w:val="19"/>
              </w:rPr>
              <w:t>0.500</w:t>
            </w:r>
          </w:p>
        </w:tc>
        <w:tc>
          <w:tcPr>
            <w:tcW w:type="dxa" w:w="3760"/>
            <w:tcMar>
              <w:top w:w="80" w:type="dxa"/>
              <w:start w:w="120" w:type="dxa"/>
              <w:bottom w:w="80" w:type="dxa"/>
              <w:end w:w="120" w:type="dxa"/>
            </w:tcMar>
            <w:vAlign w:val="center"/>
          </w:tcPr>
          <w:p>
            <w:pPr>
              <w:spacing w:after="0"/>
            </w:pPr>
            <w:r>
              <w:rPr>
                <w:rFonts w:ascii="Calibri" w:hAnsi="Calibri" w:eastAsia="Microsoft YaHei"/>
                <w:b w:val="0"/>
                <w:color w:val="17211D"/>
                <w:sz w:val="19"/>
              </w:rPr>
              <w:t>衡量风险排序能力</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准确率</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0.736</w:t>
            </w:r>
          </w:p>
        </w:tc>
        <w:tc>
          <w:tcPr>
            <w:tcW w:type="dxa" w:w="2200"/>
            <w:tcMar>
              <w:top w:w="80" w:type="dxa"/>
              <w:start w:w="120" w:type="dxa"/>
              <w:bottom w:w="80" w:type="dxa"/>
              <w:end w:w="120" w:type="dxa"/>
            </w:tcMar>
            <w:vAlign w:val="center"/>
          </w:tcPr>
          <w:p>
            <w:pPr>
              <w:spacing w:after="0"/>
            </w:pPr>
            <w:r>
              <w:rPr>
                <w:rFonts w:ascii="Calibri" w:hAnsi="Calibri" w:eastAsia="Microsoft YaHei"/>
                <w:b w:val="0"/>
                <w:color w:val="17211D"/>
                <w:sz w:val="19"/>
              </w:rPr>
              <w:t>0.561</w:t>
            </w:r>
          </w:p>
        </w:tc>
        <w:tc>
          <w:tcPr>
            <w:tcW w:type="dxa" w:w="3760"/>
            <w:tcMar>
              <w:top w:w="80" w:type="dxa"/>
              <w:start w:w="120" w:type="dxa"/>
              <w:bottom w:w="80" w:type="dxa"/>
              <w:end w:w="120" w:type="dxa"/>
            </w:tcMar>
            <w:vAlign w:val="center"/>
          </w:tcPr>
          <w:p>
            <w:pPr>
              <w:spacing w:after="0"/>
            </w:pPr>
            <w:r>
              <w:rPr>
                <w:rFonts w:ascii="Calibri" w:hAnsi="Calibri" w:eastAsia="Microsoft YaHei"/>
                <w:b w:val="0"/>
                <w:color w:val="17211D"/>
                <w:sz w:val="19"/>
              </w:rPr>
              <w:t>阈值为0.50</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召回率</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0.823</w:t>
            </w:r>
          </w:p>
        </w:tc>
        <w:tc>
          <w:tcPr>
            <w:tcW w:type="dxa" w:w="2200"/>
            <w:tcMar>
              <w:top w:w="80" w:type="dxa"/>
              <w:start w:w="120" w:type="dxa"/>
              <w:bottom w:w="80" w:type="dxa"/>
              <w:end w:w="120" w:type="dxa"/>
            </w:tcMar>
            <w:vAlign w:val="center"/>
          </w:tcPr>
          <w:p>
            <w:pPr>
              <w:spacing w:after="0"/>
            </w:pPr>
            <w:r>
              <w:rPr>
                <w:rFonts w:ascii="Calibri" w:hAnsi="Calibri" w:eastAsia="Microsoft YaHei"/>
                <w:b w:val="0"/>
                <w:color w:val="17211D"/>
                <w:sz w:val="19"/>
              </w:rPr>
              <w:t>1.000</w:t>
            </w:r>
          </w:p>
        </w:tc>
        <w:tc>
          <w:tcPr>
            <w:tcW w:type="dxa" w:w="3760"/>
            <w:tcMar>
              <w:top w:w="80" w:type="dxa"/>
              <w:start w:w="120" w:type="dxa"/>
              <w:bottom w:w="80" w:type="dxa"/>
              <w:end w:w="120" w:type="dxa"/>
            </w:tcMar>
            <w:vAlign w:val="center"/>
          </w:tcPr>
          <w:p>
            <w:pPr>
              <w:spacing w:after="0"/>
            </w:pPr>
            <w:r>
              <w:rPr>
                <w:rFonts w:ascii="Calibri" w:hAnsi="Calibri" w:eastAsia="Microsoft YaHei"/>
                <w:b w:val="0"/>
                <w:color w:val="17211D"/>
                <w:sz w:val="19"/>
              </w:rPr>
              <w:t>高风险用户覆盖能力</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F1</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0.778</w:t>
            </w:r>
          </w:p>
        </w:tc>
        <w:tc>
          <w:tcPr>
            <w:tcW w:type="dxa" w:w="2200"/>
            <w:tcMar>
              <w:top w:w="80" w:type="dxa"/>
              <w:start w:w="120" w:type="dxa"/>
              <w:bottom w:w="80" w:type="dxa"/>
              <w:end w:w="120" w:type="dxa"/>
            </w:tcMar>
            <w:vAlign w:val="center"/>
          </w:tcPr>
          <w:p>
            <w:pPr>
              <w:spacing w:after="0"/>
            </w:pPr>
            <w:r>
              <w:rPr>
                <w:rFonts w:ascii="Calibri" w:hAnsi="Calibri" w:eastAsia="Microsoft YaHei"/>
                <w:b w:val="0"/>
                <w:color w:val="17211D"/>
                <w:sz w:val="19"/>
              </w:rPr>
              <w:t>0.719</w:t>
            </w:r>
          </w:p>
        </w:tc>
        <w:tc>
          <w:tcPr>
            <w:tcW w:type="dxa" w:w="3760"/>
            <w:tcMar>
              <w:top w:w="80" w:type="dxa"/>
              <w:start w:w="120" w:type="dxa"/>
              <w:bottom w:w="80" w:type="dxa"/>
              <w:end w:w="120" w:type="dxa"/>
            </w:tcMar>
            <w:vAlign w:val="center"/>
          </w:tcPr>
          <w:p>
            <w:pPr>
              <w:spacing w:after="0"/>
            </w:pPr>
            <w:r>
              <w:rPr>
                <w:rFonts w:ascii="Calibri" w:hAnsi="Calibri" w:eastAsia="Microsoft YaHei"/>
                <w:b w:val="0"/>
                <w:color w:val="17211D"/>
                <w:sz w:val="19"/>
              </w:rPr>
              <w:t>精确率与召回率平衡</w:t>
            </w:r>
          </w:p>
        </w:tc>
      </w:tr>
      <w:tr>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Brier</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0.188</w:t>
            </w:r>
          </w:p>
        </w:tc>
        <w:tc>
          <w:tcPr>
            <w:tcW w:type="dxa" w:w="2200"/>
            <w:tcMar>
              <w:top w:w="80" w:type="dxa"/>
              <w:start w:w="120" w:type="dxa"/>
              <w:bottom w:w="80" w:type="dxa"/>
              <w:end w:w="120" w:type="dxa"/>
            </w:tcMar>
            <w:vAlign w:val="center"/>
          </w:tcPr>
          <w:p>
            <w:pPr>
              <w:spacing w:after="0"/>
            </w:pPr>
            <w:r>
              <w:rPr>
                <w:rFonts w:ascii="Calibri" w:hAnsi="Calibri" w:eastAsia="Microsoft YaHei"/>
                <w:b w:val="0"/>
                <w:color w:val="17211D"/>
                <w:sz w:val="19"/>
              </w:rPr>
              <w:t>0.247</w:t>
            </w:r>
          </w:p>
        </w:tc>
        <w:tc>
          <w:tcPr>
            <w:tcW w:type="dxa" w:w="3760"/>
            <w:tcMar>
              <w:top w:w="80" w:type="dxa"/>
              <w:start w:w="120" w:type="dxa"/>
              <w:bottom w:w="80" w:type="dxa"/>
              <w:end w:w="120" w:type="dxa"/>
            </w:tcMar>
            <w:vAlign w:val="center"/>
          </w:tcPr>
          <w:p>
            <w:pPr>
              <w:spacing w:after="0"/>
            </w:pPr>
            <w:r>
              <w:rPr>
                <w:rFonts w:ascii="Calibri" w:hAnsi="Calibri" w:eastAsia="Microsoft YaHei"/>
                <w:b w:val="0"/>
                <w:color w:val="17211D"/>
                <w:sz w:val="19"/>
              </w:rPr>
              <w:t>越低越好</w:t>
            </w:r>
          </w:p>
        </w:tc>
      </w:tr>
    </w:tbl>
    <w:p>
      <w:pPr>
        <w:spacing w:after="0"/>
      </w:pPr>
    </w:p>
    <w:p>
      <w:pPr>
        <w:spacing w:after="120" w:line="300" w:lineRule="auto"/>
      </w:pPr>
      <w:r>
        <w:rPr>
          <w:rFonts w:ascii="Calibri" w:hAnsi="Calibri" w:eastAsia="Microsoft YaHei"/>
          <w:b w:val="0"/>
          <w:color w:val="17211D"/>
          <w:sz w:val="22"/>
        </w:rPr>
        <w:t>测试集共474条记录，正例率为56.1%。模型测试AUC为0.777，适合用于风险排序和运营排查；尚未进行线上A/B实验，因此不表述为业务提升。</w:t>
      </w:r>
    </w:p>
    <w:p>
      <w:pPr>
        <w:pStyle w:val="Heading1"/>
        <w:keepNext/>
      </w:pPr>
      <w:r>
        <w:t>9. 风险与限制</w:t>
      </w:r>
    </w:p>
    <w:p>
      <w:pPr>
        <w:pStyle w:val="ListBullet"/>
        <w:spacing w:after="80" w:line="300" w:lineRule="auto"/>
        <w:ind w:left="540" w:hanging="271"/>
      </w:pPr>
      <w:r>
        <w:rPr>
          <w:rFonts w:ascii="Calibri" w:hAnsi="Calibri" w:eastAsia="Microsoft YaHei"/>
          <w:b w:val="0"/>
          <w:color w:val="17211D"/>
          <w:sz w:val="22"/>
        </w:rPr>
        <w:t>Meta Kaggle为公开行为数据，无法观察用户主观动机。</w:t>
      </w:r>
    </w:p>
    <w:p>
      <w:pPr>
        <w:pStyle w:val="ListBullet"/>
        <w:spacing w:after="80" w:line="300" w:lineRule="auto"/>
        <w:ind w:left="540" w:hanging="271"/>
      </w:pPr>
      <w:r>
        <w:rPr>
          <w:rFonts w:ascii="Calibri" w:hAnsi="Calibri" w:eastAsia="Microsoft YaHei"/>
          <w:b w:val="0"/>
          <w:color w:val="17211D"/>
          <w:sz w:val="22"/>
        </w:rPr>
        <w:t>时间留出测试中可能包含训练期已出现过的同一用户。</w:t>
      </w:r>
    </w:p>
    <w:p>
      <w:pPr>
        <w:pStyle w:val="ListBullet"/>
        <w:spacing w:after="80" w:line="300" w:lineRule="auto"/>
        <w:ind w:left="540" w:hanging="271"/>
      </w:pPr>
      <w:r>
        <w:rPr>
          <w:rFonts w:ascii="Calibri" w:hAnsi="Calibri" w:eastAsia="Microsoft YaHei"/>
          <w:b w:val="0"/>
          <w:color w:val="17211D"/>
          <w:sz w:val="22"/>
        </w:rPr>
        <w:t>风险分数用于运营排序和解释，不代表因果概率或真实业务上线效果。</w:t>
      </w:r>
    </w:p>
    <w:p>
      <w:pPr>
        <w:pStyle w:val="ListBullet"/>
        <w:spacing w:after="80" w:line="300" w:lineRule="auto"/>
        <w:ind w:left="540" w:hanging="271"/>
      </w:pPr>
      <w:r>
        <w:rPr>
          <w:rFonts w:ascii="Calibri" w:hAnsi="Calibri" w:eastAsia="Microsoft YaHei"/>
          <w:b w:val="0"/>
          <w:color w:val="17211D"/>
          <w:sz w:val="22"/>
        </w:rPr>
        <w:t>当前原型采用确定性工具编排，可在接入大模型后增加自然语言理解与报告组织，但模型计算和证据引用仍应由工具完成。</w:t>
      </w:r>
    </w:p>
    <w:p>
      <w:r>
        <w:br w:type="page"/>
      </w:r>
    </w:p>
    <w:p>
      <w:pPr>
        <w:pStyle w:val="Heading1"/>
        <w:keepNext/>
      </w:pPr>
      <w:r>
        <w:t>10. 交互原型</w:t>
      </w:r>
    </w:p>
    <w:p>
      <w:pPr>
        <w:spacing w:after="120" w:line="300" w:lineRule="auto"/>
      </w:pPr>
      <w:r>
        <w:rPr>
          <w:rFonts w:ascii="Calibri" w:hAnsi="Calibri" w:eastAsia="Microsoft YaHei"/>
          <w:b w:val="0"/>
          <w:color w:val="17211D"/>
          <w:sz w:val="22"/>
        </w:rPr>
        <w:t>工作台将风险队列、用户画像、模型因素、运营建议和Agent调用轨迹放在同一操作面，满足运营人员反复筛选、诊断和复核的工作方式。</w:t>
      </w:r>
    </w:p>
    <w:p>
      <w:pPr>
        <w:spacing w:after="120"/>
        <w:jc w:val="center"/>
      </w:pPr>
      <w:r>
        <w:drawing>
          <wp:inline xmlns:a="http://schemas.openxmlformats.org/drawingml/2006/main" xmlns:pic="http://schemas.openxmlformats.org/drawingml/2006/picture">
            <wp:extent cx="5943600" cy="4491091"/>
            <wp:docPr id="1" name="Picture 1"/>
            <wp:cNvGraphicFramePr>
              <a:graphicFrameLocks noChangeAspect="1"/>
            </wp:cNvGraphicFramePr>
            <a:graphic>
              <a:graphicData uri="http://schemas.openxmlformats.org/drawingml/2006/picture">
                <pic:pic>
                  <pic:nvPicPr>
                    <pic:cNvPr id="0" name="02_workspace_agent_result.png"/>
                    <pic:cNvPicPr/>
                  </pic:nvPicPr>
                  <pic:blipFill>
                    <a:blip r:embed="rId11"/>
                    <a:stretch>
                      <a:fillRect/>
                    </a:stretch>
                  </pic:blipFill>
                  <pic:spPr>
                    <a:xfrm>
                      <a:off x="0" y="0"/>
                      <a:ext cx="5943600" cy="4491091"/>
                    </a:xfrm>
                    <a:prstGeom prst="rect"/>
                  </pic:spPr>
                </pic:pic>
              </a:graphicData>
            </a:graphic>
          </wp:inline>
        </w:drawing>
      </w:r>
    </w:p>
    <w:p>
      <w:pPr>
        <w:spacing w:after="200"/>
        <w:jc w:val="center"/>
      </w:pPr>
      <w:r>
        <w:rPr>
          <w:rFonts w:ascii="Calibri" w:hAnsi="Calibri" w:eastAsia="Microsoft YaHei"/>
          <w:b w:val="0"/>
          <w:color w:val="65716B"/>
          <w:sz w:val="18"/>
        </w:rPr>
        <w:t>图1  PulseGuard用户风险诊断工作台</w:t>
      </w:r>
    </w:p>
    <w:p>
      <w:pPr>
        <w:pStyle w:val="Heading1"/>
        <w:keepNext/>
      </w:pPr>
      <w:r>
        <w:t>11. 版本规划</w:t>
      </w:r>
    </w:p>
    <w:tbl>
      <w:tblPr>
        <w:tblStyle w:val="TableGrid"/>
        <w:tblW w:type="dxa" w:w="9360"/>
        <w:jc w:val="left"/>
        <w:tblLayout w:type="fixed"/>
        <w:tblLook w:firstColumn="1" w:firstRow="1" w:lastColumn="0" w:lastRow="0" w:noHBand="0" w:noVBand="1" w:val="04A0"/>
        <w:tblInd w:w="120" w:type="dxa"/>
      </w:tblPr>
      <w:tblGrid>
        <w:gridCol w:w="1200"/>
        <w:gridCol w:w="6460"/>
        <w:gridCol w:w="1700"/>
      </w:tblGrid>
      <w:tr>
        <w:trPr>
          <w:tblHeader w:val="true"/>
        </w:trPr>
        <w:tc>
          <w:tcPr>
            <w:tcW w:type="dxa" w:w="12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版本</w:t>
            </w:r>
          </w:p>
        </w:tc>
        <w:tc>
          <w:tcPr>
            <w:tcW w:type="dxa" w:w="6460"/>
            <w:shd w:fill="E8F4EF"/>
            <w:tcMar>
              <w:top w:w="80" w:type="dxa"/>
              <w:start w:w="120" w:type="dxa"/>
              <w:bottom w:w="80" w:type="dxa"/>
              <w:end w:w="120" w:type="dxa"/>
            </w:tcMar>
            <w:vAlign w:val="center"/>
          </w:tcPr>
          <w:p>
            <w:pPr>
              <w:spacing w:after="0"/>
            </w:pPr>
            <w:r>
              <w:rPr>
                <w:rFonts w:ascii="Calibri" w:hAnsi="Calibri" w:eastAsia="Microsoft YaHei"/>
                <w:b/>
                <w:color w:val="167B5A"/>
                <w:sz w:val="19"/>
              </w:rPr>
              <w:t>范围</w:t>
            </w:r>
          </w:p>
        </w:tc>
        <w:tc>
          <w:tcPr>
            <w:tcW w:type="dxa" w:w="1700"/>
            <w:shd w:fill="E8F4EF"/>
            <w:tcMar>
              <w:top w:w="80" w:type="dxa"/>
              <w:start w:w="120" w:type="dxa"/>
              <w:bottom w:w="80" w:type="dxa"/>
              <w:end w:w="120" w:type="dxa"/>
            </w:tcMar>
            <w:vAlign w:val="center"/>
          </w:tcPr>
          <w:p>
            <w:pPr>
              <w:spacing w:after="0"/>
            </w:pPr>
            <w:r>
              <w:rPr>
                <w:rFonts w:ascii="Calibri" w:hAnsi="Calibri" w:eastAsia="Microsoft YaHei"/>
                <w:b/>
                <w:color w:val="167B5A"/>
                <w:sz w:val="19"/>
              </w:rPr>
              <w:t>状态</w:t>
            </w:r>
          </w:p>
        </w:tc>
      </w:tr>
      <w:tr>
        <w:tc>
          <w:tcPr>
            <w:tcW w:type="dxa" w:w="1200"/>
            <w:tcMar>
              <w:top w:w="80" w:type="dxa"/>
              <w:start w:w="120" w:type="dxa"/>
              <w:bottom w:w="80" w:type="dxa"/>
              <w:end w:w="120" w:type="dxa"/>
            </w:tcMar>
            <w:vAlign w:val="center"/>
          </w:tcPr>
          <w:p>
            <w:pPr>
              <w:spacing w:after="0"/>
            </w:pPr>
            <w:r>
              <w:rPr>
                <w:rFonts w:ascii="Calibri" w:hAnsi="Calibri" w:eastAsia="Microsoft YaHei"/>
                <w:b w:val="0"/>
                <w:color w:val="17211D"/>
                <w:sz w:val="19"/>
              </w:rPr>
              <w:t>V1.0</w:t>
            </w:r>
          </w:p>
        </w:tc>
        <w:tc>
          <w:tcPr>
            <w:tcW w:type="dxa" w:w="6460"/>
            <w:tcMar>
              <w:top w:w="80" w:type="dxa"/>
              <w:start w:w="120" w:type="dxa"/>
              <w:bottom w:w="80" w:type="dxa"/>
              <w:end w:w="120" w:type="dxa"/>
            </w:tcMar>
            <w:vAlign w:val="center"/>
          </w:tcPr>
          <w:p>
            <w:pPr>
              <w:spacing w:after="0"/>
            </w:pPr>
            <w:r>
              <w:rPr>
                <w:rFonts w:ascii="Calibri" w:hAnsi="Calibri" w:eastAsia="Microsoft YaHei"/>
                <w:b w:val="0"/>
                <w:color w:val="17211D"/>
                <w:sz w:val="19"/>
              </w:rPr>
              <w:t>离线风险模型、匿名用户队列、可解释诊断、策略建议、评测页</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已完成</w:t>
            </w:r>
          </w:p>
        </w:tc>
      </w:tr>
      <w:tr>
        <w:tc>
          <w:tcPr>
            <w:tcW w:type="dxa" w:w="1200"/>
            <w:tcMar>
              <w:top w:w="80" w:type="dxa"/>
              <w:start w:w="120" w:type="dxa"/>
              <w:bottom w:w="80" w:type="dxa"/>
              <w:end w:w="120" w:type="dxa"/>
            </w:tcMar>
            <w:vAlign w:val="center"/>
          </w:tcPr>
          <w:p>
            <w:pPr>
              <w:spacing w:after="0"/>
            </w:pPr>
            <w:r>
              <w:rPr>
                <w:rFonts w:ascii="Calibri" w:hAnsi="Calibri" w:eastAsia="Microsoft YaHei"/>
                <w:b w:val="0"/>
                <w:color w:val="17211D"/>
                <w:sz w:val="19"/>
              </w:rPr>
              <w:t>V1.1</w:t>
            </w:r>
          </w:p>
        </w:tc>
        <w:tc>
          <w:tcPr>
            <w:tcW w:type="dxa" w:w="6460"/>
            <w:tcMar>
              <w:top w:w="80" w:type="dxa"/>
              <w:start w:w="120" w:type="dxa"/>
              <w:bottom w:w="80" w:type="dxa"/>
              <w:end w:w="120" w:type="dxa"/>
            </w:tcMar>
            <w:vAlign w:val="center"/>
          </w:tcPr>
          <w:p>
            <w:pPr>
              <w:spacing w:after="0"/>
            </w:pPr>
            <w:r>
              <w:rPr>
                <w:rFonts w:ascii="Calibri" w:hAnsi="Calibri" w:eastAsia="Microsoft YaHei"/>
                <w:b w:val="0"/>
                <w:color w:val="17211D"/>
                <w:sz w:val="19"/>
              </w:rPr>
              <w:t>接入LLM完成自然语言意图理解和多轮追问</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待实施</w:t>
            </w:r>
          </w:p>
        </w:tc>
      </w:tr>
      <w:tr>
        <w:tc>
          <w:tcPr>
            <w:tcW w:type="dxa" w:w="1200"/>
            <w:tcMar>
              <w:top w:w="80" w:type="dxa"/>
              <w:start w:w="120" w:type="dxa"/>
              <w:bottom w:w="80" w:type="dxa"/>
              <w:end w:w="120" w:type="dxa"/>
            </w:tcMar>
            <w:vAlign w:val="center"/>
          </w:tcPr>
          <w:p>
            <w:pPr>
              <w:spacing w:after="0"/>
            </w:pPr>
            <w:r>
              <w:rPr>
                <w:rFonts w:ascii="Calibri" w:hAnsi="Calibri" w:eastAsia="Microsoft YaHei"/>
                <w:b w:val="0"/>
                <w:color w:val="17211D"/>
                <w:sz w:val="19"/>
              </w:rPr>
              <w:t>V1.2</w:t>
            </w:r>
          </w:p>
        </w:tc>
        <w:tc>
          <w:tcPr>
            <w:tcW w:type="dxa" w:w="6460"/>
            <w:tcMar>
              <w:top w:w="80" w:type="dxa"/>
              <w:start w:w="120" w:type="dxa"/>
              <w:bottom w:w="80" w:type="dxa"/>
              <w:end w:w="120" w:type="dxa"/>
            </w:tcMar>
            <w:vAlign w:val="center"/>
          </w:tcPr>
          <w:p>
            <w:pPr>
              <w:spacing w:after="0"/>
            </w:pPr>
            <w:r>
              <w:rPr>
                <w:rFonts w:ascii="Calibri" w:hAnsi="Calibri" w:eastAsia="Microsoft YaHei"/>
                <w:b w:val="0"/>
                <w:color w:val="17211D"/>
                <w:sz w:val="19"/>
              </w:rPr>
              <w:t>新增运营反馈、建议采纳记录和策略效果复盘</w:t>
            </w:r>
          </w:p>
        </w:tc>
        <w:tc>
          <w:tcPr>
            <w:tcW w:type="dxa" w:w="1700"/>
            <w:tcMar>
              <w:top w:w="80" w:type="dxa"/>
              <w:start w:w="120" w:type="dxa"/>
              <w:bottom w:w="80" w:type="dxa"/>
              <w:end w:w="120" w:type="dxa"/>
            </w:tcMar>
            <w:vAlign w:val="center"/>
          </w:tcPr>
          <w:p>
            <w:pPr>
              <w:spacing w:after="0"/>
            </w:pPr>
            <w:r>
              <w:rPr>
                <w:rFonts w:ascii="Calibri" w:hAnsi="Calibri" w:eastAsia="Microsoft YaHei"/>
                <w:b w:val="0"/>
                <w:color w:val="17211D"/>
                <w:sz w:val="19"/>
              </w:rPr>
              <w:t>待实施</w:t>
            </w:r>
          </w:p>
        </w:tc>
      </w:tr>
    </w:tbl>
    <w:p>
      <w:pPr>
        <w:spacing w:after="0"/>
      </w:pPr>
    </w:p>
    <w:p>
      <w:pPr>
        <w:pStyle w:val="Heading1"/>
        <w:keepNext/>
      </w:pPr>
      <w:r>
        <w:t>附录：数据来源</w:t>
      </w:r>
    </w:p>
    <w:p>
      <w:pPr>
        <w:spacing w:after="120" w:line="300" w:lineRule="auto"/>
      </w:pPr>
      <w:r>
        <w:rPr>
          <w:rFonts w:ascii="Calibri" w:hAnsi="Calibri" w:eastAsia="Microsoft YaHei"/>
          <w:b w:val="0"/>
          <w:color w:val="17211D"/>
          <w:sz w:val="22"/>
        </w:rPr>
        <w:t>数据来源为Kaggle官方发布的Meta Kaggle公开活动数据。本项目使用本地固定快照及可复现代码构造分析面板，界面仅展示经过哈希处理的匿名用户标识。</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5716B"/>
        <w:sz w:val="18"/>
      </w:rPr>
      <w:t xml:space="preserve">PulseGuard PRD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65716B"/>
        <w:sz w:val="17"/>
      </w:rPr>
      <w:t>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7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167B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167B5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67B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