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E5AAC"/>
          <w:sz w:val="24"/>
        </w:rPr>
        <w:t>BEPLAN</w:t>
      </w:r>
    </w:p>
    <w:p>
      <w:pPr>
        <w:pStyle w:val="Title"/>
        <w:jc w:val="center"/>
      </w:pPr>
      <w:r>
        <w:t>系统全流程人工测试手册</w:t>
      </w:r>
    </w:p>
    <w:p>
      <w:pPr>
        <w:pStyle w:val="Subtitle"/>
        <w:jc w:val="center"/>
      </w:pPr>
      <w:r>
        <w:t>单邮箱、多岗位、真实数据闭环验收版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8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测试环境</w:t>
            </w:r>
          </w:p>
        </w:tc>
        <w:tc>
          <w:tcPr>
            <w:tcW w:type="dxa" w:w="2304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专用案件</w:t>
            </w:r>
          </w:p>
        </w:tc>
        <w:tc>
          <w:tcPr>
            <w:tcW w:type="dxa" w:w="2448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适用人员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UAT V1.0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Supabase 托管云 + Sites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BP-UAT-20260811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业务负责人 / 测试人员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一、开始前必须知道的三件事</w:t>
      </w:r>
    </w:p>
    <w:p>
      <w:pPr>
        <w:pStyle w:val="ListBullet"/>
      </w:pPr>
      <w:r>
        <w:t>只用当前登录邮箱即可测试全部岗位。顶部“TEST 测试身份”不是视觉预览，会同步数据库岗位上下文。</w:t>
      </w:r>
    </w:p>
    <w:p>
      <w:pPr>
        <w:pStyle w:val="ListBullet"/>
      </w:pPr>
      <w:r>
        <w:t>销售、合同审核、财务、案件分配员、案件负责人、案件专员、流程专员只能操作各自授权；案件专员不占合同泳道，老板身份用于全局监控。</w:t>
      </w:r>
    </w:p>
    <w:p>
      <w:pPr>
        <w:pStyle w:val="ListBullet"/>
      </w:pPr>
      <w:r>
        <w:t>所有测试数据均为虚构。必须使用案件 BP-UAT-20260811，避免污染其他演示案件。</w:t>
      </w:r>
    </w:p>
    <w:p>
      <w:pPr>
        <w:pStyle w:val="Heading1"/>
      </w:pPr>
      <w:r>
        <w:t>二、统一验收标准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08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828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必须通过的检查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G-01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改变状态前可查看完整详情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G-02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确认框明确说明执行后影响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G-03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确认框明确说明下一步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G-04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关键动作要求备注或文件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G-05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提交按钮有处理中状态，不能重复点击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G-06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完成任务和 SLA 在 15 分钟内可撤回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G-07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撤回必须填写原因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G-08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老板端可以看到操作者、时间、对象和结果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G-09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越权岗位只能查看，不能操作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G-10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文件下载遵守案件与岗位权限</w:t>
            </w:r>
          </w:p>
        </w:tc>
      </w:tr>
    </w:tbl>
    <w:p/>
    <w:p>
      <w:pPr>
        <w:pStyle w:val="Heading1"/>
      </w:pPr>
      <w:r>
        <w:t>三、测试数据总览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128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测试值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案件编号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BP-UAT-20260811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案件名称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UAT·星海智造美国商标申请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客户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演示 · 北极星出海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服务内容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美国商标申请 1 类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合同金额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CNY 12,800.00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财务单号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BP-FIN-UAT-001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支付凭证号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CMB202608110001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商标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NOVA PINE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商品类别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Nice Class 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虚构申请号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UAT-US-TM-2026-0811</w:t>
            </w:r>
          </w:p>
        </w:tc>
      </w:tr>
    </w:tbl>
    <w:p/>
    <w:p>
      <w:pPr>
        <w:pStyle w:val="Heading1"/>
      </w:pPr>
      <w:r>
        <w:t>四、严格按顺序执行的主流程</w:t>
      </w:r>
    </w:p>
    <w:p>
      <w:pPr>
        <w:pStyle w:val="Heading2"/>
      </w:pPr>
      <w:r>
        <w:t>1. 验证单邮箱岗位切换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无需输入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登录后依次切换销售员、合同审核、财务、案件分配员、案件负责人、流程专员；每次观察左侧菜单和合同泳道。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身份标签、菜单和可操作泳道同步变化；无权节点只显示“仅查看进度”。</w:t>
            </w:r>
          </w:p>
        </w:tc>
      </w:tr>
    </w:tbl>
    <w:p/>
    <w:p>
      <w:pPr>
        <w:pStyle w:val="Heading2"/>
      </w:pPr>
      <w:r>
        <w:t>2. 销售采集签约信息并自动生成合同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销售员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使用“合同主流程测试数据.md”中的客户、联系人、电话、地址、两项服务金额、实收、特别约定和我方联系人。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进入合同履约，选择 BP-UAT-20260811；若进度为 0/13 先启动流程；完整填写第一节点，点击“核对信息并生成合同”，核对摘要、勾选确认后生成。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系统按正式模板生成 V1 PDF；第 1、2 节点完成；PDF 自动进入案件档案并可查看、下载、打印；其他岗位不能修改。</w:t>
            </w:r>
          </w:p>
        </w:tc>
      </w:tr>
    </w:tbl>
    <w:p/>
    <w:p>
      <w:pPr>
        <w:pStyle w:val="Heading2"/>
      </w:pPr>
      <w:r>
        <w:t>3. 合同审核与线下盖章登记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合同审核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审核意见：主体、服务范围、金额与争议解决条款一致；线下结果：合同已打印两份并完成公章。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切换合同审核；先查看合同详情，再审核通过；记录打印盖章实操结果。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审核意见、操作者、时间留痕；流程回到销售寄合同。</w:t>
            </w:r>
          </w:p>
        </w:tc>
      </w:tr>
    </w:tbl>
    <w:p/>
    <w:p>
      <w:pPr>
        <w:pStyle w:val="Heading2"/>
      </w:pPr>
      <w:r>
        <w:t>4. 销售登记寄回与客户盖章文件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销售员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备注：顺丰 SF-UAT-20260811001；上传 02_客户盖章合同_测试.pdf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记录线下寄出；后续上传客户盖章合同并确认。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合同文件可在详情中下载；下一节点要求水单。</w:t>
            </w:r>
          </w:p>
        </w:tc>
      </w:tr>
    </w:tbl>
    <w:p/>
    <w:p>
      <w:pPr>
        <w:pStyle w:val="Heading2"/>
      </w:pPr>
      <w:r>
        <w:t>5. 销售上传收款水单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销售员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上传 03_收款水单_测试.pdf；备注：付款方与客户主体一致，金额 12,800 元。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打开水单节点，核对影响和下一步，确认提交。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销售节点完成，财务到账复核节点解锁。</w:t>
            </w:r>
          </w:p>
        </w:tc>
      </w:tr>
    </w:tbl>
    <w:p/>
    <w:p>
      <w:pPr>
        <w:pStyle w:val="Heading2"/>
      </w:pPr>
      <w:r>
        <w:t>6. 财务复核到账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财务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到账说明：招商银行尾号 6688，金额与合同一致；凭证号 CMB202608110001。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先在合同履约完成财务泳道复核，再进入财务与保险，打开 BP-FIN-UAT-001 详情，出具并登记收款。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财务记录显示已收款、到账时间和凭证号；销售不能操作财务节点。</w:t>
            </w:r>
          </w:p>
        </w:tc>
      </w:tr>
    </w:tbl>
    <w:p/>
    <w:p>
      <w:pPr>
        <w:pStyle w:val="Heading2"/>
      </w:pPr>
      <w:r>
        <w:t>7. 分配案件专员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案件分配员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选择一名主办案件专员；可增加协办；备注：主办负责美国商标申请，协办负责期限复核。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在合同履约分配案件节点勾选具体案件专员，填写分配依据，进入确认页后提交。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形成独立案件分配记录；案件专员不新增泳道列，只能看到获分配案件及其授权档案；其他岗位只读。</w:t>
            </w:r>
          </w:p>
        </w:tc>
      </w:tr>
    </w:tbl>
    <w:p/>
    <w:p>
      <w:pPr>
        <w:pStyle w:val="Heading2"/>
      </w:pPr>
      <w:r>
        <w:t>8. 案件负责人提交办理结果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上传 04_商标申请委托材料_测试.pdf；备注：委托材料已齐备并完成内部复核。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在对应泳道提交结果并明确下一步由流程专员执行申请。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流程专员实操节点解锁，交接说明可见。</w:t>
            </w:r>
          </w:p>
        </w:tc>
      </w:tr>
    </w:tbl>
    <w:p/>
    <w:p>
      <w:pPr>
        <w:pStyle w:val="Heading2"/>
      </w:pPr>
      <w:r>
        <w:t>9. 流程专员执行并分批录入官方结果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流程专员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实操备注：已完成测试递交；先上传 03-第一批官方结果-测试件.txt，再上传 04-第二批官方结果-测试件.txt。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先记录线下实操；在“结果录入系统”提交第 1 批并确认归档，再次使用同一节点提交第 2 批。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两批记录分别编号、分别留痕且都进入案件档案；第 2 批不覆盖第 1 批；流程首次提交后回到销售。</w:t>
            </w:r>
          </w:p>
        </w:tc>
      </w:tr>
    </w:tbl>
    <w:p/>
    <w:p>
      <w:pPr>
        <w:pStyle w:val="Heading2"/>
      </w:pPr>
      <w:r>
        <w:t>10. 销售多次通知客户并结束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销售员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第一次：邮件发送受理回执；第二次：邮件发送补正通知；第二次上传 05-客户通知凭证-测试件.txt。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完成首次客户通知后，再次在同一节点增加第二条通知记录；打开流程总览检查 13/13。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两次通知均保留时间、方式、备注和凭证；流程显示完成；老板可看到全链路。</w:t>
            </w:r>
          </w:p>
        </w:tc>
      </w:tr>
    </w:tbl>
    <w:p/>
    <w:p>
      <w:pPr>
        <w:pStyle w:val="Heading2"/>
      </w:pPr>
      <w:r>
        <w:t>10A. 案件档案与角色隔离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依次切换所有身份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使用本资料包的合同、水单、官方结果和通知凭证。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进入“案件档案库”，依次以销售、财务、案件专员、流程专员和老板身份查看相同案件。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销售可见合同与结果，财务只见合同/收款，案件专员仅见获分配案件的办理/结果，流程专员见申请/结果，老板见全部分类。</w:t>
            </w:r>
          </w:p>
        </w:tc>
      </w:tr>
    </w:tbl>
    <w:p/>
    <w:p>
      <w:pPr>
        <w:pStyle w:val="Heading1"/>
      </w:pPr>
      <w:r>
        <w:t>五、任务、SLA 与审批专项测试</w:t>
      </w:r>
    </w:p>
    <w:p>
      <w:pPr>
        <w:pStyle w:val="Heading2"/>
      </w:pPr>
      <w:r>
        <w:t>11. 任务详情、完成与撤回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任务：核对美国商标申请委托材料；完成依据：申请人名称和第 9 类商品已核对；下一步：流程专员今日 18:00 前提交。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待办中心先点“查看详情”，再开始、完成；完成后立即撤回，原因填“发现签字页版本错误”；修正后再次完成。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详情显示依据和下一步；撤回后恢复进行中且保留原因；非本人或超过 15 分钟不能撤回。</w:t>
            </w:r>
          </w:p>
        </w:tc>
      </w:tr>
    </w:tbl>
    <w:p/>
    <w:p>
      <w:pPr>
        <w:pStyle w:val="Heading2"/>
      </w:pPr>
      <w:r>
        <w:t>12. SLA 预警与撤回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节点：客户补充签字材料截止；完成依据：签字材料已收到并核对。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任务与 SLA 页面查看预警提前量和升级提前量；完成节点；15 分钟内撤回并重新完成。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老板端可看到预警；完成后预警停止，撤回后恢复。</w:t>
            </w:r>
          </w:p>
        </w:tc>
      </w:tr>
    </w:tbl>
    <w:p/>
    <w:p>
      <w:pPr>
        <w:pStyle w:val="Heading2"/>
      </w:pPr>
      <w:r>
        <w:t>13. 报价审批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审批：UAT 美国商标申请报价审批；通过依据：金额在授权范围内，服务范围完整。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审批中心查看详情并通过；另选一条待审批记录测试驳回，填写具体缺失项。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审批决定和意见永久显示；无审批权限岗位没有通过/驳回按钮。</w:t>
            </w:r>
          </w:p>
        </w:tc>
      </w:tr>
    </w:tbl>
    <w:p/>
    <w:p>
      <w:pPr>
        <w:pStyle w:val="Heading1"/>
      </w:pPr>
      <w:r>
        <w:t>六、材料、协作、知识库与权限</w:t>
      </w:r>
    </w:p>
    <w:p>
      <w:pPr>
        <w:pStyle w:val="Heading2"/>
      </w:pPr>
      <w:r>
        <w:t>14. 材料中心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案件负责人 / 国内律师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任选本资料包 PDF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上传材料，查看详情，执行核验；再上传一份材料测试驳回。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文件、提交人、时间、核验意见可追溯；无案件权限无法下载。</w:t>
            </w:r>
          </w:p>
        </w:tc>
      </w:tr>
    </w:tbl>
    <w:p/>
    <w:p>
      <w:pPr>
        <w:pStyle w:val="Heading2"/>
      </w:pPr>
      <w:r>
        <w:t>15. 协作与客户反馈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销售员 / 客户身份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消息：UAT-请确认第9类商品描述；反馈：5星，测试流程清晰。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发送案件消息；切换客户提交反馈；返回内部身份查看。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消息和反馈即时出现，带发送人和时间；此类低风险动作无需二次确认。</w:t>
            </w:r>
          </w:p>
        </w:tc>
      </w:tr>
    </w:tbl>
    <w:p/>
    <w:p>
      <w:pPr>
        <w:pStyle w:val="Heading2"/>
      </w:pPr>
      <w:r>
        <w:t>16. 知识库发布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标题：UAT 美国商标申请材料核对清单；正文至少 50 字。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创建草稿，查看完整正文，再审核发布；测试归档。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发布与归档必须确认并留痕；普通岗位只能查看。</w:t>
            </w:r>
          </w:p>
        </w:tc>
      </w:tr>
    </w:tbl>
    <w:p/>
    <w:p>
      <w:pPr>
        <w:pStyle w:val="Heading2"/>
      </w:pPr>
      <w:r>
        <w:t>17. 组织权限和审计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操作身份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老板 / 合伙人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输入 / 上传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无需输入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具体操作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打开组织与权限，核对各岗位；导出审计日志；检查本轮案件、任务、财务和合同事件。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预期结果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页面正常加载；审计记录包含对象、事件、操作者和时间。</w:t>
            </w:r>
          </w:p>
        </w:tc>
      </w:tr>
    </w:tbl>
    <w:p/>
    <w:p>
      <w:pPr>
        <w:pStyle w:val="Heading1"/>
      </w:pPr>
      <w:r>
        <w:t>七、老板监控验收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416"/>
            <w:vAlign w:val="center"/>
            <w:shd w:fill="2E5AAC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案件全景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能按案件看到合同、任务、SLA、审批、材料、财务和协作状态。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实时性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提交后刷新即可看到；合同流程和通知支持实时更新。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责任人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当前节点明确显示负责岗位和具体操作者。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时限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显示北京时间、截止时间、预警窗口和逾期状态。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留痕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每次提交、撤回、驳回、到账和文件操作均可追溯。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权限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老板可看全局；业务岗位只能操作自己的流程。</w:t>
            </w:r>
          </w:p>
        </w:tc>
      </w:tr>
    </w:tbl>
    <w:p/>
    <w:p>
      <w:pPr>
        <w:pStyle w:val="Heading1"/>
      </w:pPr>
      <w:r>
        <w:t>八、缺陷记录方法</w:t>
      </w:r>
    </w:p>
    <w:p>
      <w:pPr>
        <w:pStyle w:val="ListNumber"/>
      </w:pPr>
      <w:r>
        <w:t>在测试数据表“缺陷记录”工作表新增一行。</w:t>
      </w:r>
    </w:p>
    <w:p>
      <w:pPr>
        <w:pStyle w:val="ListNumber"/>
      </w:pPr>
      <w:r>
        <w:t>填写发生时间、当前身份、模块、案件编号、操作步骤、实际结果和预期结果。</w:t>
      </w:r>
    </w:p>
    <w:p>
      <w:pPr>
        <w:pStyle w:val="ListNumber"/>
      </w:pPr>
      <w:r>
        <w:t>严重级别：P0 无法登录/数据泄露；P1 主流程中断；P2 功能错误但可绕过；P3 文案或样式。</w:t>
      </w:r>
    </w:p>
    <w:p>
      <w:pPr>
        <w:pStyle w:val="ListNumber"/>
      </w:pPr>
      <w:r>
        <w:t>截图文件名统一为：日期_身份_模块_简述.png。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测试版 · 虚构数据 · 2026-08-11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9768C"/>
        <w:sz w:val="16"/>
      </w:rPr>
      <w:t>BEPLAN CASE OPS  ·  UAT 人工测试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72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9768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