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Kicker"/>
      </w:pPr>
      <w:r>
        <w:t>产品与技术设计迭代</w:t>
      </w:r>
    </w:p>
    <w:p>
      <w:pPr>
        <w:keepNext/>
        <w:spacing w:before="160" w:after="80"/>
      </w:pPr>
      <w:r>
        <w:rPr>
          <w:rFonts w:ascii="Arial" w:hAnsi="Arial" w:eastAsia="STHeiti"/>
          <w:b/>
          <w:color w:val="0B2545"/>
          <w:sz w:val="48"/>
        </w:rPr>
        <w:t>AI+园区停车场系统设计 v7</w:t>
      </w:r>
    </w:p>
    <w:p>
      <w:pPr>
        <w:spacing w:after="280"/>
      </w:pPr>
      <w:r>
        <w:rPr>
          <w:rFonts w:ascii="Arial" w:hAnsi="Arial" w:eastAsia="STHeiti"/>
          <w:color w:val="5D6875"/>
          <w:sz w:val="26"/>
        </w:rPr>
        <w:t>在 2026 年 7 月 v6 基础上的 8 月公开版迭代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文档字段</w:t>
            </w:r>
          </w:p>
        </w:tc>
        <w:tc>
          <w:tcPr>
            <w:tcW w:type="dxa" w:w="7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7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v7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迭代日期</w:t>
            </w:r>
          </w:p>
        </w:tc>
        <w:tc>
          <w:tcPr>
            <w:tcW w:type="dxa" w:w="7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2026-08-25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直接基线</w:t>
            </w:r>
          </w:p>
        </w:tc>
        <w:tc>
          <w:tcPr>
            <w:tcW w:type="dxa" w:w="7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园区停车场系统设计 v6（2026-07-10）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对应公开版</w:t>
            </w:r>
          </w:p>
        </w:tc>
        <w:tc>
          <w:tcPr>
            <w:tcW w:type="dxa" w:w="7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1.0.0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迭代性质</w:t>
            </w:r>
          </w:p>
        </w:tc>
        <w:tc>
          <w:tcPr>
            <w:tcW w:type="dxa" w:w="7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功能延续 + 工程加固 + 公开发布规范化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当前状态</w:t>
            </w:r>
          </w:p>
        </w:tc>
        <w:tc>
          <w:tcPr>
            <w:tcW w:type="dxa" w:w="71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已纳入公开版项目材料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F4F6F9" w:val="clear"/>
            <w:tcBorders>
              <w:top w:val="single" w:sz="8" w:space="0" w:color="9FB6CC"/>
              <w:left w:val="single" w:sz="8" w:space="0" w:color="9FB6CC"/>
              <w:bottom w:val="single" w:sz="8" w:space="0" w:color="9FB6CC"/>
              <w:right w:val="single" w:sz="8" w:space="0" w:color="9FB6CC"/>
              <w:insideH w:val="single" w:sz="8" w:space="0" w:color="9FB6CC"/>
              <w:insideV w:val="single" w:sz="8" w:space="0" w:color="9FB6CC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40" w:after="40" w:line="269" w:lineRule="auto"/>
            </w:pPr>
            <w:r>
              <w:rPr>
                <w:rFonts w:ascii="Arial" w:hAnsi="Arial" w:eastAsia="STHeiti"/>
                <w:b/>
                <w:color w:val="1F4D78"/>
                <w:sz w:val="21"/>
              </w:rPr>
              <w:t>版本结论：</w:t>
            </w:r>
            <w:r>
              <w:rPr>
                <w:rFonts w:ascii="Arial" w:hAnsi="Arial" w:eastAsia="STHeiti"/>
                <w:color w:val="0B2545"/>
                <w:sz w:val="21"/>
              </w:rPr>
              <w:t>v7 不是与 v6 无关的新项目，而是保留 7 月核心停车管理方向，并将代码、安全、测试、文档和证据边界统一到可下载、可复核的公开版。</w:t>
            </w:r>
          </w:p>
        </w:tc>
      </w:tr>
    </w:tbl>
    <w:p>
      <w:pPr>
        <w:pStyle w:val="Heading1"/>
        <w:keepNext/>
      </w:pPr>
      <w:r>
        <w:t>1. 迭代定位</w:t>
      </w:r>
    </w:p>
    <w:p>
      <w:pPr>
        <w:spacing w:after="120" w:line="264" w:lineRule="auto"/>
      </w:pPr>
      <w:r>
        <w:rPr>
          <w:rFonts w:ascii="Arial" w:hAnsi="Arial" w:eastAsia="STHeiti"/>
          <w:sz w:val="21"/>
        </w:rPr>
        <w:t>v6 已形成停车场核心思想、功能清单、数据表和用户端/管理端方向。v7 延续这些内容，并根据 2026 年 8 月公开版代码实际状态重新梳理系统边界、工程实现和验证方式。</w:t>
      </w:r>
    </w:p>
    <w:p>
      <w:pPr>
        <w:spacing w:after="120" w:line="264" w:lineRule="auto"/>
      </w:pPr>
      <w:r>
        <w:rPr>
          <w:rFonts w:ascii="Arial" w:hAnsi="Arial" w:eastAsia="STHeiti"/>
          <w:sz w:val="21"/>
        </w:rPr>
        <w:t>本版本以“能够运行、能够解释、能够测试、能够公开复用”为主要目标。公开初始化数据与上海现场的个人信息、凭据和实时业务数据分开；规则算法按当前可核对实现准确说明。</w:t>
      </w:r>
    </w:p>
    <w:p>
      <w:pPr>
        <w:pStyle w:val="Heading2"/>
        <w:keepNext/>
      </w:pPr>
      <w:r>
        <w:t>1.1 从 v6 延续的核心方向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统一管理用户、车位、停车记录、预约、积分/信用和系统配置。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展示车位容量与占用状态，支持车辆进入、离开和记录查询。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根据车辆尺寸、无障碍需求和楼层偏好提供可解释的车位分配。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基于历史停车记录形成小时分布基线，并提供长时停车与容量阈值提示。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保留管理员端的配置、查询、规则触发和数据维护能力。</w:t>
      </w:r>
    </w:p>
    <w:p>
      <w:r>
        <w:br w:type="page"/>
      </w:r>
    </w:p>
    <w:p>
      <w:pPr>
        <w:pStyle w:val="Heading2"/>
        <w:keepNext/>
      </w:pPr>
      <w:r>
        <w:t>1.2 v7 的主要变化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800"/>
        <w:gridCol w:w="3960"/>
        <w:gridCol w:w="2400"/>
      </w:tblGrid>
      <w:tr>
        <w:trPr>
          <w:cantSplit/>
          <w:tblHeader w:val="true"/>
        </w:trPr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v6 状态</w:t>
            </w:r>
          </w:p>
        </w:tc>
        <w:tc>
          <w:tcPr>
            <w:tcW w:type="dxa" w:w="3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v7 处理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可核对材料</w:t>
            </w:r>
          </w:p>
        </w:tc>
      </w:tr>
      <w:tr>
        <w:trPr>
          <w:cantSplit/>
        </w:trPr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实现</w:t>
            </w:r>
          </w:p>
        </w:tc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功能与结构草案</w:t>
            </w:r>
          </w:p>
        </w:tc>
        <w:tc>
          <w:tcPr>
            <w:tcW w:type="dxa" w:w="3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统一为 FastAPI + SQLAlchemy + SQLite + 原生前端的可运行系统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backend/、frontend/</w:t>
            </w:r>
          </w:p>
        </w:tc>
      </w:tr>
      <w:tr>
        <w:trPr>
          <w:cantSplit/>
        </w:trPr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安全</w:t>
            </w:r>
          </w:p>
        </w:tc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登录方向已提出</w:t>
            </w:r>
          </w:p>
        </w:tc>
        <w:tc>
          <w:tcPr>
            <w:tcW w:type="dxa" w:w="3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bcrypt、JWT、超级管理员权限、生产密钥检查和受限 CORS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auth.py、security.py、config.py</w:t>
            </w:r>
          </w:p>
        </w:tc>
      </w:tr>
      <w:tr>
        <w:trPr>
          <w:cantSplit/>
        </w:trPr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正确性</w:t>
            </w:r>
          </w:p>
        </w:tc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规则说明为主</w:t>
            </w:r>
          </w:p>
        </w:tc>
        <w:tc>
          <w:tcPr>
            <w:tcW w:type="dxa" w:w="3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修复静态路由优先级、枚举匹配、指定车位分配和积分重复扣减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路由与自动测试</w:t>
            </w:r>
          </w:p>
        </w:tc>
      </w:tr>
      <w:tr>
        <w:trPr>
          <w:cantSplit/>
        </w:trPr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算法表述</w:t>
            </w:r>
          </w:p>
        </w:tc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使用“AI”概念描述</w:t>
            </w:r>
          </w:p>
        </w:tc>
        <w:tc>
          <w:tcPr>
            <w:tcW w:type="dxa" w:w="3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改为可解释规则与确定性历史基线，避免夸大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ai_engine.py</w:t>
            </w:r>
          </w:p>
        </w:tc>
      </w:tr>
      <w:tr>
        <w:trPr>
          <w:cantSplit/>
        </w:trPr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测试</w:t>
            </w:r>
          </w:p>
        </w:tc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未形成自动验证</w:t>
            </w:r>
          </w:p>
        </w:tc>
        <w:tc>
          <w:tcPr>
            <w:tcW w:type="dxa" w:w="3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增加 pytest 与 GitHub Actions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tests/、.github/workflows/</w:t>
            </w:r>
          </w:p>
        </w:tc>
      </w:tr>
      <w:tr>
        <w:trPr>
          <w:cantSplit/>
        </w:trPr>
        <w:tc>
          <w:tcPr>
            <w:tcW w:type="dxa" w:w="12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公开材料</w:t>
            </w:r>
          </w:p>
        </w:tc>
        <w:tc>
          <w:tcPr>
            <w:tcW w:type="dxa" w:w="18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历史设计稿</w:t>
            </w:r>
          </w:p>
        </w:tc>
        <w:tc>
          <w:tcPr>
            <w:tcW w:type="dxa" w:w="3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增加许可证、贡献、安全、发布说明和证据边界</w:t>
            </w:r>
          </w:p>
        </w:tc>
        <w:tc>
          <w:tcPr>
            <w:tcW w:type="dxa" w:w="24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根目录文档</w:t>
            </w:r>
          </w:p>
        </w:tc>
      </w:tr>
    </w:tbl>
    <w:p>
      <w:pPr>
        <w:pStyle w:val="Heading1"/>
        <w:keepNext/>
      </w:pPr>
      <w:r>
        <w:t>2. 系统范围与角色</w:t>
      </w:r>
    </w:p>
    <w:p>
      <w:pPr>
        <w:spacing w:after="120" w:line="264" w:lineRule="auto"/>
      </w:pPr>
      <w:r>
        <w:rPr>
          <w:rFonts w:ascii="Arial" w:hAnsi="Arial" w:eastAsia="STHeiti"/>
          <w:sz w:val="21"/>
        </w:rPr>
        <w:t>项目维护者确认，系统基础版本已在上海实际使用。v7 是在该基础上完成安全、代码和文档修订的公开复用版，管理操作主要通过浏览器单页界面和受保护的 JSON API 完成。</w:t>
      </w:r>
    </w:p>
    <w:p>
      <w:pPr>
        <w:pStyle w:val="Heading2"/>
        <w:keepNext/>
      </w:pPr>
      <w:r>
        <w:t>2.1 系统角色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700"/>
        <w:gridCol w:w="2960"/>
      </w:tblGrid>
      <w:tr>
        <w:trPr>
          <w:cantSplit/>
          <w:tblHeader w:val="true"/>
        </w:trPr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4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权限与职责</w:t>
            </w:r>
          </w:p>
        </w:tc>
        <w:tc>
          <w:tcPr>
            <w:tcW w:type="dxa" w:w="2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超级管理员</w:t>
            </w:r>
          </w:p>
        </w:tc>
        <w:tc>
          <w:tcPr>
            <w:tcW w:type="dxa" w:w="4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登录系统；创建、停用或删除管理员；执行全部管理操作</w:t>
            </w:r>
          </w:p>
        </w:tc>
        <w:tc>
          <w:tcPr>
            <w:tcW w:type="dxa" w:w="2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仍需妥善配置密钥与管理员密码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管理员</w:t>
            </w:r>
          </w:p>
        </w:tc>
        <w:tc>
          <w:tcPr>
            <w:tcW w:type="dxa" w:w="4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维护用户、车位、记录、预约、配置并运行规则功能</w:t>
            </w:r>
          </w:p>
        </w:tc>
        <w:tc>
          <w:tcPr>
            <w:tcW w:type="dxa" w:w="2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按部署方停车场运营制度配置和执行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公开示例用户</w:t>
            </w:r>
          </w:p>
        </w:tc>
        <w:tc>
          <w:tcPr>
            <w:tcW w:type="dxa" w:w="4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由公开初始化脚本生成，用于展示车辆、需求、积分和停车流程</w:t>
            </w:r>
          </w:p>
        </w:tc>
        <w:tc>
          <w:tcPr>
            <w:tcW w:type="dxa" w:w="2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不对应真实个人</w:t>
            </w:r>
          </w:p>
        </w:tc>
      </w:tr>
      <w:tr>
        <w:trPr>
          <w:cantSplit/>
        </w:trPr>
        <w:tc>
          <w:tcPr>
            <w:tcW w:type="dxa" w:w="1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外部设备</w:t>
            </w:r>
          </w:p>
        </w:tc>
        <w:tc>
          <w:tcPr>
            <w:tcW w:type="dxa" w:w="47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公开仓库未包含上海现场的相机、道闸、支付和车牌识别接入配置</w:t>
            </w:r>
          </w:p>
        </w:tc>
        <w:tc>
          <w:tcPr>
            <w:tcW w:type="dxa" w:w="29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复用部署需按场地完成接口和安全配置</w:t>
            </w:r>
          </w:p>
        </w:tc>
      </w:tr>
    </w:tbl>
    <w:p>
      <w:pPr>
        <w:pStyle w:val="Heading2"/>
        <w:keepNext/>
      </w:pPr>
      <w:r>
        <w:t>2.2 功能模块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当前实现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身份与权限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管理员登录、JWT 会话、管理员管理、修改密码。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用户管理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用户资料、车辆尺寸、车牌、无障碍需求、积分和信用记录。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车位管理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车位创建、状态查询、容量统计、指定分配和规则分配。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停车记录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车辆进入、活动记录、离场、车牌查询和合规统计。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预约管理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预约创建、查询、修改、取消、签到和可用车位查询。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规则能力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历史流量基线、长时停车检查、容量阈值提示和系统配置。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展示与接口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原生浏览器单页界面、FastAPI OpenAPI 文档和健康检查。</w:t>
            </w:r>
          </w:p>
        </w:tc>
      </w:tr>
    </w:tbl>
    <w:p>
      <w:pPr>
        <w:pStyle w:val="Heading1"/>
        <w:keepNext/>
      </w:pPr>
      <w:r>
        <w:t>3. 技术架构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600"/>
        <w:gridCol w:w="5260"/>
      </w:tblGrid>
      <w:tr>
        <w:trPr>
          <w:cantSplit/>
          <w:tblHeader w:val="true"/>
        </w:trPr>
        <w:tc>
          <w:tcPr>
            <w:tcW w:type="dxa" w:w="1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技术</w:t>
            </w:r>
          </w:p>
        </w:tc>
        <w:tc>
          <w:tcPr>
            <w:tcW w:type="dxa" w:w="5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界面层</w:t>
            </w:r>
          </w:p>
        </w:tc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HTML / CSS / JavaScript</w:t>
            </w:r>
          </w:p>
        </w:tc>
        <w:tc>
          <w:tcPr>
            <w:tcW w:type="dxa" w:w="5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呈现看板、表单和管理操作；通过 JSON 请求访问后端。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接口层</w:t>
            </w:r>
          </w:p>
        </w:tc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FastAPI / Pydantic</w:t>
            </w:r>
          </w:p>
        </w:tc>
        <w:tc>
          <w:tcPr>
            <w:tcW w:type="dxa" w:w="5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提供路由、输入输出校验、OpenAPI 文档和统一鉴权依赖。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业务层</w:t>
            </w:r>
          </w:p>
        </w:tc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Python 规则模块</w:t>
            </w:r>
          </w:p>
        </w:tc>
        <w:tc>
          <w:tcPr>
            <w:tcW w:type="dxa" w:w="5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执行车位评分、历史基线、长时停车和容量提示。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数据层</w:t>
            </w:r>
          </w:p>
        </w:tc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SQLAlchemy / SQLite</w:t>
            </w:r>
          </w:p>
        </w:tc>
        <w:tc>
          <w:tcPr>
            <w:tcW w:type="dxa" w:w="5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保存管理员、用户、车位、记录、预约、积分和配置。</w:t>
            </w:r>
          </w:p>
        </w:tc>
      </w:tr>
      <w:tr>
        <w:trPr>
          <w:cantSplit/>
        </w:trPr>
        <w:tc>
          <w:tcPr>
            <w:tcW w:type="dxa" w:w="15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验证层</w:t>
            </w:r>
          </w:p>
        </w:tc>
        <w:tc>
          <w:tcPr>
            <w:tcW w:type="dxa" w:w="26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pytest / GitHub Actions</w:t>
            </w:r>
          </w:p>
        </w:tc>
        <w:tc>
          <w:tcPr>
            <w:tcW w:type="dxa" w:w="5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在推送与拉取请求中检查关键接口和规则行为。</w:t>
            </w:r>
          </w:p>
        </w:tc>
      </w:tr>
    </w:tbl>
    <w:p>
      <w:pPr>
        <w:pStyle w:val="Heading2"/>
        <w:keepNext/>
      </w:pPr>
      <w:r>
        <w:t>3.1 主要请求链路</w:t>
      </w:r>
    </w:p>
    <w:p>
      <w:pPr>
        <w:pStyle w:val="ListNumber"/>
        <w:spacing w:after="120" w:line="269" w:lineRule="auto"/>
      </w:pPr>
      <w:r>
        <w:rPr>
          <w:rFonts w:ascii="Arial" w:hAnsi="Arial" w:eastAsia="STHeiti"/>
          <w:sz w:val="21"/>
        </w:rPr>
        <w:t>管理员通过登录接口提交凭据，服务端验证 bcrypt 密码哈希并签发 JWT。</w:t>
      </w:r>
    </w:p>
    <w:p>
      <w:pPr>
        <w:pStyle w:val="ListNumber"/>
        <w:spacing w:after="120" w:line="269" w:lineRule="auto"/>
      </w:pPr>
      <w:r>
        <w:rPr>
          <w:rFonts w:ascii="Arial" w:hAnsi="Arial" w:eastAsia="STHeiti"/>
          <w:sz w:val="21"/>
        </w:rPr>
        <w:t>浏览器在后续管理请求中携带 Bearer Token。</w:t>
      </w:r>
    </w:p>
    <w:p>
      <w:pPr>
        <w:pStyle w:val="ListNumber"/>
        <w:spacing w:after="120" w:line="269" w:lineRule="auto"/>
      </w:pPr>
      <w:r>
        <w:rPr>
          <w:rFonts w:ascii="Arial" w:hAnsi="Arial" w:eastAsia="STHeiti"/>
          <w:sz w:val="21"/>
        </w:rPr>
        <w:t>FastAPI 路由完成权限检查和输入校验后调用数据库或规则模块。</w:t>
      </w:r>
    </w:p>
    <w:p>
      <w:pPr>
        <w:pStyle w:val="ListNumber"/>
        <w:spacing w:after="120" w:line="269" w:lineRule="auto"/>
      </w:pPr>
      <w:r>
        <w:rPr>
          <w:rFonts w:ascii="Arial" w:hAnsi="Arial" w:eastAsia="STHeiti"/>
          <w:sz w:val="21"/>
        </w:rPr>
        <w:t>SQLAlchemy 读写 SQLite，并把结构化结果返回给接口层。</w:t>
      </w:r>
    </w:p>
    <w:p>
      <w:pPr>
        <w:pStyle w:val="ListNumber"/>
        <w:spacing w:after="120" w:line="269" w:lineRule="auto"/>
      </w:pPr>
      <w:r>
        <w:rPr>
          <w:rFonts w:ascii="Arial" w:hAnsi="Arial" w:eastAsia="STHeiti"/>
          <w:sz w:val="21"/>
        </w:rPr>
        <w:t>前端刷新容量、记录、预约、规则提示和配置状态。</w:t>
      </w:r>
    </w:p>
    <w:p>
      <w:pPr>
        <w:pStyle w:val="Heading1"/>
        <w:keepNext/>
      </w:pPr>
      <w:r>
        <w:t>4. 数据设计</w:t>
      </w:r>
    </w:p>
    <w:p>
      <w:pPr>
        <w:spacing w:after="120" w:line="264" w:lineRule="auto"/>
      </w:pPr>
      <w:r>
        <w:rPr>
          <w:rFonts w:ascii="Arial" w:hAnsi="Arial" w:eastAsia="STHeiti"/>
          <w:sz w:val="21"/>
        </w:rPr>
        <w:t>v7 沿用 v6 的用户、车位和停车记录主线，并扩展为当前代码中的九类核心实体。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实体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Admin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管理员账号、超级管理员标识、状态与密码哈希。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User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用户、车辆、车牌、联系方式、无障碍需求、积分与状态。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ParkingSpot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车位编号、楼层、尺寸、无障碍属性和占用状态。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ParkingRecord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进入、离开、车位、车牌及停车时长相关记录。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Reservation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用户、车位、预约时间、状态和签到信息。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CreditRecord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信用或奖惩记录及其原因。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PointRecord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积分变动、兑换和余额相关记录。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SystemConfig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容量阈值、长时停车阈值等可配置参数。</w:t>
            </w:r>
          </w:p>
        </w:tc>
      </w:tr>
      <w:tr>
        <w:trPr>
          <w:cantSplit/>
        </w:trPr>
        <w:tc>
          <w:tcPr>
            <w:tcW w:type="dxa" w:w="2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TrafficPrediction</w:t>
            </w:r>
          </w:p>
        </w:tc>
        <w:tc>
          <w:tcPr>
            <w:tcW w:type="dxa" w:w="72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为接口兼容保存的历史基线结果，不代表训练模型输出。</w:t>
            </w:r>
          </w:p>
        </w:tc>
      </w:tr>
    </w:tbl>
    <w:p>
      <w:pPr>
        <w:pStyle w:val="Heading2"/>
        <w:keepNext/>
      </w:pPr>
      <w:r>
        <w:t>4.1 公开初始化数据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F4F6F9" w:val="clear"/>
            <w:tcBorders>
              <w:top w:val="single" w:sz="8" w:space="0" w:color="9FB6CC"/>
              <w:left w:val="single" w:sz="8" w:space="0" w:color="9FB6CC"/>
              <w:bottom w:val="single" w:sz="8" w:space="0" w:color="9FB6CC"/>
              <w:right w:val="single" w:sz="8" w:space="0" w:color="9FB6CC"/>
              <w:insideH w:val="single" w:sz="8" w:space="0" w:color="9FB6CC"/>
              <w:insideV w:val="single" w:sz="8" w:space="0" w:color="9FB6CC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40" w:after="40" w:line="269" w:lineRule="auto"/>
            </w:pPr>
            <w:r>
              <w:rPr>
                <w:rFonts w:ascii="Arial" w:hAnsi="Arial" w:eastAsia="STHeiti"/>
                <w:b/>
                <w:color w:val="1F4D78"/>
                <w:sz w:val="21"/>
              </w:rPr>
              <w:t>数据说明：公开初始化脚本创建 286 个示例车位和少量示例用户，用于呈现管理界面与操作流程。这些示例数据不对应真实个人或具体停车场，并与上海现场业务数据分开。</w:t>
            </w:r>
            <w:r>
              <w:rPr>
                <w:rFonts w:ascii="Arial" w:hAnsi="Arial" w:eastAsia="STHeiti"/>
                <w:color w:val="0B2545"/>
                <w:sz w:val="21"/>
              </w:rPr>
              <w:t/>
            </w:r>
          </w:p>
        </w:tc>
      </w:tr>
    </w:tbl>
    <w:p>
      <w:pPr>
        <w:pStyle w:val="Heading1"/>
        <w:keepNext/>
      </w:pPr>
      <w:r>
        <w:t>5. 可解释规则设计</w:t>
      </w:r>
    </w:p>
    <w:p>
      <w:pPr>
        <w:pStyle w:val="Heading2"/>
        <w:keepNext/>
      </w:pPr>
      <w:r>
        <w:t>5.1 历史流量基线</w:t>
      </w:r>
    </w:p>
    <w:p>
      <w:pPr>
        <w:spacing w:after="120" w:line="264" w:lineRule="auto"/>
      </w:pPr>
      <w:r>
        <w:rPr>
          <w:rFonts w:ascii="Arial" w:hAnsi="Arial" w:eastAsia="STHeiti"/>
          <w:sz w:val="21"/>
        </w:rPr>
        <w:t>系统按历史进入记录的小时分布计数，识别高频时段并估计观察期内的日均进入量。接口中的 confidence 是受上限约束的样本覆盖度指标，不是统计置信区间，也不是模型概率。无历史记录时返回零值。</w:t>
      </w:r>
    </w:p>
    <w:p>
      <w:pPr>
        <w:pStyle w:val="Heading2"/>
        <w:keepNext/>
      </w:pPr>
      <w:r>
        <w:t>5.2 车位评分</w:t>
      </w:r>
    </w:p>
    <w:p>
      <w:pPr>
        <w:spacing w:after="120" w:line="264" w:lineRule="auto"/>
      </w:pPr>
      <w:r>
        <w:rPr>
          <w:rFonts w:ascii="Arial" w:hAnsi="Arial" w:eastAsia="STHeiti"/>
          <w:sz w:val="21"/>
        </w:rPr>
        <w:t>SmartScheduler 根据车辆尺寸是否匹配、用户是否需要无障碍车位以及楼层偏好计算透明分数，并从可用车位中选择结果。该方法可复现、可检查，但不宣称已经证明全局最优。</w:t>
      </w:r>
    </w:p>
    <w:p>
      <w:pPr>
        <w:pStyle w:val="Heading2"/>
        <w:keepNext/>
      </w:pPr>
      <w:r>
        <w:t>5.3 长时停车与容量提示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长时停车检查：将记录中的月度停车天数与配置阈值比较，形成提醒。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容量提示：将当前占用率与配置阈值比较，触发管理提示。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系统提示用于辅助管理，不自动执行法律、收费或物理扩容决策；具体处置按部署方运营制度执行。</w:t>
      </w:r>
    </w:p>
    <w:p>
      <w:pPr>
        <w:pStyle w:val="Heading1"/>
        <w:keepNext/>
      </w:pPr>
      <w:r>
        <w:t>6. 安全设计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控制点</w:t>
            </w:r>
          </w:p>
        </w:tc>
        <w:tc>
          <w:tcPr>
            <w:tcW w:type="dxa" w:w="70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v7 设计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密码</w:t>
            </w:r>
          </w:p>
        </w:tc>
        <w:tc>
          <w:tcPr>
            <w:tcW w:type="dxa" w:w="70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使用 bcrypt 加盐哈希；不在代码中保留固定管理员密码。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会话</w:t>
            </w:r>
          </w:p>
        </w:tc>
        <w:tc>
          <w:tcPr>
            <w:tcW w:type="dxa" w:w="70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管理员登录后使用 JWT；管理接口统一要求有效身份。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管理员权限</w:t>
            </w:r>
          </w:p>
        </w:tc>
        <w:tc>
          <w:tcPr>
            <w:tcW w:type="dxa" w:w="70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管理员创建与管理由超级管理员控制。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密钥</w:t>
            </w:r>
          </w:p>
        </w:tc>
        <w:tc>
          <w:tcPr>
            <w:tcW w:type="dxa" w:w="70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开发环境可生成临时密钥；生产环境缺少强 SECRET_KEY 时拒绝启动。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网络暴露</w:t>
            </w:r>
          </w:p>
        </w:tc>
        <w:tc>
          <w:tcPr>
            <w:tcW w:type="dxa" w:w="70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默认监听 127.0.0.1；CORS 默认仅允许本机来源。</w:t>
            </w:r>
          </w:p>
        </w:tc>
      </w:tr>
      <w:tr>
        <w:trPr>
          <w:cantSplit/>
        </w:trPr>
        <w:tc>
          <w:tcPr>
            <w:tcW w:type="dxa" w:w="23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输入与展示</w:t>
            </w:r>
          </w:p>
        </w:tc>
        <w:tc>
          <w:tcPr>
            <w:tcW w:type="dxa" w:w="706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Pydantic 校验请求；前端表格转义数据以降低存储型 XSS 风险。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</w:tblPr>
      <w:tblGrid>
        <w:gridCol w:w="9360"/>
      </w:tblGrid>
      <w:tr>
        <w:trPr/>
        <w:tc>
          <w:tcPr>
            <w:tcW w:type="dxa" w:w="9360"/>
            <w:shd w:fill="F4F6F9" w:val="clear"/>
            <w:tcBorders>
              <w:top w:val="single" w:sz="8" w:space="0" w:color="9FB6CC"/>
              <w:left w:val="single" w:sz="8" w:space="0" w:color="9FB6CC"/>
              <w:bottom w:val="single" w:sz="8" w:space="0" w:color="9FB6CC"/>
              <w:right w:val="single" w:sz="8" w:space="0" w:color="9FB6CC"/>
              <w:insideH w:val="single" w:sz="8" w:space="0" w:color="9FB6CC"/>
              <w:insideV w:val="single" w:sz="8" w:space="0" w:color="9FB6CC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before="40" w:after="40" w:line="269" w:lineRule="auto"/>
            </w:pPr>
            <w:r>
              <w:rPr>
                <w:rFonts w:ascii="Arial" w:hAnsi="Arial" w:eastAsia="STHeiti"/>
                <w:b/>
                <w:color w:val="1F4D78"/>
                <w:sz w:val="21"/>
              </w:rPr>
              <w:t>部署说明：公开版提供通用安全控制；上海现场及其他部署应按各自环境配置威胁建模、审计日志、备份、监控、数据库迁移和硬件安全集成。</w:t>
            </w:r>
            <w:r>
              <w:rPr>
                <w:rFonts w:ascii="Arial" w:hAnsi="Arial" w:eastAsia="STHeiti"/>
                <w:color w:val="0B2545"/>
                <w:sz w:val="21"/>
              </w:rPr>
              <w:t/>
            </w:r>
          </w:p>
        </w:tc>
      </w:tr>
    </w:tbl>
    <w:p>
      <w:pPr>
        <w:pStyle w:val="Heading1"/>
        <w:keepNext/>
      </w:pPr>
      <w:r>
        <w:t>7. 测试与质量保证</w:t>
      </w:r>
    </w:p>
    <w:p>
      <w:pPr>
        <w:spacing w:after="120" w:line="264" w:lineRule="auto"/>
      </w:pPr>
      <w:r>
        <w:rPr>
          <w:rFonts w:ascii="Arial" w:hAnsi="Arial" w:eastAsia="STHeiti"/>
          <w:sz w:val="21"/>
        </w:rPr>
        <w:t>自动化 API 测试覆盖以下关键行为，并由 GitHub Actions 在代码推送和拉取请求时执行：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健康检查保持公开可用，管理接口必须登录。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相同明文密码产生不同的 bcrypt 加盐哈希。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超级管理员能够创建其他管理员。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停车流程、静态路由优先级与指定车位分配保持正确。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规则分配能够处理枚举大小写，并避免积分兑换重复扣减。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无历史数据时，流量基线稳定返回零值而不是随机结果。</w:t>
      </w:r>
    </w:p>
    <w:p>
      <w:pPr>
        <w:pStyle w:val="Heading1"/>
        <w:keepNext/>
      </w:pPr>
      <w:r>
        <w:t>8. 公开信息与现场数据边界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当前公开说明和可核对材料</w:t>
            </w:r>
          </w:p>
        </w:tc>
        <w:tc>
          <w:tcPr>
            <w:tcW w:type="dxa" w:w="46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公开包未包含或未声明</w:t>
            </w:r>
          </w:p>
        </w:tc>
      </w:tr>
      <w:tr>
        <w:trPr>
          <w:cantSplit/>
        </w:trPr>
        <w:tc>
          <w:tcPr>
            <w:tcW w:type="dxa" w:w="46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项目维护者确认基础版本已在上海实际使用；公开版包含可运行的 FastAPI 后端、浏览器界面和 SQLite 数据模型。</w:t>
            </w:r>
          </w:p>
        </w:tc>
        <w:tc>
          <w:tcPr>
            <w:tcW w:type="dxa" w:w="46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上海现场地址、身份信息、访问凭据和实时原始运营数据。</w:t>
            </w:r>
          </w:p>
        </w:tc>
      </w:tr>
      <w:tr>
        <w:trPr>
          <w:cantSplit/>
        </w:trPr>
        <w:tc>
          <w:tcPr>
            <w:tcW w:type="dxa" w:w="46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关键认证、路由和停车规则具有自动化测试。</w:t>
            </w:r>
          </w:p>
        </w:tc>
        <w:tc>
          <w:tcPr>
            <w:tcW w:type="dxa" w:w="46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现场人员身份、个人测试记录或授权表。</w:t>
            </w:r>
          </w:p>
        </w:tc>
      </w:tr>
      <w:tr>
        <w:trPr>
          <w:cantSplit/>
        </w:trPr>
        <w:tc>
          <w:tcPr>
            <w:tcW w:type="dxa" w:w="46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公开初始化脚本可创建 286 个示例车位。</w:t>
            </w:r>
          </w:p>
        </w:tc>
        <w:tc>
          <w:tcPr>
            <w:tcW w:type="dxa" w:w="46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现场原始前后对比数据和可复现的效率测量包。</w:t>
            </w:r>
          </w:p>
        </w:tc>
      </w:tr>
      <w:tr>
        <w:trPr>
          <w:cantSplit/>
        </w:trPr>
        <w:tc>
          <w:tcPr>
            <w:tcW w:type="dxa" w:w="46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车位调度和流量基线逻辑可以阅读与复现。</w:t>
            </w:r>
          </w:p>
        </w:tc>
        <w:tc>
          <w:tcPr>
            <w:tcW w:type="dxa" w:w="46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已训练机器学习模型或达到特定预测准确率。</w:t>
            </w:r>
          </w:p>
        </w:tc>
      </w:tr>
      <w:tr>
        <w:trPr>
          <w:cantSplit/>
        </w:trPr>
        <w:tc>
          <w:tcPr>
            <w:tcW w:type="dxa" w:w="46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MIT 许可证允许按条款下载与复用。</w:t>
            </w:r>
          </w:p>
        </w:tc>
        <w:tc>
          <w:tcPr>
            <w:tcW w:type="dxa" w:w="468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达到某一延迟、吞吐或并发用户指标。</w:t>
            </w:r>
          </w:p>
        </w:tc>
      </w:tr>
    </w:tbl>
    <w:p>
      <w:pPr>
        <w:pStyle w:val="Heading1"/>
        <w:keepNext/>
      </w:pPr>
      <w:r>
        <w:t>9. v7 验收清单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版本号在 README、pyproject、FastAPI 应用和更新日志中一致为 1.0.0。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初始化脚本可创建 286 个明确标注的公开示例车位。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本地启动后可访问界面、/docs 和 /health。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未登录的管理请求被拒绝，超级管理员权限符合设计。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pytest 自动测试通过，GitHub Actions 配置存在。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README、证据边界、安全政策、贡献指南和许可证齐全。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公开说明将初始化示例数据与上海现场业务数据明确分开，并按当前实现准确说明规则算法。</w:t>
      </w:r>
    </w:p>
    <w:p>
      <w:r>
        <w:br w:type="page"/>
      </w:r>
    </w:p>
    <w:p>
      <w:pPr>
        <w:pStyle w:val="Heading1"/>
        <w:keepNext/>
      </w:pPr>
      <w:r>
        <w:t>10. 版本演进关系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1100"/>
        <w:gridCol w:w="3840"/>
        <w:gridCol w:w="2770"/>
      </w:tblGrid>
      <w:tr>
        <w:trPr>
          <w:cantSplit/>
          <w:tblHeader w:val="true"/>
        </w:trPr>
        <w:tc>
          <w:tcPr>
            <w:tcW w:type="dxa" w:w="165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1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384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定位</w:t>
            </w:r>
          </w:p>
        </w:tc>
        <w:tc>
          <w:tcPr>
            <w:tcW w:type="dxa" w:w="277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  <w:shd w:fill="E8EEF5" w:val="clear"/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/>
                <w:color w:val="0B2545"/>
                <w:sz w:val="18"/>
              </w:rPr>
              <w:t>与下一阶段的关系</w:t>
            </w:r>
          </w:p>
        </w:tc>
      </w:tr>
      <w:tr>
        <w:trPr>
          <w:cantSplit/>
        </w:trPr>
        <w:tc>
          <w:tcPr>
            <w:tcW w:type="dxa" w:w="165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2026-04-14</w:t>
            </w:r>
          </w:p>
        </w:tc>
        <w:tc>
          <w:tcPr>
            <w:tcW w:type="dxa" w:w="1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v4</w:t>
            </w:r>
          </w:p>
        </w:tc>
        <w:tc>
          <w:tcPr>
            <w:tcW w:type="dxa" w:w="384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历史设计材料；记录早期需求与界面方向。</w:t>
            </w:r>
          </w:p>
        </w:tc>
        <w:tc>
          <w:tcPr>
            <w:tcW w:type="dxa" w:w="277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为后续功能细化提供材料。</w:t>
            </w:r>
          </w:p>
        </w:tc>
      </w:tr>
      <w:tr>
        <w:trPr>
          <w:cantSplit/>
        </w:trPr>
        <w:tc>
          <w:tcPr>
            <w:tcW w:type="dxa" w:w="165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2026-06-15</w:t>
            </w:r>
          </w:p>
        </w:tc>
        <w:tc>
          <w:tcPr>
            <w:tcW w:type="dxa" w:w="1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v5</w:t>
            </w:r>
          </w:p>
        </w:tc>
        <w:tc>
          <w:tcPr>
            <w:tcW w:type="dxa" w:w="384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历史过渡版本。</w:t>
            </w:r>
          </w:p>
        </w:tc>
        <w:tc>
          <w:tcPr>
            <w:tcW w:type="dxa" w:w="277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连接早期设计与 7 月整合稿。</w:t>
            </w:r>
          </w:p>
        </w:tc>
      </w:tr>
      <w:tr>
        <w:trPr>
          <w:cantSplit/>
        </w:trPr>
        <w:tc>
          <w:tcPr>
            <w:tcW w:type="dxa" w:w="165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2026-07-10</w:t>
            </w:r>
          </w:p>
        </w:tc>
        <w:tc>
          <w:tcPr>
            <w:tcW w:type="dxa" w:w="1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v6</w:t>
            </w:r>
          </w:p>
        </w:tc>
        <w:tc>
          <w:tcPr>
            <w:tcW w:type="dxa" w:w="384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本次直接基线；形成核心思想、功能点、数据表和两端界面方向。</w:t>
            </w:r>
          </w:p>
        </w:tc>
        <w:tc>
          <w:tcPr>
            <w:tcW w:type="dxa" w:w="277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由 v7 工程化、测试化并规范公开表述。</w:t>
            </w:r>
          </w:p>
        </w:tc>
      </w:tr>
      <w:tr>
        <w:trPr>
          <w:cantSplit/>
        </w:trPr>
        <w:tc>
          <w:tcPr>
            <w:tcW w:type="dxa" w:w="165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2026-08-25</w:t>
            </w:r>
          </w:p>
        </w:tc>
        <w:tc>
          <w:tcPr>
            <w:tcW w:type="dxa" w:w="110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v7</w:t>
            </w:r>
          </w:p>
        </w:tc>
        <w:tc>
          <w:tcPr>
            <w:tcW w:type="dxa" w:w="384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公开复用版迭代；基于上海实际使用版本统一实现、安全、正确性、测试、文档与数据边界。</w:t>
            </w:r>
          </w:p>
        </w:tc>
        <w:tc>
          <w:tcPr>
            <w:tcW w:type="dxa" w:w="2770"/>
            <w:tcMar>
              <w:top w:w="95" w:type="dxa"/>
              <w:bottom w:w="95" w:type="dxa"/>
              <w:start w:w="120" w:type="dxa"/>
              <w:end w:w="120" w:type="dxa"/>
            </w:tcMar>
            <w:vAlign w:val="center"/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  <w:insideH w:val="single" w:sz="6" w:space="0" w:color="C9D2DC"/>
              <w:insideV w:val="single" w:sz="6" w:space="0" w:color="C9D2D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 w:eastAsia="STHeiti"/>
                <w:b w:val="0"/>
                <w:color w:val="000000"/>
                <w:sz w:val="18"/>
              </w:rPr>
              <w:t>作为当前公开材料中的最新设计版本。</w:t>
            </w:r>
          </w:p>
        </w:tc>
      </w:tr>
    </w:tbl>
    <w:p>
      <w:pPr>
        <w:spacing w:after="120" w:line="264" w:lineRule="auto"/>
      </w:pPr>
      <w:r>
        <w:rPr>
          <w:rFonts w:ascii="Arial" w:hAnsi="Arial" w:eastAsia="STHeiti"/>
          <w:sz w:val="21"/>
        </w:rPr>
        <w:t>说明：历史版本日期以文件名中的版本标识为准；文档名称和 Office 元数据用于版本索引。上海实际使用状态以项目维护者当前说明为准，现场细节和运营效果依据可授权发布的材料说明。</w:t>
      </w:r>
    </w:p>
    <w:p>
      <w:pPr>
        <w:pStyle w:val="Heading1"/>
        <w:keepNext/>
      </w:pPr>
      <w:r>
        <w:t>11. 后续方向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如扩大上海现场使用范围或复制到新场地，应先完成隐私授权、审计日志、威胁建模、备份与监控配置。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若需要证明效率提升，预先定义基线、统计周期、样本量、指标、计算方法和匿名化规则，再采集真实数据。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若继续使用“AI”表述，应新增可重复的模型训练、评估、版本和误差分析材料。</w:t>
      </w:r>
    </w:p>
    <w:p>
      <w:pPr>
        <w:pStyle w:val="ListBullet"/>
        <w:spacing w:after="120" w:line="269" w:lineRule="auto"/>
      </w:pPr>
      <w:r>
        <w:rPr>
          <w:rFonts w:ascii="Arial" w:hAnsi="Arial" w:eastAsia="STHeiti"/>
          <w:sz w:val="21"/>
        </w:rPr>
        <w:t>若接入相机、道闸、支付或车牌识别，应为每项硬件建立接口、安全和故障降级设计。</w:t>
      </w:r>
    </w:p>
    <w:p>
      <w:pPr>
        <w:pStyle w:val="Heading2"/>
        <w:keepNext/>
      </w:pPr>
      <w:r>
        <w:t>附：本版本核对来源</w:t>
      </w:r>
    </w:p>
    <w:p>
      <w:pPr>
        <w:spacing w:after="120" w:line="264" w:lineRule="auto"/>
      </w:pPr>
      <w:r>
        <w:rPr>
          <w:rFonts w:ascii="Arial" w:hAnsi="Arial" w:eastAsia="STHeiti"/>
          <w:sz w:val="21"/>
        </w:rPr>
        <w:t>本文件根据当前公开版的 README.md、PUBLIC_RELEASE.md、EVIDENCE_AND_LIMITATIONS.md、doc/manual/CHANGELOG.md、backend/、frontend/、tests/ 和 .github/workflows/ 整理。若历史材料与当前实现冲突，以根目录 README 和 EVIDENCE_AND_LIMITATIONS.md 的公开边界为准。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STHeiti"/>
        <w:color w:val="5D6875"/>
        <w:sz w:val="18"/>
      </w:rPr>
      <w:t xml:space="preserve">v7 · 2026-08-25    第 </w:t>
    </w:r>
    <w:r>
      <w:rPr>
        <w:rFonts w:ascii="Arial" w:hAnsi="Arial" w:eastAsia="STHeiti"/>
        <w:color w:val="5D687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STHeiti"/>
        <w:color w:val="5D6875"/>
        <w:sz w:val="18"/>
      </w:rPr>
      <w:t xml:space="preserve"> 页 / 共 </w:t>
    </w:r>
    <w:r>
      <w:rPr>
        <w:rFonts w:ascii="Arial" w:hAnsi="Arial" w:eastAsia="STHeiti"/>
        <w:color w:val="5D6875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Arial" w:hAnsi="Arial" w:eastAsia="STHeiti"/>
        <w:color w:val="5D68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STHeiti"/>
        <w:b/>
        <w:color w:val="5D6875"/>
        <w:sz w:val="17"/>
      </w:rPr>
      <w:t>AI+园区停车场系统  |  设计迭代文档 v7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STHeit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STHeit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9" w:lineRule="auto"/>
      <w:ind w:left="720" w:hanging="360"/>
      <w:contextualSpacing/>
    </w:pPr>
    <w:rPr>
      <w:rFonts w:ascii="Arial" w:hAnsi="Arial" w:eastAsia="STHeit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69" w:lineRule="auto"/>
      <w:ind w:left="1080" w:hanging="360"/>
      <w:contextualSpacing/>
    </w:pPr>
    <w:rPr>
      <w:rFonts w:ascii="Arial" w:hAnsi="Arial" w:eastAsia="STHeiti"/>
      <w:b w:val="0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9" w:lineRule="auto"/>
      <w:ind w:left="720" w:hanging="360"/>
      <w:contextualSpacing/>
    </w:pPr>
    <w:rPr>
      <w:rFonts w:ascii="Arial" w:hAnsi="Arial" w:eastAsia="STHeit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Kicker">
    <w:name w:val="Document Kicker"/>
    <w:pPr>
      <w:spacing w:before="0" w:after="80"/>
    </w:pPr>
    <w:rPr>
      <w:rFonts w:ascii="Arial" w:hAnsi="Arial" w:eastAsia="STHeiti"/>
      <w:b/>
      <w:color w:val="8A63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AI+园区停车场系统设计 v7</dc:title>
  <dc:subject>2026年8月公开版设计迭代说明</dc:subject>
  <dc:creator/>
  <cp:keywords>停车场, FastAPI, 设计迭代, v7, 公开版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