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888"/>
        <w:ind w:left="0" w:right="0"/>
      </w:pPr>
      <w:r/>
    </w:p>
    <w:p>
      <w:pPr>
        <w:autoSpaceDN w:val="0"/>
        <w:autoSpaceDE w:val="0"/>
        <w:widowControl/>
        <w:spacing w:line="360" w:lineRule="exact" w:before="38" w:after="0"/>
        <w:ind w:left="1152" w:right="864" w:firstLine="0"/>
        <w:jc w:val="center"/>
      </w:pPr>
      <w:r>
        <w:t>pdf2table：一種從PDF文件中提取表格信息的方法</w:t>
      </w:r>
    </w:p>
    <w:p>
      <w:pPr>
        <w:autoSpaceDN w:val="0"/>
        <w:autoSpaceDE w:val="0"/>
        <w:widowControl/>
        <w:spacing w:line="266" w:lineRule="exact" w:before="382" w:after="0"/>
        <w:ind w:left="0" w:right="2296" w:firstLine="0"/>
        <w:jc w:val="right"/>
      </w:pPr>
      <w:r>
        <w:t>布爾庫·伊爾迪茲、凱瑟琳娜·凱撒和西爾維婭·米克什</w:t>
      </w:r>
    </w:p>
    <w:p>
      <w:pPr>
        <w:autoSpaceDN w:val="0"/>
        <w:autoSpaceDE w:val="0"/>
        <w:widowControl/>
        <w:spacing w:line="222" w:lineRule="exact" w:before="190" w:after="0"/>
        <w:ind w:left="2592" w:right="2304" w:firstLine="0"/>
        <w:jc w:val="center"/>
      </w:pPr>
      <w:r>
        <w:t xml:space="preserve">軟件技術與交互系統研究所 </w:t>
        <w:br/>
        <w:t>維也納科技大學，維也納，奧地利</w:t>
      </w:r>
    </w:p>
    <w:p>
      <w:pPr>
        <w:autoSpaceDN w:val="0"/>
        <w:autoSpaceDE w:val="0"/>
        <w:widowControl/>
        <w:spacing w:line="224" w:lineRule="exact" w:before="0" w:after="0"/>
        <w:ind w:left="0" w:right="1892" w:firstLine="0"/>
        <w:jc w:val="right"/>
      </w:pPr>
      <w:r>
        <w:t>{yildiz, 凱撒, 西爾維婭}@asgaard.tuwien.ac.at</w:t>
      </w:r>
    </w:p>
    <w:p>
      <w:pPr>
        <w:autoSpaceDN w:val="0"/>
        <w:autoSpaceDE w:val="0"/>
        <w:widowControl/>
        <w:spacing w:line="218" w:lineRule="exact" w:before="566" w:after="0"/>
        <w:ind w:left="1822" w:right="1416" w:firstLine="0"/>
        <w:jc w:val="both"/>
      </w:pPr>
      <w:r>
        <w:t>抽象的。表格是許多文檔（例如 PDF 文件）中的常見結構元素。為了重用此類表，需要開發適當的方法來捕獲結構和內容信息。我們開發了幾種啟發式方法，它們可以一起識別和分解 PDF 文件中的表格，並以結構化數據格式 (XML) 存儲提取的數據，以便於重用。此外，我們還實現了一個原型，使用戶能夠對提取的數據進行調整。我們的工作表明，純粹基於啟發式的方法可以取得良好的結果，特別是對於清晰的表格。</w:t>
      </w:r>
    </w:p>
    <w:p>
      <w:pPr>
        <w:autoSpaceDN w:val="0"/>
        <w:tabs>
          <w:tab w:pos="1612" w:val="left"/>
        </w:tabs>
        <w:autoSpaceDE w:val="0"/>
        <w:widowControl/>
        <w:spacing w:line="330" w:lineRule="exact" w:before="362" w:after="0"/>
        <w:ind w:left="1256" w:right="0" w:firstLine="0"/>
        <w:jc w:val="left"/>
      </w:pPr>
      <w:r>
        <w:t>1 簡介</w:t>
      </w:r>
    </w:p>
    <w:p>
      <w:pPr>
        <w:autoSpaceDN w:val="0"/>
        <w:autoSpaceDE w:val="0"/>
        <w:widowControl/>
        <w:spacing w:line="240" w:lineRule="exact" w:before="198" w:after="0"/>
        <w:ind w:left="1256" w:right="844" w:firstLine="0"/>
        <w:jc w:val="both"/>
      </w:pPr>
      <w:r>
        <w:t>我們今天面臨的可訪問數據量使得有必要開發高效的信息工程概念和工具，以更好地處理和使用數據。信息工程包含如此廣泛的子領域，以至於人們不能指望單一概念或工具能夠滿足所有人的需求[1]。這些子領域之一是信息提取（IE）領域。 IE 的任務是從文本中提取相關事實並以某種有用的形式表示它們。該領域的發展受到 1987 年開始的一系列消息理解會議 (MUC) 的影響和促進，該會議作為評估不同站點開發的不同 IE 項目的平台 [2,3]。 IE領域還可以拆分成一些子任務。</w:t>
      </w:r>
    </w:p>
    <w:p>
      <w:pPr>
        <w:autoSpaceDN w:val="0"/>
        <w:autoSpaceDE w:val="0"/>
        <w:widowControl/>
        <w:spacing w:line="238" w:lineRule="exact" w:before="28" w:after="0"/>
        <w:ind w:left="1256" w:right="844" w:firstLine="300"/>
        <w:jc w:val="both"/>
      </w:pPr>
      <w:r>
        <w:t>其中一個子任務是表提取（TE）任務，這是本文的主題。這項任務很重要，因為表格是呈現和構建具有高信息密度的數據的最常見方式之一。然而，這並不是一件容易的事，因為表格可以有不同的格式。例如，一些表格可以有線條來指出單元格邊界，而其他表格可以只有空白來實現表格視圖。每張桌子唯一肯定有的就是內容。</w:t>
      </w:r>
    </w:p>
    <w:p>
      <w:pPr>
        <w:autoSpaceDN w:val="0"/>
        <w:autoSpaceDE w:val="0"/>
        <w:widowControl/>
        <w:spacing w:line="240" w:lineRule="exact" w:before="26" w:after="0"/>
        <w:ind w:left="1256" w:right="844" w:firstLine="300"/>
        <w:jc w:val="both"/>
      </w:pPr>
      <w:r>
        <w:t>此外，我們僅關注 PDF 文件作為輸入文件。這種數據格式被廣泛熟知和使用，因為它允許用戶創建在不同輸出設備上看起來相同的文件，無論它們是在哪種環境中創建的。</w:t>
      </w:r>
    </w:p>
    <w:p>
      <w:pPr>
        <w:autoSpaceDN w:val="0"/>
        <w:autoSpaceDE w:val="0"/>
        <w:widowControl/>
        <w:spacing w:line="240" w:lineRule="exact" w:before="26" w:after="0"/>
        <w:ind w:left="1256" w:right="846" w:firstLine="300"/>
        <w:jc w:val="both"/>
      </w:pPr>
      <w:r>
        <w:t>從整個 PDF 文件中提取不同類型的數據和信息本身就是一個研究領域。人們開發了各種工具來支持提取過程。比較 [4] 顯示，對於我們的目的來說，輸出最有用的工具是 Gueorgui Ovtcharov 和 Rainer Dorsch 開發的 pdftohtml1tool。這個工具</w:t>
      </w:r>
    </w:p>
    <w:p>
      <w:pPr>
        <w:autoSpaceDN w:val="0"/>
        <w:autoSpaceDE w:val="0"/>
        <w:widowControl/>
        <w:spacing w:line="314" w:lineRule="exact" w:before="52" w:after="0"/>
        <w:ind w:left="1340" w:right="0" w:firstLine="0"/>
        <w:jc w:val="left"/>
      </w:pPr>
      <w:r>
        <w:t>1 http://pdftohtml.sourceforge.net</w:t>
      </w:r>
    </w:p>
    <w:p>
      <w:pPr>
        <w:sectPr>
          <w:pgSz w:w="11900" w:h="16840"/>
          <w:pgMar w:top="1108" w:right="1440" w:bottom="1440" w:left="1440" w:header="720" w:footer="720" w:gutter="0"/>
          <w:cols/>
          <w:docGrid w:linePitch="360"/>
        </w:sectPr>
      </w:pPr>
      <w:r/>
    </w:p>
    <w:p>
      <w:pPr>
        <w:autoSpaceDN w:val="0"/>
        <w:autoSpaceDE w:val="0"/>
        <w:widowControl/>
        <w:spacing w:line="220" w:lineRule="exact" w:before="0" w:after="934"/>
        <w:ind w:left="0" w:right="0"/>
      </w:pPr>
      <w:r/>
    </w:p>
    <w:p>
      <w:pPr>
        <w:autoSpaceDN w:val="0"/>
        <w:autoSpaceDE w:val="0"/>
        <w:widowControl/>
        <w:spacing w:line="240" w:lineRule="exact" w:before="26" w:after="0"/>
        <w:ind w:left="1256" w:right="844" w:firstLine="0"/>
        <w:jc w:val="both"/>
      </w:pPr>
      <w:r>
        <w:t>返回 PDF 文件中的所有文本元素（即字符串）及其在原始文件中的絕對坐標。使用這個工具，我們的任務是利用半結構化文本文件的絕對坐標來​​提取表格信息。</w:t>
      </w:r>
    </w:p>
    <w:p>
      <w:pPr>
        <w:autoSpaceDN w:val="0"/>
        <w:tabs>
          <w:tab w:pos="1612" w:val="left"/>
        </w:tabs>
        <w:autoSpaceDE w:val="0"/>
        <w:widowControl/>
        <w:spacing w:line="332" w:lineRule="exact" w:before="372" w:after="0"/>
        <w:ind w:left="1256" w:right="0" w:firstLine="0"/>
        <w:jc w:val="left"/>
      </w:pPr>
      <w:r>
        <w:t>2 表提取</w:t>
      </w:r>
    </w:p>
    <w:p>
      <w:pPr>
        <w:autoSpaceDN w:val="0"/>
        <w:autoSpaceDE w:val="0"/>
        <w:widowControl/>
        <w:spacing w:line="240" w:lineRule="exact" w:before="258" w:after="0"/>
        <w:ind w:left="1256" w:right="846" w:firstLine="0"/>
        <w:jc w:val="both"/>
      </w:pPr>
      <w:r>
        <w:t>表提取（TE）是檢測和分解文檔中的表信息的任務。這項任務引起了研究人員的注意，因為表格是最常用的呈現和結構化數據的元素之一，應該提取它們以供重用。</w:t>
      </w:r>
    </w:p>
    <w:p>
      <w:pPr>
        <w:autoSpaceDN w:val="0"/>
        <w:autoSpaceDE w:val="0"/>
        <w:widowControl/>
        <w:spacing w:line="240" w:lineRule="exact" w:before="26" w:after="0"/>
        <w:ind w:left="1256" w:right="842" w:firstLine="300"/>
        <w:jc w:val="both"/>
      </w:pPr>
      <w:r>
        <w:t>雖然人類可以輕鬆識別和理解表格，但對於計算機來說卻不同，因為表格沒有任何共同的識別特徵。它們可以包含從圖形邊界線到指出行和單元格之間的邊界和分隔的分隔符，到僅用於實現表格視圖的空白。此外，它們在包含跨越行和/或列方面可以有所不同。使 TE 變得更困難的另一點是表格可以包含不同類型的內容，例如文本、圖形、數學公式等。 [5] 在開發我們的方法時，我們必須考慮所有解釋的困難。</w:t>
      </w:r>
    </w:p>
    <w:p>
      <w:pPr>
        <w:autoSpaceDN w:val="0"/>
        <w:autoSpaceDE w:val="0"/>
        <w:widowControl/>
        <w:spacing w:line="238" w:lineRule="exact" w:before="28" w:after="0"/>
        <w:ind w:left="1256" w:right="844" w:firstLine="300"/>
        <w:jc w:val="both"/>
      </w:pPr>
      <w:r>
        <w:t>我們的工作基於 pdftohtml 工具返回的數據（請參閱第 1 節）。對於 PDF 文件中的每個文本塊，它返回具有以下屬性的 XML 文本元素：</w:t>
      </w:r>
    </w:p>
    <w:p>
      <w:pPr>
        <w:autoSpaceDN w:val="0"/>
        <w:autoSpaceDE w:val="0"/>
        <w:widowControl/>
        <w:spacing w:line="248" w:lineRule="exact" w:before="196" w:after="0"/>
        <w:ind w:left="1394" w:right="1584" w:firstLine="0"/>
        <w:jc w:val="left"/>
      </w:pPr>
      <w:r>
        <w:t>– top = 距頁面頂部的垂直距離</w:t>
        <w:br/>
        <w:t>– left = 距頁面左邊框的水平距離</w:t>
        <w:br/>
        <w:t>– width = 文本塊的寬度</w:t>
        <w:br/>
        <w:t>– height = 文本塊的高度</w:t>
        <w:br/>
        <w:t>– font = 該屬性描述文本塊的大小、系列和顏色</w:t>
      </w:r>
    </w:p>
    <w:p>
      <w:pPr>
        <w:autoSpaceDN w:val="0"/>
        <w:autoSpaceDE w:val="0"/>
        <w:widowControl/>
        <w:spacing w:line="240" w:lineRule="exact" w:before="172" w:after="0"/>
        <w:ind w:left="1256" w:right="844" w:firstLine="300"/>
        <w:jc w:val="both"/>
      </w:pPr>
      <w:r>
        <w:t>我們限制我們的工作僅使用這五個屬性來提取表格信息，而不是例如線條等圖形組件。在應用 pdftohtml 工具後，我們必須從 XML 文檔中提取表格信息，其中的文本元素描述 PDF 文件中文本塊的絕對位置。</w:t>
      </w:r>
    </w:p>
    <w:p>
      <w:pPr>
        <w:autoSpaceDN w:val="0"/>
        <w:autoSpaceDE w:val="0"/>
        <w:widowControl/>
        <w:spacing w:line="238" w:lineRule="exact" w:before="28" w:after="0"/>
        <w:ind w:left="1256" w:right="844" w:firstLine="300"/>
        <w:jc w:val="both"/>
      </w:pPr>
      <w:r>
        <w:t>我們根據表的結構探索了不同類型的表，以開發幾種啟發式方法。這些啟發法可以分為兩大類：(1) 旨在識別表的啟發法和 (2) 旨在分解表的啟發法。</w:t>
      </w:r>
    </w:p>
    <w:p>
      <w:pPr>
        <w:autoSpaceDN w:val="0"/>
        <w:autoSpaceDE w:val="0"/>
        <w:widowControl/>
        <w:spacing w:line="236" w:lineRule="exact" w:before="260" w:after="0"/>
        <w:ind w:left="1594" w:right="844" w:hanging="338"/>
        <w:jc w:val="both"/>
      </w:pPr>
      <w:r>
        <w:t>表識別。此任務處理將“構造”識別為表的問題。此任務的難度級別取決於嵌入表格的文檔等。當我們處理不標記表格的 XML 文檔時，我們必須僅通過了解文本元素的絕對坐標來​​將文本元素的一部分識別為表格。</w:t>
      </w:r>
    </w:p>
    <w:p>
      <w:pPr>
        <w:autoSpaceDN w:val="0"/>
        <w:autoSpaceDE w:val="0"/>
        <w:widowControl/>
        <w:spacing w:line="236" w:lineRule="exact" w:before="42" w:after="0"/>
        <w:ind w:left="1594" w:right="842" w:hanging="338"/>
        <w:jc w:val="both"/>
      </w:pPr>
      <w:r>
        <w:t>表分解。將文件的一部分檢測為表格後，下一步是將表格分解為盡可能接近原始表格。此任務包括正確識別標題元素、它們的跨越行為（即跨越多少列或行）、將數據單元正確分配給標題元素等等。</w:t>
      </w:r>
    </w:p>
    <w:p>
      <w:pPr>
        <w:sectPr>
          <w:pgSz w:w="11900" w:h="16840"/>
          <w:pgMar w:top="1152" w:right="1440" w:bottom="1440" w:left="1440" w:header="720" w:footer="720" w:gutter="0"/>
          <w:cols/>
          <w:docGrid w:linePitch="360"/>
        </w:sectPr>
      </w:pPr>
      <w:r/>
    </w:p>
    <w:p>
      <w:pPr>
        <w:autoSpaceDN w:val="0"/>
        <w:autoSpaceDE w:val="0"/>
        <w:widowControl/>
        <w:spacing w:line="220" w:lineRule="exact" w:before="0" w:after="914"/>
        <w:ind w:left="0" w:right="0"/>
      </w:pPr>
      <w:r/>
    </w:p>
    <w:p>
      <w:pPr>
        <w:autoSpaceDN w:val="0"/>
        <w:tabs>
          <w:tab w:pos="1612" w:val="left"/>
        </w:tabs>
        <w:autoSpaceDE w:val="0"/>
        <w:widowControl/>
        <w:spacing w:line="330" w:lineRule="exact" w:before="0" w:after="0"/>
        <w:ind w:left="1256" w:right="0" w:firstLine="0"/>
        <w:jc w:val="left"/>
      </w:pPr>
      <w:r>
        <w:t>3 我們的方法</w:t>
      </w:r>
    </w:p>
    <w:p>
      <w:pPr>
        <w:autoSpaceDN w:val="0"/>
        <w:autoSpaceDE w:val="0"/>
        <w:widowControl/>
        <w:spacing w:line="240" w:lineRule="exact" w:before="228" w:after="0"/>
        <w:ind w:left="1256" w:right="844" w:firstLine="0"/>
        <w:jc w:val="both"/>
      </w:pPr>
      <w:r>
        <w:t>我們的方法基於啟發式，這是我們通過根據不同類型的表的組成進行比較而得出的。我們將啟發式方法分為表識別和表分解任務。首先，我們解釋我們的預處理，然後解釋啟發式。列出了所有算法並附有基本說明。然後，我們給出一個連貫的例子，它說明了所有不同的步驟。</w:t>
      </w:r>
    </w:p>
    <w:p>
      <w:pPr>
        <w:autoSpaceDN w:val="0"/>
        <w:tabs>
          <w:tab w:pos="1556" w:val="left"/>
        </w:tabs>
        <w:autoSpaceDE w:val="0"/>
        <w:widowControl/>
        <w:spacing w:line="240" w:lineRule="exact" w:before="26" w:after="0"/>
        <w:ind w:left="1256" w:right="720" w:firstLine="0"/>
        <w:jc w:val="left"/>
      </w:pPr>
      <w:r>
        <w:t>為了便於理解我們的啟發式方法，我們定義了一些基本術語，這些術語將在整篇論文中使用。</w:t>
      </w:r>
    </w:p>
    <w:p>
      <w:pPr>
        <w:autoSpaceDN w:val="0"/>
        <w:tabs>
          <w:tab w:pos="1594" w:val="left"/>
        </w:tabs>
        <w:autoSpaceDE w:val="0"/>
        <w:widowControl/>
        <w:spacing w:line="242" w:lineRule="exact" w:before="178" w:after="0"/>
        <w:ind w:left="1394" w:right="720" w:firstLine="0"/>
        <w:jc w:val="left"/>
      </w:pPr>
      <w:r>
        <w:t>– Text：包含一個字符串和五個屬性（頂部、左側、寬度、高度、字體）</w:t>
        <w:br/>
        <w:t>– Line：包含假定位於原始文件中同一行的文本對象</w:t>
        <w:br/>
        <w:t>– 單行：只有一個文本對象的行對象</w:t>
        <w:br/>
        <w:t>– 多行：具有多個文本對象的行對象</w:t>
        <w:br/>
        <w:t>– 多行塊：一組連續的多行對象</w:t>
      </w:r>
    </w:p>
    <w:p>
      <w:pPr>
        <w:autoSpaceDN w:val="0"/>
        <w:autoSpaceDE w:val="0"/>
        <w:widowControl/>
        <w:spacing w:line="238" w:lineRule="exact" w:before="156" w:after="0"/>
        <w:ind w:left="1256" w:right="846" w:firstLine="300"/>
        <w:jc w:val="both"/>
      </w:pPr>
      <w:r>
        <w:t>基本上，我們假設輸入文檔是單列文檔。通過使用用戶界面，用戶實際上可以告訴所實現的原型文檔的列數以獲得更好的結果。</w:t>
      </w:r>
    </w:p>
    <w:p>
      <w:pPr>
        <w:autoSpaceDN w:val="0"/>
        <w:tabs>
          <w:tab w:pos="1704" w:val="left"/>
        </w:tabs>
        <w:autoSpaceDE w:val="0"/>
        <w:widowControl/>
        <w:spacing w:line="276" w:lineRule="exact" w:before="348" w:after="0"/>
        <w:ind w:left="1256" w:right="0" w:firstLine="0"/>
        <w:jc w:val="left"/>
      </w:pPr>
      <w:r>
        <w:t>3.1 預處理</w:t>
      </w:r>
    </w:p>
    <w:p>
      <w:pPr>
        <w:autoSpaceDN w:val="0"/>
        <w:autoSpaceDE w:val="0"/>
        <w:widowControl/>
        <w:spacing w:line="240" w:lineRule="exact" w:before="158" w:after="304"/>
        <w:ind w:left="1256" w:right="844" w:firstLine="0"/>
        <w:jc w:val="both"/>
      </w:pPr>
      <w:r>
        <w:t>pdftohtml 工具按照插入原始文件的順序返回文本塊及其在 PDF 文件中的絕對坐標。由於每個作者都可以按照她/他想要的順序插入文本，因此您不能僅依靠文本元素的順序來做出決定。為了避免這種不確定性，我們首先根據所有文本元素的最高值對它們進行排序。</w:t>
      </w:r>
    </w:p>
    <w:tbl>
      <w:tblPr>
        <w:tblW w:type="auto" w:w="0"/>
        <w:tblLayout w:type="fixed"/>
        <w:tblLook w:firstColumn="1" w:firstRow="1" w:lastColumn="0" w:lastRow="0" w:noHBand="0" w:noVBand="1" w:val="04A0"/>
        <w:tblInd w:w="1200.0" w:type="dxa"/>
      </w:tblPr>
      <w:tblGrid>
        <w:gridCol w:w="1503"/>
        <w:gridCol w:w="1503"/>
        <w:gridCol w:w="1503"/>
        <w:gridCol w:w="1503"/>
        <w:gridCol w:w="1503"/>
        <w:gridCol w:w="1503"/>
      </w:tblGrid>
      <w:tr>
        <w:trPr>
          <w:trHeight w:hRule="exact" w:val="352"/>
        </w:trPr>
        <w:tc>
          <w:tcPr>
            <w:tcW w:type="dxa" w:w="1780"/>
            <w:tcBorders/>
            <w:tcMar>
              <w:start w:w="0" w:type="dxa"/>
              <w:end w:w="0" w:type="dxa"/>
            </w:tcMar>
          </w:tcPr>
          <w:p>
            <w:pPr>
              <w:autoSpaceDN w:val="0"/>
              <w:autoSpaceDE w:val="0"/>
              <w:widowControl/>
              <w:spacing w:line="240" w:lineRule="exact" w:before="112" w:after="0"/>
              <w:ind w:left="0" w:right="174" w:firstLine="0"/>
              <w:jc w:val="right"/>
            </w:pPr>
            <w:r>
              <w:t>ASCII</w:t>
            </w:r>
          </w:p>
        </w:tc>
        <w:tc>
          <w:tcPr>
            <w:tcW w:type="dxa" w:w="800"/>
            <w:vMerge w:val="restart"/>
            <w:tcBorders/>
            <w:tcMar>
              <w:start w:w="0" w:type="dxa"/>
              <w:end w:w="0" w:type="dxa"/>
            </w:tcMar>
            <w:tcMar>
              <w:start w:w="0" w:type="dxa"/>
              <w:end w:w="0" w:type="dxa"/>
            </w:tcMar>
          </w:tcPr>
          <w:p>
            <w:pPr>
              <w:autoSpaceDN w:val="0"/>
              <w:autoSpaceDE w:val="0"/>
              <w:widowControl/>
              <w:spacing w:line="202" w:lineRule="exact" w:before="168" w:after="0"/>
              <w:ind w:left="144" w:right="144" w:firstLine="0"/>
              <w:jc w:val="center"/>
            </w:pPr>
            <w:r>
              <w:t>標誌 0</w:t>
            </w:r>
          </w:p>
        </w:tc>
        <w:tc>
          <w:tcPr>
            <w:tcW w:type="dxa" w:w="720"/>
            <w:tcBorders/>
            <w:tcMar>
              <w:start w:w="0" w:type="dxa"/>
              <w:end w:w="0" w:type="dxa"/>
            </w:tcMar>
          </w:tcPr>
          <w:p>
            <w:pPr>
              <w:autoSpaceDN w:val="0"/>
              <w:autoSpaceDE w:val="0"/>
              <w:widowControl/>
              <w:spacing w:line="240" w:lineRule="exact" w:before="112" w:after="0"/>
              <w:ind w:left="0" w:right="0" w:firstLine="0"/>
              <w:jc w:val="center"/>
            </w:pPr>
            <w:r>
              <w:t>ASCII</w:t>
            </w:r>
          </w:p>
        </w:tc>
        <w:tc>
          <w:tcPr>
            <w:tcW w:type="dxa" w:w="800"/>
            <w:vMerge w:val="restart"/>
            <w:tcBorders/>
            <w:tcMar>
              <w:start w:w="0" w:type="dxa"/>
              <w:end w:w="0" w:type="dxa"/>
            </w:tcMar>
            <w:tcMar>
              <w:start w:w="0" w:type="dxa"/>
              <w:end w:w="0" w:type="dxa"/>
            </w:tcMar>
          </w:tcPr>
          <w:p>
            <w:pPr>
              <w:autoSpaceDN w:val="0"/>
              <w:autoSpaceDE w:val="0"/>
              <w:widowControl/>
              <w:spacing w:line="202" w:lineRule="exact" w:before="168" w:after="0"/>
              <w:ind w:left="144" w:right="144" w:firstLine="0"/>
              <w:jc w:val="center"/>
            </w:pPr>
            <w:r>
              <w:t>標誌2</w:t>
            </w:r>
          </w:p>
        </w:tc>
        <w:tc>
          <w:tcPr>
            <w:tcW w:type="dxa" w:w="740"/>
            <w:tcBorders/>
            <w:tcMar>
              <w:start w:w="0" w:type="dxa"/>
              <w:end w:w="0" w:type="dxa"/>
            </w:tcMar>
          </w:tcPr>
          <w:p>
            <w:pPr>
              <w:autoSpaceDN w:val="0"/>
              <w:autoSpaceDE w:val="0"/>
              <w:widowControl/>
              <w:spacing w:line="240" w:lineRule="exact" w:before="112" w:after="0"/>
              <w:ind w:left="0" w:right="0" w:firstLine="0"/>
              <w:jc w:val="center"/>
            </w:pPr>
            <w:r>
              <w:t>ASCII</w:t>
            </w:r>
          </w:p>
        </w:tc>
        <w:tc>
          <w:tcPr>
            <w:tcW w:type="dxa" w:w="1800"/>
            <w:vMerge w:val="restart"/>
            <w:tcBorders/>
            <w:tcMar>
              <w:start w:w="0" w:type="dxa"/>
              <w:end w:w="0" w:type="dxa"/>
            </w:tcMar>
            <w:tcMar>
              <w:start w:w="0" w:type="dxa"/>
              <w:end w:w="0" w:type="dxa"/>
            </w:tcMar>
          </w:tcPr>
          <w:p>
            <w:pPr>
              <w:autoSpaceDN w:val="0"/>
              <w:autoSpaceDE w:val="0"/>
              <w:widowControl/>
              <w:spacing w:line="202" w:lineRule="exact" w:before="168" w:after="0"/>
              <w:ind w:left="144" w:right="1152" w:firstLine="0"/>
              <w:jc w:val="center"/>
            </w:pPr>
            <w:r>
              <w:t xml:space="preserve">標誌 </w:t>
              <w:br/>
              <w:t>4</w:t>
            </w:r>
          </w:p>
        </w:tc>
      </w:tr>
      <w:tr>
        <w:trPr>
          <w:trHeight w:hRule="exact" w:val="220"/>
        </w:trPr>
        <w:tc>
          <w:tcPr>
            <w:tcW w:type="dxa" w:w="1780"/>
            <w:tcBorders/>
            <w:tcMar>
              <w:start w:w="0" w:type="dxa"/>
              <w:end w:w="0" w:type="dxa"/>
            </w:tcMar>
          </w:tcPr>
          <w:p>
            <w:pPr>
              <w:autoSpaceDN w:val="0"/>
              <w:autoSpaceDE w:val="0"/>
              <w:widowControl/>
              <w:spacing w:line="240" w:lineRule="exact" w:before="0" w:after="0"/>
              <w:ind w:left="0" w:right="232" w:firstLine="0"/>
              <w:jc w:val="right"/>
            </w:pPr>
            <w:r>
              <w:t>048</w:t>
            </w:r>
          </w:p>
        </w:tc>
        <w:tc>
          <w:tcPr>
            <w:tcW w:type="dxa" w:w="1503"/>
            <w:vMerge/>
            <w:tcBorders/>
          </w:tcPr>
          <w:p/>
        </w:tc>
        <w:tc>
          <w:tcPr>
            <w:tcW w:type="dxa" w:w="720"/>
            <w:tcBorders/>
            <w:tcMar>
              <w:start w:w="0" w:type="dxa"/>
              <w:end w:w="0" w:type="dxa"/>
            </w:tcMar>
          </w:tcPr>
          <w:p>
            <w:pPr>
              <w:autoSpaceDN w:val="0"/>
              <w:autoSpaceDE w:val="0"/>
              <w:widowControl/>
              <w:spacing w:line="240" w:lineRule="exact" w:before="0" w:after="0"/>
              <w:ind w:left="0" w:right="0" w:firstLine="0"/>
              <w:jc w:val="center"/>
            </w:pPr>
            <w:r>
              <w:t>050</w:t>
            </w:r>
          </w:p>
        </w:tc>
        <w:tc>
          <w:tcPr>
            <w:tcW w:type="dxa" w:w="1503"/>
            <w:vMerge/>
            <w:tcBorders/>
          </w:tcPr>
          <w:p/>
        </w:tc>
        <w:tc>
          <w:tcPr>
            <w:tcW w:type="dxa" w:w="740"/>
            <w:tcBorders/>
            <w:tcMar>
              <w:start w:w="0" w:type="dxa"/>
              <w:end w:w="0" w:type="dxa"/>
            </w:tcMar>
          </w:tcPr>
          <w:p>
            <w:pPr>
              <w:autoSpaceDN w:val="0"/>
              <w:autoSpaceDE w:val="0"/>
              <w:widowControl/>
              <w:spacing w:line="240" w:lineRule="exact" w:before="0" w:after="0"/>
              <w:ind w:left="0" w:right="0" w:firstLine="0"/>
              <w:jc w:val="center"/>
            </w:pPr>
            <w:r>
              <w:t>052</w:t>
            </w:r>
          </w:p>
        </w:tc>
        <w:tc>
          <w:tcPr>
            <w:tcW w:type="dxa" w:w="1503"/>
            <w:vMerge/>
            <w:tcBorders/>
          </w:tcPr>
          <w:p/>
        </w:tc>
      </w:tr>
      <w:tr>
        <w:trPr>
          <w:trHeight w:hRule="exact" w:val="288"/>
        </w:trPr>
        <w:tc>
          <w:tcPr>
            <w:tcW w:type="dxa" w:w="1780"/>
            <w:tcBorders/>
            <w:tcMar>
              <w:start w:w="0" w:type="dxa"/>
              <w:end w:w="0" w:type="dxa"/>
            </w:tcMar>
          </w:tcPr>
          <w:p>
            <w:pPr>
              <w:autoSpaceDN w:val="0"/>
              <w:autoSpaceDE w:val="0"/>
              <w:widowControl/>
              <w:spacing w:line="238" w:lineRule="exact" w:before="0" w:after="0"/>
              <w:ind w:left="0" w:right="232" w:firstLine="0"/>
              <w:jc w:val="right"/>
            </w:pPr>
            <w:r>
              <w:t>049</w:t>
            </w:r>
          </w:p>
        </w:tc>
        <w:tc>
          <w:tcPr>
            <w:tcW w:type="dxa" w:w="800"/>
            <w:tcBorders/>
            <w:tcMar>
              <w:start w:w="0" w:type="dxa"/>
              <w:end w:w="0" w:type="dxa"/>
            </w:tcMar>
          </w:tcPr>
          <w:p>
            <w:pPr>
              <w:autoSpaceDN w:val="0"/>
              <w:autoSpaceDE w:val="0"/>
              <w:widowControl/>
              <w:spacing w:line="238" w:lineRule="exact" w:before="0" w:after="0"/>
              <w:ind w:left="0" w:right="0" w:firstLine="0"/>
              <w:jc w:val="center"/>
            </w:pPr>
            <w:r>
              <w:t>1</w:t>
            </w:r>
          </w:p>
        </w:tc>
        <w:tc>
          <w:tcPr>
            <w:tcW w:type="dxa" w:w="720"/>
            <w:tcBorders/>
            <w:tcMar>
              <w:start w:w="0" w:type="dxa"/>
              <w:end w:w="0" w:type="dxa"/>
            </w:tcMar>
          </w:tcPr>
          <w:p>
            <w:pPr>
              <w:autoSpaceDN w:val="0"/>
              <w:autoSpaceDE w:val="0"/>
              <w:widowControl/>
              <w:spacing w:line="238" w:lineRule="exact" w:before="0" w:after="0"/>
              <w:ind w:left="0" w:right="0" w:firstLine="0"/>
              <w:jc w:val="center"/>
            </w:pPr>
            <w:r>
              <w:t>051</w:t>
            </w:r>
          </w:p>
        </w:tc>
        <w:tc>
          <w:tcPr>
            <w:tcW w:type="dxa" w:w="800"/>
            <w:tcBorders/>
            <w:tcMar>
              <w:start w:w="0" w:type="dxa"/>
              <w:end w:w="0" w:type="dxa"/>
            </w:tcMar>
          </w:tcPr>
          <w:p>
            <w:pPr>
              <w:autoSpaceDN w:val="0"/>
              <w:autoSpaceDE w:val="0"/>
              <w:widowControl/>
              <w:spacing w:line="238" w:lineRule="exact" w:before="0" w:after="0"/>
              <w:ind w:left="0" w:right="0" w:firstLine="0"/>
              <w:jc w:val="center"/>
            </w:pPr>
            <w:r>
              <w:t>3</w:t>
            </w:r>
          </w:p>
        </w:tc>
        <w:tc>
          <w:tcPr>
            <w:tcW w:type="dxa" w:w="740"/>
            <w:tcBorders/>
            <w:tcMar>
              <w:start w:w="0" w:type="dxa"/>
              <w:end w:w="0" w:type="dxa"/>
            </w:tcMar>
          </w:tcPr>
          <w:p>
            <w:pPr>
              <w:autoSpaceDN w:val="0"/>
              <w:autoSpaceDE w:val="0"/>
              <w:widowControl/>
              <w:spacing w:line="238" w:lineRule="exact" w:before="0" w:after="0"/>
              <w:ind w:left="0" w:right="0" w:firstLine="0"/>
              <w:jc w:val="center"/>
            </w:pPr>
            <w:r>
              <w:t>053</w:t>
            </w:r>
          </w:p>
        </w:tc>
        <w:tc>
          <w:tcPr>
            <w:tcW w:type="dxa" w:w="1800"/>
            <w:tcBorders/>
            <w:tcMar>
              <w:start w:w="0" w:type="dxa"/>
              <w:end w:w="0" w:type="dxa"/>
            </w:tcMar>
          </w:tcPr>
          <w:p>
            <w:pPr>
              <w:autoSpaceDN w:val="0"/>
              <w:autoSpaceDE w:val="0"/>
              <w:widowControl/>
              <w:spacing w:line="238" w:lineRule="exact" w:before="0" w:after="0"/>
              <w:ind w:left="366" w:right="0" w:firstLine="0"/>
              <w:jc w:val="left"/>
            </w:pPr>
            <w:r>
              <w:t>5</w:t>
            </w:r>
          </w:p>
        </w:tc>
      </w:tr>
    </w:tbl>
    <w:p>
      <w:pPr>
        <w:autoSpaceDN w:val="0"/>
        <w:autoSpaceDE w:val="0"/>
        <w:widowControl/>
        <w:spacing w:line="250" w:lineRule="exact" w:before="316" w:after="0"/>
        <w:ind w:left="0" w:right="2902" w:firstLine="0"/>
        <w:jc w:val="right"/>
      </w:pPr>
      <w:r>
        <w:t>圖 1. PDF 文件中的表格示例</w:t>
      </w:r>
    </w:p>
    <w:p>
      <w:pPr>
        <w:autoSpaceDN w:val="0"/>
        <w:autoSpaceDE w:val="0"/>
        <w:widowControl/>
        <w:spacing w:line="240" w:lineRule="exact" w:before="448" w:after="0"/>
        <w:ind w:left="1256" w:right="844" w:firstLine="300"/>
        <w:jc w:val="both"/>
      </w:pPr>
      <w:r>
        <w:t>圖 1 中文本元素的原始排序可以有多種形式。一種可能的排序可以是：Ascii、Sign、Ascii、Sign、Ascii、Sign、048、0、050、2 等。根據作者的不同，另一種順序可能是：Ascii、048、049、Sign、0、1 等。如果我們根據最高值對所有文本元素進行排序，我們就可以確保無論作者如何插入文本塊，我們總是得到相同的順序。對於圖 1，排序順序為：Sign、Sign、Sign、Ascii、Ascii、Ascii、048、0、050 等。</w:t>
      </w:r>
    </w:p>
    <w:p>
      <w:pPr>
        <w:autoSpaceDN w:val="0"/>
        <w:tabs>
          <w:tab w:pos="1556" w:val="left"/>
        </w:tabs>
        <w:autoSpaceDE w:val="0"/>
        <w:widowControl/>
        <w:spacing w:line="238" w:lineRule="exact" w:before="28" w:after="0"/>
        <w:ind w:left="1256" w:right="720" w:firstLine="0"/>
        <w:jc w:val="left"/>
      </w:pPr>
      <w:r>
        <w:t>在此排序過程之後，我們希望將同一行上的文本對象分配給行對象。算法 1 描述了我們針對此任務的啟發式方法。</w:t>
      </w:r>
    </w:p>
    <w:sectPr w:rsidR="00FC693F" w:rsidRPr="0006063C" w:rsidSect="00034616">
      <w:pgSz w:w="11900" w:h="16840"/>
      <w:pgMar w:top="1132"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