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Automated Machine Learning (AutoML)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Mihaela van der Schaar &amp; Bogdan Cebere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mv472@cam.ac.uk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bcc38@damtp.cam.ac.uk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similar presentation slides previously presented by vdS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https://www.lshtm.ac.uk/sites/default/files/2019-12/csm-seminar-slides-and-audio-transforming-medicine-and-healthcare.pdf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we need AutoML?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 written by vdS: </w:t>
      </w:r>
      <w:r w:rsidDel="00000000" w:rsidR="00000000" w:rsidRPr="00000000">
        <w:rPr>
          <w:u w:val="single"/>
          <w:rtl w:val="0"/>
        </w:rPr>
        <w:t xml:space="preserve">AutoML:powering the new human-machine learning ecosystem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https://www.vanderschaar-lab.com/automl-powering-the-new-human-machine-learning-ecosystem/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are complex: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 develop holistic view of patients’ health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Risk scores for actionable clinical conditions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Developing Clinical Analytics: Challenges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are not “one size fits all” solutions – which one to choose?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Reproducibility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Interpretability, explainability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Trustworthiness, uncertainty estimates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solutions in healthcare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high predictive accuracy for many datasets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data-driven, few assumptions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Many ML algorithms: Which one to choose?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Many hyper-parameters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Need expertise in ML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ML model to choose?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AutoML framework for building clinical risk scores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AutoPrognosis: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https://github.com/ahmedmalaa/AutoPrognosis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https://www.vanderschaar-lab.com/papers/ICML2018_AP.pdf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Covid-19: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https://www.vanderschaar-lab.com/covid-19/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CVD risk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PLOS 2019: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https://journals.plos.org/plosone/article?id=10.1371/journal.pone.0213653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020"/>
          <w:sz w:val="20"/>
          <w:szCs w:val="20"/>
          <w:highlight w:val="white"/>
        </w:rPr>
      </w:pPr>
      <w:r w:rsidDel="00000000" w:rsidR="00000000" w:rsidRPr="00000000">
        <w:rPr>
          <w:color w:val="202020"/>
          <w:sz w:val="20"/>
          <w:szCs w:val="20"/>
          <w:highlight w:val="white"/>
          <w:rtl w:val="0"/>
        </w:rPr>
        <w:t xml:space="preserve">ICD-10 diagnosis codes F01 (vascular dementia), I20-I25 (coronary/ischaemic heart diseases), I50 (heart failure events, including acute and chronic systolic heart failures), and I60-I69 (cerebrovascular diseases), or any of the ICD-9 codes 410-414 (ischemic heart disease), 430-434, and 436-438 (cerebrovascular disease).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368 more patients (out of 4801) benefit from preventive treatment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Modest increase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with diabetes significantly outperform Framingham score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associated to DM patients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Breast cancer model: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https://www.nature.com/articles/s42256-021-00353-8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AutoML in practice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SurvivalQuilts: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https://github.com/chl8856/SurvivalQuilts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AutoML - Beyond classification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Cebere Jarrett curth: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https://proceedings.mlr.press/v162/jarrett22a.html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AutoML conference: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https://automl.cc/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ML-powered tools in the hands of clinicians: Adjutorium framework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Mandatory rules: dataset types, dataset information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 outcomes,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anderschaar-lab.com/papers/ICML2018_AP.pdf" TargetMode="External"/><Relationship Id="rId10" Type="http://schemas.openxmlformats.org/officeDocument/2006/relationships/hyperlink" Target="https://github.com/ahmedmalaa/AutoPrognosis" TargetMode="External"/><Relationship Id="rId13" Type="http://schemas.openxmlformats.org/officeDocument/2006/relationships/hyperlink" Target="https://journals.plos.org/plosone/article?id=10.1371/journal.pone.0213653" TargetMode="External"/><Relationship Id="rId12" Type="http://schemas.openxmlformats.org/officeDocument/2006/relationships/hyperlink" Target="https://www.vanderschaar-lab.com/covid-1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anderschaar-lab.com/automl-powering-the-new-human-machine-learning-ecosystem/" TargetMode="External"/><Relationship Id="rId15" Type="http://schemas.openxmlformats.org/officeDocument/2006/relationships/hyperlink" Target="https://github.com/chl8856/SurvivalQuilts" TargetMode="External"/><Relationship Id="rId14" Type="http://schemas.openxmlformats.org/officeDocument/2006/relationships/hyperlink" Target="https://www.nature.com/articles/s42256-021-00353-8" TargetMode="External"/><Relationship Id="rId17" Type="http://schemas.openxmlformats.org/officeDocument/2006/relationships/hyperlink" Target="https://automl.cc/" TargetMode="External"/><Relationship Id="rId16" Type="http://schemas.openxmlformats.org/officeDocument/2006/relationships/hyperlink" Target="https://proceedings.mlr.press/v162/jarrett22a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mv472@cam.ac.uk" TargetMode="External"/><Relationship Id="rId18" Type="http://schemas.openxmlformats.org/officeDocument/2006/relationships/header" Target="header1.xml"/><Relationship Id="rId7" Type="http://schemas.openxmlformats.org/officeDocument/2006/relationships/hyperlink" Target="mailto:bcc38@damtp.cam.ac.uk" TargetMode="External"/><Relationship Id="rId8" Type="http://schemas.openxmlformats.org/officeDocument/2006/relationships/hyperlink" Target="https://www.lshtm.ac.uk/sites/default/files/2019-12/csm-seminar-slides-and-audio-transforming-medicine-and-healthca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