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ML for ICU &amp; ICU for 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Ari Ercole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ae105@cam.ac.uk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MIMIC-III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https://www.nature.com/articles/sdata201635#:~:text=MIMIC%2DIII%20</w:t>
        </w:r>
      </w:hyperlink>
      <w:r w:rsidDel="00000000" w:rsidR="00000000" w:rsidRPr="00000000">
        <w:rPr>
          <w:rtl w:val="0"/>
        </w:rPr>
        <w:t xml:space="preserve">('Medical%20Information,a%20large%20tertiary%20care%20hospital.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machine learning to analyse routinely collected intensive care unit data: a systematic review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https://ccforum.biomedcentral.com/articles/10.1186/s13054-019-2564-9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RCT in ML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ICU is dangerous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gold standards, ML allowing decision policies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Optimal decision policies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ICU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 failure or system failure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Heart, lung, kidney, immune system etc.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whether organ is failing or responding to treatment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 tests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Physiology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Catheters 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BP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Radiology – for diagnosis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Ventilators, dialysis machines, infusion pumps etc.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ICU data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physiology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possible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biochemistry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hematology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regular (~6.00am)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Semi-informative sampling but irregular (on average of every 4 hours)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 of care measurements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Routine imaging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Interoperability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Syntactic interoperability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Specialist hospital and general hospital may record diagnosis at different granularity/ system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Many-to-one relationship, one-to-many relationships, or no relationship[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SNOMED International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Harmonizing the difficult ontologies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interoperability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e105@cam.ac.uk" TargetMode="External"/><Relationship Id="rId7" Type="http://schemas.openxmlformats.org/officeDocument/2006/relationships/hyperlink" Target="https://www.nature.com/articles/sdata201635#:~:text=MIMIC%2DIII%20" TargetMode="External"/><Relationship Id="rId8" Type="http://schemas.openxmlformats.org/officeDocument/2006/relationships/hyperlink" Target="https://ccforum.biomedcentral.com/articles/10.1186/s13054-019-256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