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4.7 ML meets biomedical Informatics</w:t>
      </w:r>
    </w:p>
    <w:p w:rsidR="00000000" w:rsidDel="00000000" w:rsidP="00000000" w:rsidRDefault="00000000" w:rsidRPr="00000000" w14:paraId="00000002">
      <w:pPr>
        <w:rPr/>
      </w:pPr>
      <w:r w:rsidDel="00000000" w:rsidR="00000000" w:rsidRPr="00000000">
        <w:rPr>
          <w:rtl w:val="0"/>
        </w:rPr>
        <w:t xml:space="preserve">Prof William Hsu (UCLA) @ucalwillhsu</w:t>
      </w:r>
    </w:p>
    <w:p w:rsidR="00000000" w:rsidDel="00000000" w:rsidP="00000000" w:rsidRDefault="00000000" w:rsidRPr="00000000" w14:paraId="00000003">
      <w:pPr>
        <w:rPr/>
      </w:pPr>
      <w:hyperlink r:id="rId6">
        <w:r w:rsidDel="00000000" w:rsidR="00000000" w:rsidRPr="00000000">
          <w:rPr>
            <w:color w:val="1155cc"/>
            <w:u w:val="single"/>
            <w:rtl w:val="0"/>
          </w:rPr>
          <w:t xml:space="preserve">whsu@mednet.ucla.edu</w:t>
        </w:r>
      </w:hyperlink>
      <w:r w:rsidDel="00000000" w:rsidR="00000000" w:rsidRPr="00000000">
        <w:rPr>
          <w:rtl w:val="0"/>
        </w:rPr>
      </w:r>
    </w:p>
    <w:p w:rsidR="00000000" w:rsidDel="00000000" w:rsidP="00000000" w:rsidRDefault="00000000" w:rsidRPr="00000000" w14:paraId="00000004">
      <w:pPr>
        <w:rPr/>
      </w:pPr>
      <w:hyperlink r:id="rId7">
        <w:r w:rsidDel="00000000" w:rsidR="00000000" w:rsidRPr="00000000">
          <w:rPr>
            <w:color w:val="1155cc"/>
            <w:u w:val="single"/>
            <w:rtl w:val="0"/>
          </w:rPr>
          <w:t xml:space="preserve">https://hsu-lab.com</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Learning objectives</w:t>
      </w:r>
    </w:p>
    <w:p w:rsidR="00000000" w:rsidDel="00000000" w:rsidP="00000000" w:rsidRDefault="00000000" w:rsidRPr="00000000" w14:paraId="00000007">
      <w:pPr>
        <w:numPr>
          <w:ilvl w:val="0"/>
          <w:numId w:val="11"/>
        </w:numPr>
        <w:ind w:left="720" w:hanging="360"/>
        <w:rPr>
          <w:u w:val="none"/>
        </w:rPr>
      </w:pPr>
      <w:r w:rsidDel="00000000" w:rsidR="00000000" w:rsidRPr="00000000">
        <w:rPr>
          <w:rtl w:val="0"/>
        </w:rPr>
        <w:t xml:space="preserve"> State the relationship between machine learning and the field of biomedical informatics</w:t>
      </w:r>
    </w:p>
    <w:p w:rsidR="00000000" w:rsidDel="00000000" w:rsidP="00000000" w:rsidRDefault="00000000" w:rsidRPr="00000000" w14:paraId="00000008">
      <w:pPr>
        <w:numPr>
          <w:ilvl w:val="0"/>
          <w:numId w:val="11"/>
        </w:numPr>
        <w:ind w:left="720" w:hanging="360"/>
        <w:rPr>
          <w:u w:val="none"/>
        </w:rPr>
      </w:pPr>
      <w:r w:rsidDel="00000000" w:rsidR="00000000" w:rsidRPr="00000000">
        <w:rPr>
          <w:rtl w:val="0"/>
        </w:rPr>
        <w:t xml:space="preserve"> Describe integration approaches for turning multimodal data into knowledge</w:t>
      </w:r>
    </w:p>
    <w:p w:rsidR="00000000" w:rsidDel="00000000" w:rsidP="00000000" w:rsidRDefault="00000000" w:rsidRPr="00000000" w14:paraId="00000009">
      <w:pPr>
        <w:numPr>
          <w:ilvl w:val="0"/>
          <w:numId w:val="11"/>
        </w:numPr>
        <w:ind w:left="720" w:hanging="360"/>
        <w:rPr>
          <w:u w:val="none"/>
        </w:rPr>
      </w:pPr>
      <w:r w:rsidDel="00000000" w:rsidR="00000000" w:rsidRPr="00000000">
        <w:rPr>
          <w:rtl w:val="0"/>
        </w:rPr>
        <w:t xml:space="preserve"> Identify barriers in transforming knowledge into practice</w:t>
      </w:r>
    </w:p>
    <w:p w:rsidR="00000000" w:rsidDel="00000000" w:rsidP="00000000" w:rsidRDefault="00000000" w:rsidRPr="00000000" w14:paraId="0000000A">
      <w:pPr>
        <w:rPr/>
      </w:pPr>
      <w:r w:rsidDel="00000000" w:rsidR="00000000" w:rsidRPr="00000000">
        <w:rPr>
          <w:b w:val="1"/>
          <w:rtl w:val="0"/>
        </w:rPr>
        <w:t xml:space="preserve">What is biomedical informatics?</w:t>
      </w:r>
      <w:r w:rsidDel="00000000" w:rsidR="00000000" w:rsidRPr="00000000">
        <w:rPr>
          <w:rtl w:val="0"/>
        </w:rPr>
      </w:r>
    </w:p>
    <w:p w:rsidR="00000000" w:rsidDel="00000000" w:rsidP="00000000" w:rsidRDefault="00000000" w:rsidRPr="00000000" w14:paraId="0000000B">
      <w:pPr>
        <w:numPr>
          <w:ilvl w:val="0"/>
          <w:numId w:val="20"/>
        </w:numPr>
        <w:ind w:left="720" w:hanging="360"/>
        <w:rPr>
          <w:u w:val="none"/>
        </w:rPr>
      </w:pPr>
      <w:r w:rsidDel="00000000" w:rsidR="00000000" w:rsidRPr="00000000">
        <w:rPr>
          <w:rtl w:val="0"/>
        </w:rPr>
        <w:t xml:space="preserve">Biomedical informatics (BMI) is the interdisciplinary field that studies and pursues the effective use of biomedical data, information, and knowledge for scientific inquiry, problem solving, and decision making, motivated by efforts to improve human health.</w:t>
      </w:r>
    </w:p>
    <w:p w:rsidR="00000000" w:rsidDel="00000000" w:rsidP="00000000" w:rsidRDefault="00000000" w:rsidRPr="00000000" w14:paraId="0000000C">
      <w:pPr>
        <w:numPr>
          <w:ilvl w:val="1"/>
          <w:numId w:val="20"/>
        </w:numPr>
        <w:ind w:left="1440" w:hanging="360"/>
        <w:rPr>
          <w:u w:val="none"/>
        </w:rPr>
      </w:pPr>
      <w:r w:rsidDel="00000000" w:rsidR="00000000" w:rsidRPr="00000000">
        <w:rPr>
          <w:rtl w:val="0"/>
        </w:rPr>
        <w:t xml:space="preserve">IMIA </w:t>
      </w:r>
      <w:hyperlink r:id="rId8">
        <w:r w:rsidDel="00000000" w:rsidR="00000000" w:rsidRPr="00000000">
          <w:rPr>
            <w:color w:val="1155cc"/>
            <w:u w:val="single"/>
            <w:rtl w:val="0"/>
          </w:rPr>
          <w:t xml:space="preserve">https://imia-medinfo.org/wp/</w:t>
        </w:r>
      </w:hyperlink>
      <w:r w:rsidDel="00000000" w:rsidR="00000000" w:rsidRPr="00000000">
        <w:rPr>
          <w:rtl w:val="0"/>
        </w:rPr>
      </w:r>
    </w:p>
    <w:p w:rsidR="00000000" w:rsidDel="00000000" w:rsidP="00000000" w:rsidRDefault="00000000" w:rsidRPr="00000000" w14:paraId="0000000D">
      <w:pPr>
        <w:numPr>
          <w:ilvl w:val="1"/>
          <w:numId w:val="20"/>
        </w:numPr>
        <w:ind w:left="1440" w:hanging="360"/>
        <w:rPr>
          <w:u w:val="none"/>
        </w:rPr>
      </w:pPr>
      <w:r w:rsidDel="00000000" w:rsidR="00000000" w:rsidRPr="00000000">
        <w:rPr>
          <w:rtl w:val="0"/>
        </w:rPr>
        <w:t xml:space="preserve">AMIA </w:t>
      </w:r>
      <w:hyperlink r:id="rId9">
        <w:r w:rsidDel="00000000" w:rsidR="00000000" w:rsidRPr="00000000">
          <w:rPr>
            <w:color w:val="1155cc"/>
            <w:u w:val="single"/>
            <w:rtl w:val="0"/>
          </w:rPr>
          <w:t xml:space="preserve">https://amia.org/</w:t>
        </w:r>
      </w:hyperlink>
      <w:r w:rsidDel="00000000" w:rsidR="00000000" w:rsidRPr="00000000">
        <w:rPr>
          <w:rtl w:val="0"/>
        </w:rPr>
      </w:r>
    </w:p>
    <w:p w:rsidR="00000000" w:rsidDel="00000000" w:rsidP="00000000" w:rsidRDefault="00000000" w:rsidRPr="00000000" w14:paraId="0000000E">
      <w:pPr>
        <w:numPr>
          <w:ilvl w:val="0"/>
          <w:numId w:val="20"/>
        </w:numPr>
        <w:ind w:left="720" w:hanging="360"/>
        <w:rPr>
          <w:u w:val="none"/>
        </w:rPr>
      </w:pPr>
      <w:r w:rsidDel="00000000" w:rsidR="00000000" w:rsidRPr="00000000">
        <w:rPr>
          <w:rtl w:val="0"/>
        </w:rPr>
        <w:t xml:space="preserve">Goal: augmenting human knowledge</w:t>
      </w:r>
    </w:p>
    <w:p w:rsidR="00000000" w:rsidDel="00000000" w:rsidP="00000000" w:rsidRDefault="00000000" w:rsidRPr="00000000" w14:paraId="0000000F">
      <w:pPr>
        <w:numPr>
          <w:ilvl w:val="1"/>
          <w:numId w:val="20"/>
        </w:numPr>
        <w:ind w:left="1440" w:hanging="360"/>
        <w:rPr>
          <w:u w:val="none"/>
        </w:rPr>
      </w:pPr>
      <w:r w:rsidDel="00000000" w:rsidR="00000000" w:rsidRPr="00000000">
        <w:rPr>
          <w:rtl w:val="0"/>
        </w:rPr>
        <w:t xml:space="preserve">Not to replace humans</w:t>
      </w:r>
    </w:p>
    <w:p w:rsidR="00000000" w:rsidDel="00000000" w:rsidP="00000000" w:rsidRDefault="00000000" w:rsidRPr="00000000" w14:paraId="00000010">
      <w:pPr>
        <w:ind w:left="0" w:firstLine="0"/>
        <w:rPr>
          <w:b w:val="1"/>
        </w:rPr>
      </w:pPr>
      <w:r w:rsidDel="00000000" w:rsidR="00000000" w:rsidRPr="00000000">
        <w:rPr>
          <w:b w:val="1"/>
          <w:rtl w:val="0"/>
        </w:rPr>
        <w:t xml:space="preserve">Subfield of biomedical informatics</w:t>
      </w:r>
    </w:p>
    <w:p w:rsidR="00000000" w:rsidDel="00000000" w:rsidP="00000000" w:rsidRDefault="00000000" w:rsidRPr="00000000" w14:paraId="00000011">
      <w:pPr>
        <w:ind w:left="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Basic research</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mc:AlternateContent>
                <mc:Choice Requires="wpg">
                  <w:drawing>
                    <wp:inline distB="114300" distT="114300" distL="114300" distR="114300">
                      <wp:extent cx="2652713" cy="247650"/>
                      <wp:effectExtent b="0" l="0" r="0" t="0"/>
                      <wp:docPr id="2" name=""/>
                      <a:graphic>
                        <a:graphicData uri="http://schemas.microsoft.com/office/word/2010/wordprocessingShape">
                          <wps:wsp>
                            <wps:cNvCnPr/>
                            <wps:spPr>
                              <a:xfrm>
                                <a:off x="2808975" y="2176900"/>
                                <a:ext cx="2266500" cy="0"/>
                              </a:xfrm>
                              <a:prstGeom prst="straightConnector1">
                                <a:avLst/>
                              </a:prstGeom>
                              <a:noFill/>
                              <a:ln cap="flat" cmpd="sng" w="114300">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652713" cy="247650"/>
                      <wp:effectExtent b="0" l="0" r="0" t="0"/>
                      <wp:docPr id="2"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2652713" cy="2476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Applied research informatics</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Biomedical informatics: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Methods, technologies, theories</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mc:AlternateContent>
                <mc:Choice Requires="wpg">
                  <w:drawing>
                    <wp:inline distB="114300" distT="114300" distL="114300" distR="114300">
                      <wp:extent cx="2676525" cy="2050391"/>
                      <wp:effectExtent b="0" l="0" r="0" t="0"/>
                      <wp:docPr id="7" name=""/>
                      <a:graphic>
                        <a:graphicData uri="http://schemas.microsoft.com/office/word/2010/wordprocessingGroup">
                          <wpg:wgp>
                            <wpg:cNvGrpSpPr/>
                            <wpg:grpSpPr>
                              <a:xfrm>
                                <a:off x="2967225" y="1213775"/>
                                <a:ext cx="2676525" cy="2050391"/>
                                <a:chOff x="2967225" y="1213775"/>
                                <a:chExt cx="911825" cy="1011900"/>
                              </a:xfrm>
                            </wpg:grpSpPr>
                            <wps:wsp>
                              <wps:cNvCnPr/>
                              <wps:spPr>
                                <a:xfrm flipH="1" rot="10800000">
                                  <a:off x="2974350" y="1213775"/>
                                  <a:ext cx="865800" cy="4962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013250" y="1525175"/>
                                  <a:ext cx="836700" cy="1848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032700" y="1709975"/>
                                  <a:ext cx="817200" cy="1848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84150" y="1709975"/>
                                  <a:ext cx="894900" cy="5157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76525" cy="2050391"/>
                      <wp:effectExtent b="0" l="0" r="0" t="0"/>
                      <wp:docPr id="7"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2676525" cy="2050391"/>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Bioinformatics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Molecular and Cellular Processes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Imaging informatics</w:t>
            </w:r>
          </w:p>
          <w:p w:rsidR="00000000" w:rsidDel="00000000" w:rsidP="00000000" w:rsidRDefault="00000000" w:rsidRPr="00000000" w14:paraId="00000020">
            <w:pPr>
              <w:widowControl w:val="0"/>
              <w:spacing w:line="240" w:lineRule="auto"/>
              <w:rPr>
                <w:i w:val="1"/>
              </w:rPr>
            </w:pPr>
            <w:r w:rsidDel="00000000" w:rsidR="00000000" w:rsidRPr="00000000">
              <w:rPr>
                <w:i w:val="1"/>
                <w:rtl w:val="0"/>
              </w:rPr>
              <w:t xml:space="preserve">Tissues and Organs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Clinical informatics</w:t>
            </w:r>
          </w:p>
          <w:p w:rsidR="00000000" w:rsidDel="00000000" w:rsidP="00000000" w:rsidRDefault="00000000" w:rsidRPr="00000000" w14:paraId="00000025">
            <w:pPr>
              <w:widowControl w:val="0"/>
              <w:spacing w:line="240" w:lineRule="auto"/>
              <w:rPr>
                <w:i w:val="1"/>
              </w:rPr>
            </w:pPr>
            <w:r w:rsidDel="00000000" w:rsidR="00000000" w:rsidRPr="00000000">
              <w:rPr>
                <w:i w:val="1"/>
                <w:rtl w:val="0"/>
              </w:rPr>
              <w:t xml:space="preserve">Individuals (Patients)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Public health informatics</w:t>
            </w:r>
          </w:p>
          <w:p w:rsidR="00000000" w:rsidDel="00000000" w:rsidP="00000000" w:rsidRDefault="00000000" w:rsidRPr="00000000" w14:paraId="0000002A">
            <w:pPr>
              <w:widowControl w:val="0"/>
              <w:spacing w:line="240" w:lineRule="auto"/>
              <w:rPr>
                <w:i w:val="1"/>
              </w:rPr>
            </w:pPr>
            <w:r w:rsidDel="00000000" w:rsidR="00000000" w:rsidRPr="00000000">
              <w:rPr>
                <w:i w:val="1"/>
                <w:rtl w:val="0"/>
              </w:rPr>
              <w:t xml:space="preserve">Populations and Society</w:t>
            </w:r>
          </w:p>
        </w:tc>
      </w:tr>
    </w:tbl>
    <w:p w:rsidR="00000000" w:rsidDel="00000000" w:rsidP="00000000" w:rsidRDefault="00000000" w:rsidRPr="00000000" w14:paraId="0000002B">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0" w:firstLine="0"/>
        <w:rPr>
          <w:b w:val="1"/>
        </w:rPr>
      </w:pPr>
      <w:r w:rsidDel="00000000" w:rsidR="00000000" w:rsidRPr="00000000">
        <w:rPr>
          <w:b w:val="1"/>
          <w:rtl w:val="0"/>
        </w:rPr>
        <w:t xml:space="preserve">Data &lt;-&gt; Practice cycle</w:t>
      </w:r>
    </w:p>
    <w:p w:rsidR="00000000" w:rsidDel="00000000" w:rsidP="00000000" w:rsidRDefault="00000000" w:rsidRPr="00000000" w14:paraId="0000002D">
      <w:pPr>
        <w:ind w:left="0" w:firstLine="0"/>
        <w:jc w:val="center"/>
        <w:rPr/>
      </w:pPr>
      <w:r w:rsidDel="00000000" w:rsidR="00000000" w:rsidRPr="00000000">
        <w:rPr/>
        <mc:AlternateContent>
          <mc:Choice Requires="wpg">
            <w:drawing>
              <wp:inline distB="114300" distT="114300" distL="114300" distR="114300">
                <wp:extent cx="3605213" cy="2680191"/>
                <wp:effectExtent b="0" l="0" r="0" t="0"/>
                <wp:docPr id="1" name=""/>
                <a:graphic>
                  <a:graphicData uri="http://schemas.microsoft.com/office/word/2010/wordprocessingGroup">
                    <wpg:wgp>
                      <wpg:cNvGrpSpPr/>
                      <wpg:grpSpPr>
                        <a:xfrm>
                          <a:off x="852700" y="538025"/>
                          <a:ext cx="3605213" cy="2680191"/>
                          <a:chOff x="852700" y="538025"/>
                          <a:chExt cx="5076125" cy="3777325"/>
                        </a:xfrm>
                      </wpg:grpSpPr>
                      <wps:wsp>
                        <wps:cNvSpPr/>
                        <wps:cNvPr id="2" name="Shape 2"/>
                        <wps:spPr>
                          <a:xfrm>
                            <a:off x="2157200" y="1748850"/>
                            <a:ext cx="2171700" cy="2178900"/>
                          </a:xfrm>
                          <a:prstGeom prst="ellipse">
                            <a:avLst/>
                          </a:prstGeom>
                          <a:solidFill>
                            <a:srgbClr val="FFFFFF"/>
                          </a:solidFill>
                          <a:ln cap="flat" cmpd="sng" w="228600">
                            <a:solidFill>
                              <a:srgbClr val="CCCCC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Health Problem of Interest</w:t>
                              </w:r>
                            </w:p>
                          </w:txbxContent>
                        </wps:txbx>
                        <wps:bodyPr anchorCtr="0" anchor="ctr" bIns="91425" lIns="91425" spcFirstLastPara="1" rIns="91425" wrap="square" tIns="91425">
                          <a:noAutofit/>
                        </wps:bodyPr>
                      </wps:wsp>
                      <wps:wsp>
                        <wps:cNvSpPr txBox="1"/>
                        <wps:cNvPr id="3" name="Shape 3"/>
                        <wps:spPr>
                          <a:xfrm rot="2543129">
                            <a:off x="3343950" y="1651467"/>
                            <a:ext cx="1799692" cy="61559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Knowledge of practice</w:t>
                              </w:r>
                            </w:p>
                          </w:txbxContent>
                        </wps:txbx>
                        <wps:bodyPr anchorCtr="0" anchor="t" bIns="91425" lIns="91425" spcFirstLastPara="1" rIns="91425" wrap="square" tIns="91425">
                          <a:spAutoFit/>
                        </wps:bodyPr>
                      </wps:wsp>
                      <wps:wsp>
                        <wps:cNvSpPr txBox="1"/>
                        <wps:cNvPr id="4" name="Shape 4"/>
                        <wps:spPr>
                          <a:xfrm rot="-1719">
                            <a:off x="2440550" y="3914691"/>
                            <a:ext cx="1799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Practice of data</w:t>
                              </w:r>
                            </w:p>
                          </w:txbxContent>
                        </wps:txbx>
                        <wps:bodyPr anchorCtr="0" anchor="t" bIns="91425" lIns="91425" spcFirstLastPara="1" rIns="91425" wrap="square" tIns="91425">
                          <a:spAutoFit/>
                        </wps:bodyPr>
                      </wps:wsp>
                      <wps:wsp>
                        <wps:cNvSpPr txBox="1"/>
                        <wps:cNvPr id="5" name="Shape 5"/>
                        <wps:spPr>
                          <a:xfrm rot="-2299540">
                            <a:off x="1542399" y="1700779"/>
                            <a:ext cx="1799621" cy="40026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Data to knowledge</w:t>
                              </w:r>
                            </w:p>
                          </w:txbxContent>
                        </wps:txbx>
                        <wps:bodyPr anchorCtr="0" anchor="t" bIns="91425" lIns="91425" spcFirstLastPara="1" rIns="91425" wrap="square" tIns="91425">
                          <a:spAutoFit/>
                        </wps:bodyPr>
                      </wps:wsp>
                      <wps:wsp>
                        <wps:cNvSpPr/>
                        <wps:cNvPr id="6" name="Shape 6"/>
                        <wps:spPr>
                          <a:xfrm rot="5183342">
                            <a:off x="3123663" y="1649537"/>
                            <a:ext cx="433461" cy="220651"/>
                          </a:xfrm>
                          <a:prstGeom prst="triangle">
                            <a:avLst>
                              <a:gd fmla="val 50000" name="adj"/>
                            </a:avLst>
                          </a:prstGeom>
                          <a:solidFill>
                            <a:srgbClr val="073763"/>
                          </a:solidFill>
                          <a:ln cap="flat" cmpd="sng" w="9525">
                            <a:solidFill>
                              <a:srgbClr val="0737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9648771">
                            <a:off x="4141697" y="2891385"/>
                            <a:ext cx="433586" cy="220680"/>
                          </a:xfrm>
                          <a:prstGeom prst="triangle">
                            <a:avLst>
                              <a:gd fmla="val 50000" name="adj"/>
                            </a:avLst>
                          </a:prstGeom>
                          <a:solidFill>
                            <a:srgbClr val="A61C00"/>
                          </a:solidFill>
                          <a:ln cap="flat" cmpd="sng" w="9525">
                            <a:solidFill>
                              <a:srgbClr val="85200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rot="-1636474">
                            <a:off x="1981680" y="2925405"/>
                            <a:ext cx="433383" cy="220450"/>
                          </a:xfrm>
                          <a:prstGeom prst="triangle">
                            <a:avLst>
                              <a:gd fmla="val 50000" name="adj"/>
                            </a:avLst>
                          </a:prstGeom>
                          <a:solidFill>
                            <a:srgbClr val="38761D"/>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1907175" y="736325"/>
                            <a:ext cx="1167300" cy="692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274e13"/>
                                  <w:sz w:val="22"/>
                                  <w:vertAlign w:val="baseline"/>
                                </w:rPr>
                                <w:t xml:space="preserve">Data Mining &amp;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274e13"/>
                                  <w:sz w:val="22"/>
                                  <w:vertAlign w:val="baseline"/>
                                </w:rPr>
                              </w:r>
                              <w:r w:rsidDel="00000000" w:rsidR="00000000" w:rsidRPr="00000000">
                                <w:rPr>
                                  <w:rFonts w:ascii="Arial" w:cs="Arial" w:eastAsia="Arial" w:hAnsi="Arial"/>
                                  <w:b w:val="0"/>
                                  <w:i w:val="0"/>
                                  <w:smallCaps w:val="0"/>
                                  <w:strike w:val="0"/>
                                  <w:color w:val="274e13"/>
                                  <w:sz w:val="22"/>
                                  <w:vertAlign w:val="baseline"/>
                                </w:rPr>
                                <w:t xml:space="preserve">Machine Learning</w:t>
                              </w:r>
                            </w:p>
                          </w:txbxContent>
                        </wps:txbx>
                        <wps:bodyPr anchorCtr="0" anchor="t" bIns="91425" lIns="91425" spcFirstLastPara="1" rIns="91425" wrap="square" tIns="91425">
                          <a:spAutoFit/>
                        </wps:bodyPr>
                      </wps:wsp>
                      <wps:wsp>
                        <wps:cNvSpPr txBox="1"/>
                        <wps:cNvPr id="10" name="Shape 10"/>
                        <wps:spPr>
                          <a:xfrm>
                            <a:off x="1089425" y="1429025"/>
                            <a:ext cx="1167300" cy="52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274e13"/>
                                  <w:sz w:val="22"/>
                                  <w:vertAlign w:val="baseline"/>
                                </w:rPr>
                                <w:t xml:space="preserve">Standards &amp; Interoperability</w:t>
                              </w:r>
                            </w:p>
                          </w:txbxContent>
                        </wps:txbx>
                        <wps:bodyPr anchorCtr="0" anchor="t" bIns="91425" lIns="91425" spcFirstLastPara="1" rIns="91425" wrap="square" tIns="91425">
                          <a:spAutoFit/>
                        </wps:bodyPr>
                      </wps:wsp>
                      <wps:wsp>
                        <wps:cNvSpPr txBox="1"/>
                        <wps:cNvPr id="11" name="Shape 11"/>
                        <wps:spPr>
                          <a:xfrm>
                            <a:off x="852700" y="2767250"/>
                            <a:ext cx="1167300" cy="52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274e13"/>
                                  <w:sz w:val="22"/>
                                  <w:vertAlign w:val="baseline"/>
                                </w:rPr>
                                <w:t xml:space="preserve">Data &amp; Databases</w:t>
                              </w:r>
                            </w:p>
                          </w:txbxContent>
                        </wps:txbx>
                        <wps:bodyPr anchorCtr="0" anchor="t" bIns="91425" lIns="91425" spcFirstLastPara="1" rIns="91425" wrap="square" tIns="91425">
                          <a:spAutoFit/>
                        </wps:bodyPr>
                      </wps:wsp>
                      <wps:wsp>
                        <wps:cNvSpPr txBox="1"/>
                        <wps:cNvPr id="12" name="Shape 12"/>
                        <wps:spPr>
                          <a:xfrm>
                            <a:off x="852700" y="2269925"/>
                            <a:ext cx="1167300" cy="52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274e13"/>
                                  <w:sz w:val="22"/>
                                  <w:vertAlign w:val="baseline"/>
                                </w:rPr>
                                <w:t xml:space="preserve">NLP &amp; Text Mining</w:t>
                              </w:r>
                            </w:p>
                          </w:txbxContent>
                        </wps:txbx>
                        <wps:bodyPr anchorCtr="0" anchor="t" bIns="91425" lIns="91425" spcFirstLastPara="1" rIns="91425" wrap="square" tIns="91425">
                          <a:spAutoFit/>
                        </wps:bodyPr>
                      </wps:wsp>
                      <wps:wsp>
                        <wps:cNvSpPr txBox="1"/>
                        <wps:cNvPr id="13" name="Shape 13"/>
                        <wps:spPr>
                          <a:xfrm>
                            <a:off x="3272150" y="795200"/>
                            <a:ext cx="1167300" cy="692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73763"/>
                                  <w:sz w:val="22"/>
                                  <w:vertAlign w:val="baseline"/>
                                </w:rPr>
                                <w:t xml:space="preserve">Clinical Decision Support</w:t>
                              </w:r>
                            </w:p>
                          </w:txbxContent>
                        </wps:txbx>
                        <wps:bodyPr anchorCtr="0" anchor="t" bIns="91425" lIns="91425" spcFirstLastPara="1" rIns="91425" wrap="square" tIns="91425">
                          <a:spAutoFit/>
                        </wps:bodyPr>
                      </wps:wsp>
                      <wps:wsp>
                        <wps:cNvSpPr txBox="1"/>
                        <wps:cNvPr id="14" name="Shape 14"/>
                        <wps:spPr>
                          <a:xfrm>
                            <a:off x="4328900" y="1354000"/>
                            <a:ext cx="1167300" cy="52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73763"/>
                                  <w:sz w:val="22"/>
                                  <w:vertAlign w:val="baseline"/>
                                </w:rPr>
                                <w:t xml:space="preserve">Software Engineering</w:t>
                              </w:r>
                            </w:p>
                          </w:txbxContent>
                        </wps:txbx>
                        <wps:bodyPr anchorCtr="0" anchor="t" bIns="91425" lIns="91425" spcFirstLastPara="1" rIns="91425" wrap="square" tIns="91425">
                          <a:spAutoFit/>
                        </wps:bodyPr>
                      </wps:wsp>
                      <wps:wsp>
                        <wps:cNvSpPr txBox="1"/>
                        <wps:cNvPr id="15" name="Shape 15"/>
                        <wps:spPr>
                          <a:xfrm>
                            <a:off x="4657775" y="2092750"/>
                            <a:ext cx="1167300" cy="52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73763"/>
                                  <w:sz w:val="22"/>
                                  <w:vertAlign w:val="baseline"/>
                                </w:rPr>
                                <w:t xml:space="preserve">Knowledge Engineering</w:t>
                              </w:r>
                            </w:p>
                          </w:txbxContent>
                        </wps:txbx>
                        <wps:bodyPr anchorCtr="0" anchor="t" bIns="91425" lIns="91425" spcFirstLastPara="1" rIns="91425" wrap="square" tIns="91425">
                          <a:spAutoFit/>
                        </wps:bodyPr>
                      </wps:wsp>
                      <wps:wsp>
                        <wps:cNvSpPr txBox="1"/>
                        <wps:cNvPr id="16" name="Shape 16"/>
                        <wps:spPr>
                          <a:xfrm>
                            <a:off x="4761525" y="2774025"/>
                            <a:ext cx="1167300" cy="52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73763"/>
                                  <w:sz w:val="22"/>
                                  <w:vertAlign w:val="baseline"/>
                                </w:rPr>
                                <w:t xml:space="preserve">Human Factors Engineering</w:t>
                              </w:r>
                            </w:p>
                          </w:txbxContent>
                        </wps:txbx>
                        <wps:bodyPr anchorCtr="0" anchor="t" bIns="91425" lIns="91425" spcFirstLastPara="1" rIns="91425" wrap="square" tIns="91425">
                          <a:spAutoFit/>
                        </wps:bodyPr>
                      </wps:wsp>
                      <wps:wsp>
                        <wps:cNvSpPr txBox="1"/>
                        <wps:cNvPr id="17" name="Shape 17"/>
                        <wps:spPr>
                          <a:xfrm>
                            <a:off x="4117600" y="3760800"/>
                            <a:ext cx="1167300" cy="35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85200c"/>
                                  <w:sz w:val="22"/>
                                  <w:vertAlign w:val="baseline"/>
                                </w:rPr>
                                <w:t xml:space="preserve">Evaluation</w:t>
                              </w:r>
                            </w:p>
                          </w:txbxContent>
                        </wps:txbx>
                        <wps:bodyPr anchorCtr="0" anchor="t" bIns="91425" lIns="91425" spcFirstLastPara="1" rIns="91425" wrap="square" tIns="91425">
                          <a:spAutoFit/>
                        </wps:bodyPr>
                      </wps:wsp>
                      <wps:wsp>
                        <wps:cNvSpPr txBox="1"/>
                        <wps:cNvPr id="18" name="Shape 18"/>
                        <wps:spPr>
                          <a:xfrm>
                            <a:off x="1332250" y="3567175"/>
                            <a:ext cx="1167300" cy="692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85200c"/>
                                  <w:sz w:val="22"/>
                                  <w:vertAlign w:val="baseline"/>
                                </w:rPr>
                                <w:t xml:space="preserve">Quantitative &amp; Qualitative Methods</w:t>
                              </w:r>
                            </w:p>
                          </w:txbxContent>
                        </wps:txbx>
                        <wps:bodyPr anchorCtr="0" anchor="t" bIns="91425" lIns="91425" spcFirstLastPara="1" rIns="91425" wrap="square" tIns="91425">
                          <a:spAutoFit/>
                        </wps:bodyPr>
                      </wps:wsp>
                      <wps:wsp>
                        <wps:cNvSpPr/>
                        <wps:cNvPr id="19" name="Shape 19"/>
                        <wps:spPr>
                          <a:xfrm>
                            <a:off x="3464150" y="538025"/>
                            <a:ext cx="2429100" cy="3777300"/>
                          </a:xfrm>
                          <a:prstGeom prst="rect">
                            <a:avLst/>
                          </a:prstGeom>
                          <a:solidFill>
                            <a:srgbClr val="FFFFFF">
                              <a:alpha val="4852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492500" y="3232875"/>
                            <a:ext cx="2016900" cy="1082400"/>
                          </a:xfrm>
                          <a:prstGeom prst="rect">
                            <a:avLst/>
                          </a:prstGeom>
                          <a:solidFill>
                            <a:srgbClr val="FFFFFF">
                              <a:alpha val="4852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05213" cy="2680191"/>
                <wp:effectExtent b="0" l="0" r="0" t="0"/>
                <wp:docPr id="1"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3605213" cy="26801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E">
      <w:pPr>
        <w:numPr>
          <w:ilvl w:val="0"/>
          <w:numId w:val="17"/>
        </w:numPr>
        <w:ind w:left="720" w:hanging="360"/>
        <w:rPr>
          <w:u w:val="none"/>
        </w:rPr>
      </w:pPr>
      <w:r w:rsidDel="00000000" w:rsidR="00000000" w:rsidRPr="00000000">
        <w:rPr>
          <w:rtl w:val="0"/>
        </w:rPr>
        <w:t xml:space="preserve">Chen ES </w:t>
      </w:r>
      <w:hyperlink r:id="rId13">
        <w:r w:rsidDel="00000000" w:rsidR="00000000" w:rsidRPr="00000000">
          <w:rPr>
            <w:color w:val="1155cc"/>
            <w:u w:val="single"/>
            <w:rtl w:val="0"/>
          </w:rPr>
          <w:t xml:space="preserve">https://link.springer.com/chapter/10.1007/978-3-030-70558-9_2</w:t>
        </w:r>
      </w:hyperlink>
      <w:r w:rsidDel="00000000" w:rsidR="00000000" w:rsidRPr="00000000">
        <w:rPr>
          <w:rtl w:val="0"/>
        </w:rPr>
      </w:r>
    </w:p>
    <w:p w:rsidR="00000000" w:rsidDel="00000000" w:rsidP="00000000" w:rsidRDefault="00000000" w:rsidRPr="00000000" w14:paraId="0000002F">
      <w:pPr>
        <w:ind w:left="0" w:firstLine="0"/>
        <w:rPr>
          <w:b w:val="1"/>
        </w:rPr>
      </w:pPr>
      <w:r w:rsidDel="00000000" w:rsidR="00000000" w:rsidRPr="00000000">
        <w:rPr>
          <w:b w:val="1"/>
          <w:rtl w:val="0"/>
        </w:rPr>
        <w:t xml:space="preserve">Towards precision oncology</w:t>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Diagnosis process is increasingly multi-modal:</w:t>
      </w:r>
    </w:p>
    <w:p w:rsidR="00000000" w:rsidDel="00000000" w:rsidP="00000000" w:rsidRDefault="00000000" w:rsidRPr="00000000" w14:paraId="00000031">
      <w:pPr>
        <w:numPr>
          <w:ilvl w:val="0"/>
          <w:numId w:val="8"/>
        </w:numPr>
        <w:ind w:left="2160" w:hanging="360"/>
        <w:rPr>
          <w:u w:val="none"/>
        </w:rPr>
      </w:pPr>
      <w:r w:rsidDel="00000000" w:rsidR="00000000" w:rsidRPr="00000000">
        <w:rPr>
          <w:rtl w:val="0"/>
        </w:rPr>
        <w:t xml:space="preserve">Patient Presents with Symptoms </w:t>
      </w:r>
    </w:p>
    <w:p w:rsidR="00000000" w:rsidDel="00000000" w:rsidP="00000000" w:rsidRDefault="00000000" w:rsidRPr="00000000" w14:paraId="00000032">
      <w:pPr>
        <w:numPr>
          <w:ilvl w:val="0"/>
          <w:numId w:val="8"/>
        </w:numPr>
        <w:ind w:left="2160" w:hanging="360"/>
        <w:rPr>
          <w:u w:val="none"/>
        </w:rPr>
      </w:pPr>
      <w:r w:rsidDel="00000000" w:rsidR="00000000" w:rsidRPr="00000000">
        <w:rPr>
          <w:rtl w:val="0"/>
        </w:rPr>
        <w:t xml:space="preserve">PCP Orders Imaging Exam</w:t>
      </w:r>
    </w:p>
    <w:p w:rsidR="00000000" w:rsidDel="00000000" w:rsidP="00000000" w:rsidRDefault="00000000" w:rsidRPr="00000000" w14:paraId="00000033">
      <w:pPr>
        <w:numPr>
          <w:ilvl w:val="0"/>
          <w:numId w:val="8"/>
        </w:numPr>
        <w:ind w:left="2160" w:hanging="360"/>
        <w:rPr>
          <w:u w:val="none"/>
        </w:rPr>
      </w:pPr>
      <w:r w:rsidDel="00000000" w:rsidR="00000000" w:rsidRPr="00000000">
        <w:rPr>
          <w:rtl w:val="0"/>
        </w:rPr>
        <w:t xml:space="preserve">Imaging Study Performed</w:t>
      </w:r>
    </w:p>
    <w:p w:rsidR="00000000" w:rsidDel="00000000" w:rsidP="00000000" w:rsidRDefault="00000000" w:rsidRPr="00000000" w14:paraId="00000034">
      <w:pPr>
        <w:numPr>
          <w:ilvl w:val="0"/>
          <w:numId w:val="8"/>
        </w:numPr>
        <w:ind w:left="2160" w:hanging="360"/>
        <w:rPr>
          <w:u w:val="none"/>
        </w:rPr>
      </w:pPr>
      <w:r w:rsidDel="00000000" w:rsidR="00000000" w:rsidRPr="00000000">
        <w:rPr>
          <w:rtl w:val="0"/>
        </w:rPr>
        <w:t xml:space="preserve">Radiologist Interpretation Rendered</w:t>
      </w:r>
    </w:p>
    <w:p w:rsidR="00000000" w:rsidDel="00000000" w:rsidP="00000000" w:rsidRDefault="00000000" w:rsidRPr="00000000" w14:paraId="00000035">
      <w:pPr>
        <w:numPr>
          <w:ilvl w:val="0"/>
          <w:numId w:val="8"/>
        </w:numPr>
        <w:ind w:left="2160" w:hanging="360"/>
        <w:rPr>
          <w:u w:val="none"/>
        </w:rPr>
      </w:pPr>
      <w:r w:rsidDel="00000000" w:rsidR="00000000" w:rsidRPr="00000000">
        <w:rPr>
          <w:rtl w:val="0"/>
        </w:rPr>
        <w:t xml:space="preserve">Suspicious Mass Notes, Biopsy Ordered</w:t>
      </w:r>
    </w:p>
    <w:p w:rsidR="00000000" w:rsidDel="00000000" w:rsidP="00000000" w:rsidRDefault="00000000" w:rsidRPr="00000000" w14:paraId="00000036">
      <w:pPr>
        <w:numPr>
          <w:ilvl w:val="0"/>
          <w:numId w:val="8"/>
        </w:numPr>
        <w:ind w:left="2160" w:hanging="360"/>
        <w:rPr>
          <w:u w:val="none"/>
        </w:rPr>
      </w:pPr>
      <w:r w:rsidDel="00000000" w:rsidR="00000000" w:rsidRPr="00000000">
        <w:rPr>
          <w:rtl w:val="0"/>
        </w:rPr>
        <w:t xml:space="preserve">Biopsy Taken, Analyzed by Pathology</w:t>
      </w:r>
    </w:p>
    <w:p w:rsidR="00000000" w:rsidDel="00000000" w:rsidP="00000000" w:rsidRDefault="00000000" w:rsidRPr="00000000" w14:paraId="00000037">
      <w:pPr>
        <w:numPr>
          <w:ilvl w:val="0"/>
          <w:numId w:val="8"/>
        </w:numPr>
        <w:ind w:left="2160" w:hanging="360"/>
        <w:rPr>
          <w:u w:val="none"/>
        </w:rPr>
      </w:pPr>
      <w:r w:rsidDel="00000000" w:rsidR="00000000" w:rsidRPr="00000000">
        <w:rPr>
          <w:rtl w:val="0"/>
        </w:rPr>
        <w:t xml:space="preserve">Pathology Result Rendered</w:t>
      </w:r>
    </w:p>
    <w:p w:rsidR="00000000" w:rsidDel="00000000" w:rsidP="00000000" w:rsidRDefault="00000000" w:rsidRPr="00000000" w14:paraId="00000038">
      <w:pPr>
        <w:numPr>
          <w:ilvl w:val="0"/>
          <w:numId w:val="8"/>
        </w:numPr>
        <w:ind w:left="2160" w:hanging="360"/>
        <w:rPr>
          <w:u w:val="none"/>
        </w:rPr>
      </w:pPr>
      <w:r w:rsidDel="00000000" w:rsidR="00000000" w:rsidRPr="00000000">
        <w:rPr>
          <w:rtl w:val="0"/>
        </w:rPr>
        <w:t xml:space="preserve">Downstream Care Provided</w:t>
      </w:r>
    </w:p>
    <w:p w:rsidR="00000000" w:rsidDel="00000000" w:rsidP="00000000" w:rsidRDefault="00000000" w:rsidRPr="00000000" w14:paraId="00000039">
      <w:pPr>
        <w:numPr>
          <w:ilvl w:val="0"/>
          <w:numId w:val="12"/>
        </w:numPr>
        <w:ind w:left="720" w:hanging="360"/>
        <w:rPr>
          <w:b w:val="1"/>
          <w:u w:val="none"/>
        </w:rPr>
      </w:pPr>
      <w:r w:rsidDel="00000000" w:rsidR="00000000" w:rsidRPr="00000000">
        <w:rPr>
          <w:b w:val="1"/>
          <w:rtl w:val="0"/>
        </w:rPr>
        <w:t xml:space="preserve">Extracting features from multimodal data</w:t>
      </w:r>
    </w:p>
    <w:p w:rsidR="00000000" w:rsidDel="00000000" w:rsidP="00000000" w:rsidRDefault="00000000" w:rsidRPr="00000000" w14:paraId="0000003A">
      <w:pPr>
        <w:ind w:left="0" w:firstLine="0"/>
        <w:jc w:val="center"/>
        <w:rPr/>
      </w:pPr>
      <w:r w:rsidDel="00000000" w:rsidR="00000000" w:rsidRPr="00000000">
        <w:rPr/>
        <w:drawing>
          <wp:inline distB="114300" distT="114300" distL="114300" distR="114300">
            <wp:extent cx="2700338" cy="2957513"/>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0033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1"/>
          <w:numId w:val="12"/>
        </w:numPr>
        <w:ind w:left="1440" w:hanging="360"/>
        <w:rPr/>
      </w:pPr>
      <w:r w:rsidDel="00000000" w:rsidR="00000000" w:rsidRPr="00000000">
        <w:rPr>
          <w:rtl w:val="0"/>
        </w:rPr>
        <w:t xml:space="preserve">Boehm KM et al.</w:t>
      </w:r>
    </w:p>
    <w:p w:rsidR="00000000" w:rsidDel="00000000" w:rsidP="00000000" w:rsidRDefault="00000000" w:rsidRPr="00000000" w14:paraId="0000003C">
      <w:pPr>
        <w:numPr>
          <w:ilvl w:val="2"/>
          <w:numId w:val="12"/>
        </w:numPr>
        <w:ind w:left="2160" w:hanging="360"/>
        <w:rPr>
          <w:u w:val="none"/>
        </w:rPr>
      </w:pPr>
      <w:hyperlink r:id="rId15">
        <w:r w:rsidDel="00000000" w:rsidR="00000000" w:rsidRPr="00000000">
          <w:rPr>
            <w:color w:val="1155cc"/>
            <w:u w:val="single"/>
            <w:rtl w:val="0"/>
          </w:rPr>
          <w:t xml:space="preserve">https://dx.doi.org/10.1038/s41568-021-00408-3</w:t>
        </w:r>
      </w:hyperlink>
      <w:r w:rsidDel="00000000" w:rsidR="00000000" w:rsidRPr="00000000">
        <w:rPr>
          <w:rtl w:val="0"/>
        </w:rPr>
      </w:r>
    </w:p>
    <w:p w:rsidR="00000000" w:rsidDel="00000000" w:rsidP="00000000" w:rsidRDefault="00000000" w:rsidRPr="00000000" w14:paraId="0000003D">
      <w:pPr>
        <w:numPr>
          <w:ilvl w:val="0"/>
          <w:numId w:val="12"/>
        </w:numPr>
        <w:ind w:left="720" w:hanging="360"/>
        <w:rPr>
          <w:u w:val="none"/>
        </w:rPr>
      </w:pPr>
      <w:r w:rsidDel="00000000" w:rsidR="00000000" w:rsidRPr="00000000">
        <w:rPr>
          <w:rtl w:val="0"/>
        </w:rPr>
        <w:t xml:space="preserve">Radiomics features</w:t>
      </w:r>
    </w:p>
    <w:p w:rsidR="00000000" w:rsidDel="00000000" w:rsidP="00000000" w:rsidRDefault="00000000" w:rsidRPr="00000000" w14:paraId="0000003E">
      <w:pPr>
        <w:ind w:left="0" w:firstLine="0"/>
        <w:jc w:val="center"/>
        <w:rPr/>
      </w:pPr>
      <w:r w:rsidDel="00000000" w:rsidR="00000000" w:rsidRPr="00000000">
        <w:rPr/>
        <w:drawing>
          <wp:inline distB="114300" distT="114300" distL="114300" distR="114300">
            <wp:extent cx="5510213" cy="2900576"/>
            <wp:effectExtent b="0" l="0" r="0" t="0"/>
            <wp:docPr id="1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510213" cy="290057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1"/>
          <w:numId w:val="12"/>
        </w:numPr>
        <w:ind w:left="1440" w:hanging="360"/>
        <w:rPr>
          <w:u w:val="none"/>
        </w:rPr>
      </w:pPr>
      <w:r w:rsidDel="00000000" w:rsidR="00000000" w:rsidRPr="00000000">
        <w:rPr>
          <w:rtl w:val="0"/>
        </w:rPr>
        <w:t xml:space="preserve">Gilies RJ et al., 2015</w:t>
      </w:r>
    </w:p>
    <w:p w:rsidR="00000000" w:rsidDel="00000000" w:rsidP="00000000" w:rsidRDefault="00000000" w:rsidRPr="00000000" w14:paraId="00000040">
      <w:pPr>
        <w:numPr>
          <w:ilvl w:val="2"/>
          <w:numId w:val="12"/>
        </w:numPr>
        <w:ind w:left="2160" w:hanging="360"/>
        <w:rPr>
          <w:u w:val="none"/>
        </w:rPr>
      </w:pPr>
      <w:hyperlink r:id="rId17">
        <w:r w:rsidDel="00000000" w:rsidR="00000000" w:rsidRPr="00000000">
          <w:rPr>
            <w:color w:val="1155cc"/>
            <w:u w:val="single"/>
            <w:rtl w:val="0"/>
          </w:rPr>
          <w:t xml:space="preserve">https://pubs.rsna.org/doi/full/10.1148/radiol.2015151169</w:t>
        </w:r>
      </w:hyperlink>
      <w:r w:rsidDel="00000000" w:rsidR="00000000" w:rsidRPr="00000000">
        <w:rPr>
          <w:rtl w:val="0"/>
        </w:rPr>
      </w:r>
    </w:p>
    <w:p w:rsidR="00000000" w:rsidDel="00000000" w:rsidP="00000000" w:rsidRDefault="00000000" w:rsidRPr="00000000" w14:paraId="00000041">
      <w:pPr>
        <w:numPr>
          <w:ilvl w:val="1"/>
          <w:numId w:val="12"/>
        </w:numPr>
        <w:ind w:left="1440" w:hanging="360"/>
        <w:rPr>
          <w:u w:val="none"/>
        </w:rPr>
      </w:pPr>
      <w:r w:rsidDel="00000000" w:rsidR="00000000" w:rsidRPr="00000000">
        <w:rPr>
          <w:rtl w:val="0"/>
        </w:rPr>
        <w:t xml:space="preserve">Families of radiomic features:</w:t>
      </w:r>
    </w:p>
    <w:p w:rsidR="00000000" w:rsidDel="00000000" w:rsidP="00000000" w:rsidRDefault="00000000" w:rsidRPr="00000000" w14:paraId="00000042">
      <w:pPr>
        <w:ind w:left="0" w:firstLine="0"/>
        <w:jc w:val="center"/>
        <w:rPr/>
      </w:pPr>
      <w:r w:rsidDel="00000000" w:rsidR="00000000" w:rsidRPr="00000000">
        <w:rPr/>
        <w:drawing>
          <wp:inline distB="114300" distT="114300" distL="114300" distR="114300">
            <wp:extent cx="3619500" cy="4086532"/>
            <wp:effectExtent b="0" l="0" r="0" t="0"/>
            <wp:docPr id="2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619500" cy="408653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1"/>
          <w:numId w:val="12"/>
        </w:numPr>
        <w:ind w:left="1440" w:hanging="360"/>
        <w:rPr>
          <w:u w:val="none"/>
        </w:rPr>
      </w:pPr>
      <w:r w:rsidDel="00000000" w:rsidR="00000000" w:rsidRPr="00000000">
        <w:rPr>
          <w:rtl w:val="0"/>
        </w:rPr>
        <w:t xml:space="preserve">More info: </w:t>
      </w:r>
      <w:hyperlink r:id="rId19">
        <w:r w:rsidDel="00000000" w:rsidR="00000000" w:rsidRPr="00000000">
          <w:rPr>
            <w:color w:val="1155cc"/>
            <w:u w:val="single"/>
            <w:rtl w:val="0"/>
          </w:rPr>
          <w:t xml:space="preserve">https://ibsi.readthedocs.io/en/latest/03_Image_features.html</w:t>
        </w:r>
      </w:hyperlink>
      <w:r w:rsidDel="00000000" w:rsidR="00000000" w:rsidRPr="00000000">
        <w:rPr>
          <w:rtl w:val="0"/>
        </w:rPr>
      </w:r>
    </w:p>
    <w:p w:rsidR="00000000" w:rsidDel="00000000" w:rsidP="00000000" w:rsidRDefault="00000000" w:rsidRPr="00000000" w14:paraId="00000044">
      <w:pPr>
        <w:numPr>
          <w:ilvl w:val="1"/>
          <w:numId w:val="12"/>
        </w:numPr>
        <w:ind w:left="1440" w:hanging="360"/>
        <w:rPr>
          <w:u w:val="none"/>
        </w:rPr>
      </w:pPr>
      <w:r w:rsidDel="00000000" w:rsidR="00000000" w:rsidRPr="00000000">
        <w:rPr>
          <w:rtl w:val="0"/>
        </w:rPr>
        <w:t xml:space="preserve">Required input of a morphological and/ or intensity ROI mask</w:t>
      </w:r>
    </w:p>
    <w:p w:rsidR="00000000" w:rsidDel="00000000" w:rsidP="00000000" w:rsidRDefault="00000000" w:rsidRPr="00000000" w14:paraId="00000045">
      <w:pPr>
        <w:numPr>
          <w:ilvl w:val="1"/>
          <w:numId w:val="12"/>
        </w:numPr>
        <w:ind w:left="1440" w:hanging="360"/>
        <w:rPr>
          <w:u w:val="none"/>
        </w:rPr>
      </w:pPr>
      <w:r w:rsidDel="00000000" w:rsidR="00000000" w:rsidRPr="00000000">
        <w:rPr>
          <w:rtl w:val="0"/>
        </w:rPr>
        <w:t xml:space="preserve">Requirement of image discretization (discr.)</w:t>
      </w:r>
    </w:p>
    <w:p w:rsidR="00000000" w:rsidDel="00000000" w:rsidP="00000000" w:rsidRDefault="00000000" w:rsidRPr="00000000" w14:paraId="00000046">
      <w:pPr>
        <w:numPr>
          <w:ilvl w:val="0"/>
          <w:numId w:val="12"/>
        </w:numPr>
        <w:ind w:left="720" w:hanging="360"/>
        <w:rPr>
          <w:u w:val="none"/>
        </w:rPr>
      </w:pPr>
      <w:r w:rsidDel="00000000" w:rsidR="00000000" w:rsidRPr="00000000">
        <w:rPr>
          <w:rtl w:val="0"/>
        </w:rPr>
        <w:t xml:space="preserve">Textures:</w:t>
      </w:r>
    </w:p>
    <w:p w:rsidR="00000000" w:rsidDel="00000000" w:rsidP="00000000" w:rsidRDefault="00000000" w:rsidRPr="00000000" w14:paraId="00000047">
      <w:pPr>
        <w:ind w:left="0" w:firstLine="0"/>
        <w:rPr/>
      </w:pPr>
      <w:r w:rsidDel="00000000" w:rsidR="00000000" w:rsidRPr="00000000">
        <w:rPr/>
        <w:drawing>
          <wp:inline distB="114300" distT="114300" distL="114300" distR="114300">
            <wp:extent cx="6253163" cy="4252588"/>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253163" cy="42525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1"/>
          <w:numId w:val="12"/>
        </w:numPr>
        <w:ind w:left="1440" w:hanging="360"/>
        <w:rPr>
          <w:u w:val="none"/>
        </w:rPr>
      </w:pPr>
      <w:hyperlink r:id="rId21">
        <w:r w:rsidDel="00000000" w:rsidR="00000000" w:rsidRPr="00000000">
          <w:rPr>
            <w:color w:val="1155cc"/>
            <w:u w:val="single"/>
            <w:rtl w:val="0"/>
          </w:rPr>
          <w:t xml:space="preserve">https://www.ajronline.org/doi/pdf/10.2214/AJR.18.20624</w:t>
        </w:r>
      </w:hyperlink>
      <w:r w:rsidDel="00000000" w:rsidR="00000000" w:rsidRPr="00000000">
        <w:rPr>
          <w:rtl w:val="0"/>
        </w:rPr>
      </w:r>
    </w:p>
    <w:p w:rsidR="00000000" w:rsidDel="00000000" w:rsidP="00000000" w:rsidRDefault="00000000" w:rsidRPr="00000000" w14:paraId="00000049">
      <w:pPr>
        <w:numPr>
          <w:ilvl w:val="0"/>
          <w:numId w:val="12"/>
        </w:numPr>
        <w:ind w:left="720" w:hanging="360"/>
        <w:rPr>
          <w:u w:val="none"/>
        </w:rPr>
      </w:pPr>
      <w:r w:rsidDel="00000000" w:rsidR="00000000" w:rsidRPr="00000000">
        <w:rPr>
          <w:rtl w:val="0"/>
        </w:rPr>
        <w:t xml:space="preserve">Extracting features from multimodal data: biomedical data are multi-scale, multi-modal</w:t>
      </w:r>
    </w:p>
    <w:p w:rsidR="00000000" w:rsidDel="00000000" w:rsidP="00000000" w:rsidRDefault="00000000" w:rsidRPr="00000000" w14:paraId="0000004A">
      <w:pPr>
        <w:ind w:left="0" w:firstLine="0"/>
        <w:jc w:val="center"/>
        <w:rPr/>
      </w:pPr>
      <w:r w:rsidDel="00000000" w:rsidR="00000000" w:rsidRPr="00000000">
        <w:rPr/>
        <w:drawing>
          <wp:inline distB="114300" distT="114300" distL="114300" distR="114300">
            <wp:extent cx="4256059" cy="2671687"/>
            <wp:effectExtent b="0" l="0" r="0" t="0"/>
            <wp:docPr id="1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256059" cy="267168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1"/>
          <w:numId w:val="12"/>
        </w:numPr>
        <w:ind w:left="1440" w:hanging="360"/>
      </w:pPr>
      <w:r w:rsidDel="00000000" w:rsidR="00000000" w:rsidRPr="00000000">
        <w:rPr>
          <w:rtl w:val="0"/>
        </w:rPr>
        <w:t xml:space="preserve">Boehm KM et al.</w:t>
      </w:r>
    </w:p>
    <w:p w:rsidR="00000000" w:rsidDel="00000000" w:rsidP="00000000" w:rsidRDefault="00000000" w:rsidRPr="00000000" w14:paraId="0000004C">
      <w:pPr>
        <w:numPr>
          <w:ilvl w:val="2"/>
          <w:numId w:val="12"/>
        </w:numPr>
        <w:ind w:left="2160" w:hanging="360"/>
      </w:pPr>
      <w:hyperlink r:id="rId23">
        <w:r w:rsidDel="00000000" w:rsidR="00000000" w:rsidRPr="00000000">
          <w:rPr>
            <w:color w:val="1155cc"/>
            <w:u w:val="single"/>
            <w:rtl w:val="0"/>
          </w:rPr>
          <w:t xml:space="preserve">https://dx.doi.org/10.1038/s41568-021-00408-3</w:t>
        </w:r>
      </w:hyperlink>
      <w:r w:rsidDel="00000000" w:rsidR="00000000" w:rsidRPr="00000000">
        <w:rPr>
          <w:rtl w:val="0"/>
        </w:rPr>
      </w:r>
    </w:p>
    <w:p w:rsidR="00000000" w:rsidDel="00000000" w:rsidP="00000000" w:rsidRDefault="00000000" w:rsidRPr="00000000" w14:paraId="0000004D">
      <w:pPr>
        <w:ind w:left="0" w:firstLine="0"/>
        <w:rPr>
          <w:b w:val="1"/>
        </w:rPr>
      </w:pPr>
      <w:r w:rsidDel="00000000" w:rsidR="00000000" w:rsidRPr="00000000">
        <w:rPr>
          <w:b w:val="1"/>
          <w:rtl w:val="0"/>
        </w:rPr>
        <w:t xml:space="preserve">Basic types of multimodal integration</w:t>
      </w:r>
    </w:p>
    <w:p w:rsidR="00000000" w:rsidDel="00000000" w:rsidP="00000000" w:rsidRDefault="00000000" w:rsidRPr="00000000" w14:paraId="0000004E">
      <w:pPr>
        <w:numPr>
          <w:ilvl w:val="0"/>
          <w:numId w:val="12"/>
        </w:numPr>
        <w:ind w:left="720" w:hanging="360"/>
        <w:rPr>
          <w:u w:val="none"/>
        </w:rPr>
      </w:pPr>
      <w:r w:rsidDel="00000000" w:rsidR="00000000" w:rsidRPr="00000000">
        <w:rPr>
          <w:rtl w:val="0"/>
        </w:rPr>
        <w:t xml:space="preserve">Feature fusion:</w:t>
      </w:r>
    </w:p>
    <w:p w:rsidR="00000000" w:rsidDel="00000000" w:rsidP="00000000" w:rsidRDefault="00000000" w:rsidRPr="00000000" w14:paraId="0000004F">
      <w:pPr>
        <w:numPr>
          <w:ilvl w:val="1"/>
          <w:numId w:val="12"/>
        </w:numPr>
        <w:ind w:left="1440" w:hanging="360"/>
        <w:rPr>
          <w:u w:val="none"/>
        </w:rPr>
      </w:pPr>
      <w:r w:rsidDel="00000000" w:rsidR="00000000" w:rsidRPr="00000000">
        <w:rPr>
          <w:rtl w:val="0"/>
        </w:rPr>
        <w:t xml:space="preserve">Combine features across sources to generate a single feature vector for classification</w:t>
      </w:r>
    </w:p>
    <w:p w:rsidR="00000000" w:rsidDel="00000000" w:rsidP="00000000" w:rsidRDefault="00000000" w:rsidRPr="00000000" w14:paraId="00000050">
      <w:pPr>
        <w:numPr>
          <w:ilvl w:val="0"/>
          <w:numId w:val="12"/>
        </w:numPr>
        <w:ind w:left="720" w:hanging="360"/>
        <w:rPr>
          <w:u w:val="none"/>
        </w:rPr>
      </w:pPr>
      <w:r w:rsidDel="00000000" w:rsidR="00000000" w:rsidRPr="00000000">
        <w:rPr>
          <w:rtl w:val="0"/>
        </w:rPr>
        <w:t xml:space="preserve">Decision fusion:</w:t>
      </w:r>
    </w:p>
    <w:p w:rsidR="00000000" w:rsidDel="00000000" w:rsidP="00000000" w:rsidRDefault="00000000" w:rsidRPr="00000000" w14:paraId="00000051">
      <w:pPr>
        <w:numPr>
          <w:ilvl w:val="1"/>
          <w:numId w:val="12"/>
        </w:numPr>
        <w:ind w:left="1440" w:hanging="360"/>
        <w:rPr>
          <w:u w:val="none"/>
        </w:rPr>
      </w:pPr>
      <w:r w:rsidDel="00000000" w:rsidR="00000000" w:rsidRPr="00000000">
        <w:rPr>
          <w:rtl w:val="0"/>
        </w:rPr>
        <w:t xml:space="preserve">Classify features from each source independently then aggregate the results</w:t>
      </w:r>
    </w:p>
    <w:p w:rsidR="00000000" w:rsidDel="00000000" w:rsidP="00000000" w:rsidRDefault="00000000" w:rsidRPr="00000000" w14:paraId="00000052">
      <w:pPr>
        <w:numPr>
          <w:ilvl w:val="0"/>
          <w:numId w:val="12"/>
        </w:numPr>
        <w:ind w:left="720" w:hanging="360"/>
        <w:rPr>
          <w:u w:val="none"/>
        </w:rPr>
      </w:pPr>
      <w:r w:rsidDel="00000000" w:rsidR="00000000" w:rsidRPr="00000000">
        <w:rPr>
          <w:rtl w:val="0"/>
        </w:rPr>
        <w:t xml:space="preserve">More information: </w:t>
      </w:r>
      <w:hyperlink r:id="rId24">
        <w:r w:rsidDel="00000000" w:rsidR="00000000" w:rsidRPr="00000000">
          <w:rPr>
            <w:color w:val="1155cc"/>
            <w:u w:val="single"/>
            <w:rtl w:val="0"/>
          </w:rPr>
          <w:t xml:space="preserve">https://ieeexplore.ieee.org/document/5192987</w:t>
        </w:r>
      </w:hyperlink>
      <w:r w:rsidDel="00000000" w:rsidR="00000000" w:rsidRPr="00000000">
        <w:rPr>
          <w:rtl w:val="0"/>
        </w:rPr>
      </w:r>
    </w:p>
    <w:p w:rsidR="00000000" w:rsidDel="00000000" w:rsidP="00000000" w:rsidRDefault="00000000" w:rsidRPr="00000000" w14:paraId="00000053">
      <w:pPr>
        <w:numPr>
          <w:ilvl w:val="0"/>
          <w:numId w:val="12"/>
        </w:numPr>
        <w:ind w:left="720" w:hanging="360"/>
        <w:rPr>
          <w:u w:val="none"/>
        </w:rPr>
      </w:pPr>
      <w:r w:rsidDel="00000000" w:rsidR="00000000" w:rsidRPr="00000000">
        <w:rPr>
          <w:rtl w:val="0"/>
        </w:rPr>
        <w:t xml:space="preserve">An example of general approach:</w:t>
      </w:r>
    </w:p>
    <w:p w:rsidR="00000000" w:rsidDel="00000000" w:rsidP="00000000" w:rsidRDefault="00000000" w:rsidRPr="00000000" w14:paraId="00000054">
      <w:pPr>
        <w:numPr>
          <w:ilvl w:val="1"/>
          <w:numId w:val="12"/>
        </w:numPr>
        <w:ind w:left="1440" w:hanging="360"/>
        <w:rPr>
          <w:u w:val="none"/>
        </w:rPr>
      </w:pPr>
      <w:hyperlink r:id="rId25">
        <w:r w:rsidDel="00000000" w:rsidR="00000000" w:rsidRPr="00000000">
          <w:rPr>
            <w:color w:val="1155cc"/>
            <w:u w:val="single"/>
            <w:rtl w:val="0"/>
          </w:rPr>
          <w:t xml:space="preserve">https://ieeexplore.ieee.org/stamp/stamp.jsp?tp=&amp;arnumber=9684949</w:t>
        </w:r>
      </w:hyperlink>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943600" cy="2933700"/>
            <wp:effectExtent b="0" l="0" r="0" t="0"/>
            <wp:docPr id="1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Fusion level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Fusion 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Fusion method</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fusion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Fusion through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Canonical correlation analysis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Independent component analysis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Nonnegative matrix factorization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Direct fusion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Vector concatenation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Sparse representation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Multiple kernel learning</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Deep neural network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Graph-based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Decision fusion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Ensemble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forest</w:t>
            </w:r>
          </w:p>
        </w:tc>
      </w:tr>
    </w:tbl>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numPr>
          <w:ilvl w:val="0"/>
          <w:numId w:val="7"/>
        </w:numPr>
        <w:ind w:left="720" w:hanging="360"/>
        <w:rPr>
          <w:u w:val="none"/>
        </w:rPr>
      </w:pPr>
      <w:r w:rsidDel="00000000" w:rsidR="00000000" w:rsidRPr="00000000">
        <w:rPr>
          <w:rtl w:val="0"/>
        </w:rPr>
        <w:t xml:space="preserve">Example: Prostate cancer (PCa) aggressiveness</w:t>
      </w:r>
    </w:p>
    <w:p w:rsidR="00000000" w:rsidDel="00000000" w:rsidP="00000000" w:rsidRDefault="00000000" w:rsidRPr="00000000" w14:paraId="00000077">
      <w:pPr>
        <w:numPr>
          <w:ilvl w:val="1"/>
          <w:numId w:val="7"/>
        </w:numPr>
        <w:ind w:left="1440" w:hanging="360"/>
        <w:rPr>
          <w:u w:val="none"/>
        </w:rPr>
      </w:pPr>
      <w:r w:rsidDel="00000000" w:rsidR="00000000" w:rsidRPr="00000000">
        <w:rPr>
          <w:rtl w:val="0"/>
        </w:rPr>
        <w:t xml:space="preserve">Identifying patients who are likely to experience biochemical recurrence (BCR) after radical prostatectomy by fusing radiomic features extracted from the lesions shown in T2w and ADC</w:t>
      </w:r>
    </w:p>
    <w:p w:rsidR="00000000" w:rsidDel="00000000" w:rsidP="00000000" w:rsidRDefault="00000000" w:rsidRPr="00000000" w14:paraId="00000078">
      <w:pPr>
        <w:numPr>
          <w:ilvl w:val="1"/>
          <w:numId w:val="7"/>
        </w:numPr>
        <w:ind w:left="1440" w:hanging="360"/>
        <w:rPr>
          <w:u w:val="none"/>
        </w:rPr>
      </w:pPr>
      <w:r w:rsidDel="00000000" w:rsidR="00000000" w:rsidRPr="00000000">
        <w:rPr>
          <w:rtl w:val="0"/>
        </w:rPr>
        <w:t xml:space="preserve">Existing works: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Treatment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Imaging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Radiomics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fusion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Gnep et al., 2017</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7">
              <w:r w:rsidDel="00000000" w:rsidR="00000000" w:rsidRPr="00000000">
                <w:rPr>
                  <w:color w:val="1155cc"/>
                  <w:u w:val="single"/>
                  <w:rtl w:val="0"/>
                </w:rPr>
                <w:t xml:space="preserve">https://onlinelibrary.wiley.com/doi/10.1002/jmri.25335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N=47</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T2w, ADC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 intensity,</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Texture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Direct concatenation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Shiradkar et al., 2018</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8">
              <w:r w:rsidDel="00000000" w:rsidR="00000000" w:rsidRPr="00000000">
                <w:rPr>
                  <w:color w:val="1155cc"/>
                  <w:u w:val="single"/>
                  <w:rtl w:val="0"/>
                </w:rPr>
                <w:t xml:space="preserve">https://www.ncbi.nlm.nih.gov/pmc/articles/PMC6222024/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N=120</w:t>
            </w:r>
          </w:p>
          <w:p w:rsidR="00000000" w:rsidDel="00000000" w:rsidP="00000000" w:rsidRDefault="00000000" w:rsidRPr="00000000" w14:paraId="0000008B">
            <w:pPr>
              <w:widowControl w:val="0"/>
              <w:spacing w:line="240" w:lineRule="auto"/>
              <w:rPr/>
            </w:pPr>
            <w:r w:rsidDel="00000000" w:rsidR="00000000" w:rsidRPr="00000000">
              <w:rPr>
                <w:rtl w:val="0"/>
              </w:rPr>
              <w:t xml:space="preserve">2 centers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RTx or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T2w, ADC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600 intensity,</w:t>
            </w:r>
          </w:p>
          <w:p w:rsidR="00000000" w:rsidDel="00000000" w:rsidP="00000000" w:rsidRDefault="00000000" w:rsidRPr="00000000" w14:paraId="0000008F">
            <w:pPr>
              <w:widowControl w:val="0"/>
              <w:spacing w:line="240" w:lineRule="auto"/>
              <w:rPr/>
            </w:pPr>
            <w:r w:rsidDel="00000000" w:rsidR="00000000" w:rsidRPr="00000000">
              <w:rPr>
                <w:rtl w:val="0"/>
              </w:rPr>
              <w:t xml:space="preserve">Texture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Direct concatenation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Dinis Fernandes et al., 2018</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
              <w:r w:rsidDel="00000000" w:rsidR="00000000" w:rsidRPr="00000000">
                <w:rPr>
                  <w:color w:val="1155cc"/>
                  <w:u w:val="single"/>
                  <w:rtl w:val="0"/>
                </w:rPr>
                <w:t xml:space="preserve">https://phiro.science/article/S2405-6316(17)30085-4/fulltext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N=120</w:t>
            </w:r>
          </w:p>
          <w:p w:rsidR="00000000" w:rsidDel="00000000" w:rsidP="00000000" w:rsidRDefault="00000000" w:rsidRPr="00000000" w14:paraId="00000094">
            <w:pPr>
              <w:widowControl w:val="0"/>
              <w:spacing w:line="240" w:lineRule="auto"/>
              <w:rPr/>
            </w:pPr>
            <w:r w:rsidDel="00000000" w:rsidR="00000000" w:rsidRPr="00000000">
              <w:rPr>
                <w:rtl w:val="0"/>
              </w:rPr>
              <w:t xml:space="preserve">1 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RTx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T2w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254 texture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Zhong et al., 2020</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0">
              <w:r w:rsidDel="00000000" w:rsidR="00000000" w:rsidRPr="00000000">
                <w:rPr>
                  <w:color w:val="1155cc"/>
                  <w:u w:val="single"/>
                  <w:rtl w:val="0"/>
                </w:rPr>
                <w:t xml:space="preserve">https://www.frontiersin.org/articles/10.3389/fonc.2020.00731/full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N=91</w:t>
            </w:r>
          </w:p>
          <w:p w:rsidR="00000000" w:rsidDel="00000000" w:rsidP="00000000" w:rsidRDefault="00000000" w:rsidRPr="00000000" w14:paraId="0000009C">
            <w:pPr>
              <w:widowControl w:val="0"/>
              <w:spacing w:line="240" w:lineRule="auto"/>
              <w:rPr/>
            </w:pPr>
            <w:r w:rsidDel="00000000" w:rsidR="00000000" w:rsidRPr="00000000">
              <w:rPr>
                <w:rtl w:val="0"/>
              </w:rPr>
              <w:t xml:space="preserve">1 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T1, T2, DWI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1536 deep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Direct concatenation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Bourbonne et al., 2020</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1">
              <w:r w:rsidDel="00000000" w:rsidR="00000000" w:rsidRPr="00000000">
                <w:rPr>
                  <w:color w:val="1155cc"/>
                  <w:u w:val="single"/>
                  <w:rtl w:val="0"/>
                </w:rPr>
                <w:t xml:space="preserve">https://www.mdpi.com/2072-6694/12/4/814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N=195</w:t>
            </w:r>
          </w:p>
          <w:p w:rsidR="00000000" w:rsidDel="00000000" w:rsidP="00000000" w:rsidRDefault="00000000" w:rsidRPr="00000000" w14:paraId="000000A4">
            <w:pPr>
              <w:widowControl w:val="0"/>
              <w:spacing w:line="240" w:lineRule="auto"/>
              <w:rPr/>
            </w:pPr>
            <w:r w:rsidDel="00000000" w:rsidR="00000000" w:rsidRPr="00000000">
              <w:rPr>
                <w:rtl w:val="0"/>
              </w:rPr>
              <w:t xml:space="preserve">2 centers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T2w, ADC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27,376 intensity,</w:t>
            </w:r>
          </w:p>
          <w:p w:rsidR="00000000" w:rsidDel="00000000" w:rsidP="00000000" w:rsidRDefault="00000000" w:rsidRPr="00000000" w14:paraId="000000A8">
            <w:pPr>
              <w:widowControl w:val="0"/>
              <w:spacing w:line="240" w:lineRule="auto"/>
              <w:rPr/>
            </w:pPr>
            <w:r w:rsidDel="00000000" w:rsidR="00000000" w:rsidRPr="00000000">
              <w:rPr>
                <w:rtl w:val="0"/>
              </w:rPr>
              <w:t xml:space="preserve">Shape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Direct concatenation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 et al., 2020</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2">
              <w:r w:rsidDel="00000000" w:rsidR="00000000" w:rsidRPr="00000000">
                <w:rPr>
                  <w:color w:val="1155cc"/>
                  <w:u w:val="single"/>
                  <w:rtl w:val="0"/>
                </w:rPr>
                <w:t xml:space="preserve">https://www.thelancet.com/journals/ebiom/article/PIIS2352-3964(20)30539-9/fulltext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N=198</w:t>
            </w:r>
          </w:p>
          <w:p w:rsidR="00000000" w:rsidDel="00000000" w:rsidP="00000000" w:rsidRDefault="00000000" w:rsidRPr="00000000" w14:paraId="000000AD">
            <w:pPr>
              <w:widowControl w:val="0"/>
              <w:spacing w:line="240" w:lineRule="auto"/>
              <w:rPr/>
            </w:pPr>
            <w:r w:rsidDel="00000000" w:rsidR="00000000" w:rsidRPr="00000000">
              <w:rPr>
                <w:rtl w:val="0"/>
              </w:rPr>
              <w:t xml:space="preserve">4 centers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T2w, ADC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200 intensity,</w:t>
            </w:r>
          </w:p>
          <w:p w:rsidR="00000000" w:rsidDel="00000000" w:rsidP="00000000" w:rsidRDefault="00000000" w:rsidRPr="00000000" w14:paraId="000000B1">
            <w:pPr>
              <w:widowControl w:val="0"/>
              <w:spacing w:line="240" w:lineRule="auto"/>
              <w:rPr/>
            </w:pPr>
            <w:r w:rsidDel="00000000" w:rsidR="00000000" w:rsidRPr="00000000">
              <w:rPr>
                <w:rtl w:val="0"/>
              </w:rPr>
              <w:t xml:space="preserve">Shape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Direct concatenation</w:t>
            </w:r>
          </w:p>
        </w:tc>
      </w:tr>
    </w:tbl>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numPr>
          <w:ilvl w:val="0"/>
          <w:numId w:val="10"/>
        </w:numPr>
        <w:ind w:left="1440" w:hanging="360"/>
      </w:pPr>
      <w:r w:rsidDel="00000000" w:rsidR="00000000" w:rsidRPr="00000000">
        <w:rPr>
          <w:rtl w:val="0"/>
        </w:rPr>
        <w:t xml:space="preserve">Hypothesis</w:t>
      </w:r>
    </w:p>
    <w:p w:rsidR="00000000" w:rsidDel="00000000" w:rsidP="00000000" w:rsidRDefault="00000000" w:rsidRPr="00000000" w14:paraId="000000B5">
      <w:pPr>
        <w:numPr>
          <w:ilvl w:val="1"/>
          <w:numId w:val="10"/>
        </w:numPr>
        <w:ind w:left="2160" w:hanging="360"/>
      </w:pPr>
      <w:r w:rsidDel="00000000" w:rsidR="00000000" w:rsidRPr="00000000">
        <w:rPr>
          <w:rtl w:val="0"/>
        </w:rPr>
        <w:t xml:space="preserve">Fused radiomic features from T2w and ADC are more prognostic of BCR than:</w:t>
      </w:r>
    </w:p>
    <w:p w:rsidR="00000000" w:rsidDel="00000000" w:rsidP="00000000" w:rsidRDefault="00000000" w:rsidRPr="00000000" w14:paraId="000000B6">
      <w:pPr>
        <w:numPr>
          <w:ilvl w:val="2"/>
          <w:numId w:val="10"/>
        </w:numPr>
        <w:ind w:left="2880" w:hanging="360"/>
      </w:pPr>
      <w:r w:rsidDel="00000000" w:rsidR="00000000" w:rsidRPr="00000000">
        <w:rPr>
          <w:rtl w:val="0"/>
        </w:rPr>
        <w:t xml:space="preserve">1 ) T2w radiomic features alone</w:t>
      </w:r>
    </w:p>
    <w:p w:rsidR="00000000" w:rsidDel="00000000" w:rsidP="00000000" w:rsidRDefault="00000000" w:rsidRPr="00000000" w14:paraId="000000B7">
      <w:pPr>
        <w:numPr>
          <w:ilvl w:val="2"/>
          <w:numId w:val="10"/>
        </w:numPr>
        <w:ind w:left="2880" w:hanging="360"/>
      </w:pPr>
      <w:r w:rsidDel="00000000" w:rsidR="00000000" w:rsidRPr="00000000">
        <w:rPr>
          <w:rtl w:val="0"/>
        </w:rPr>
        <w:t xml:space="preserve">2) ADC radiomic features alone</w:t>
      </w:r>
    </w:p>
    <w:p w:rsidR="00000000" w:rsidDel="00000000" w:rsidP="00000000" w:rsidRDefault="00000000" w:rsidRPr="00000000" w14:paraId="000000B8">
      <w:pPr>
        <w:numPr>
          <w:ilvl w:val="2"/>
          <w:numId w:val="10"/>
        </w:numPr>
        <w:ind w:left="2880" w:hanging="360"/>
      </w:pPr>
      <w:r w:rsidDel="00000000" w:rsidR="00000000" w:rsidRPr="00000000">
        <w:rPr>
          <w:rtl w:val="0"/>
        </w:rPr>
        <w:t xml:space="preserve">3) Direct feature combination from T2w and ADC</w:t>
      </w:r>
    </w:p>
    <w:p w:rsidR="00000000" w:rsidDel="00000000" w:rsidP="00000000" w:rsidRDefault="00000000" w:rsidRPr="00000000" w14:paraId="000000B9">
      <w:pPr>
        <w:numPr>
          <w:ilvl w:val="2"/>
          <w:numId w:val="10"/>
        </w:numPr>
        <w:ind w:left="2880" w:hanging="360"/>
      </w:pPr>
      <w:r w:rsidDel="00000000" w:rsidR="00000000" w:rsidRPr="00000000">
        <w:rPr>
          <w:rtl w:val="0"/>
        </w:rPr>
        <w:t xml:space="preserve">4) Clinical assessments of T 2 score, T 2 shape, T 2 signal, average ADC values</w:t>
      </w:r>
    </w:p>
    <w:p w:rsidR="00000000" w:rsidDel="00000000" w:rsidP="00000000" w:rsidRDefault="00000000" w:rsidRPr="00000000" w14:paraId="000000BA">
      <w:pPr>
        <w:numPr>
          <w:ilvl w:val="0"/>
          <w:numId w:val="10"/>
        </w:numPr>
        <w:ind w:left="1440" w:hanging="360"/>
        <w:rPr>
          <w:u w:val="none"/>
        </w:rPr>
      </w:pPr>
      <w:r w:rsidDel="00000000" w:rsidR="00000000" w:rsidRPr="00000000">
        <w:rPr>
          <w:rtl w:val="0"/>
        </w:rPr>
        <w:t xml:space="preserve">Dataset and patient selection</w:t>
      </w:r>
    </w:p>
    <w:p w:rsidR="00000000" w:rsidDel="00000000" w:rsidP="00000000" w:rsidRDefault="00000000" w:rsidRPr="00000000" w14:paraId="000000BB">
      <w:pPr>
        <w:ind w:left="0" w:firstLine="0"/>
        <w:rPr/>
      </w:pPr>
      <w:r w:rsidDel="00000000" w:rsidR="00000000" w:rsidRPr="00000000">
        <w:rPr/>
        <mc:AlternateContent>
          <mc:Choice Requires="wpg">
            <w:drawing>
              <wp:inline distB="114300" distT="114300" distL="114300" distR="114300">
                <wp:extent cx="5943600" cy="4165600"/>
                <wp:effectExtent b="0" l="0" r="0" t="0"/>
                <wp:docPr id="5" name=""/>
                <a:graphic>
                  <a:graphicData uri="http://schemas.microsoft.com/office/word/2010/wordprocessingGroup">
                    <wpg:wgp>
                      <wpg:cNvGrpSpPr/>
                      <wpg:grpSpPr>
                        <a:xfrm>
                          <a:off x="148575" y="440600"/>
                          <a:ext cx="5943600" cy="4165600"/>
                          <a:chOff x="148575" y="440600"/>
                          <a:chExt cx="7135875" cy="4986800"/>
                        </a:xfrm>
                      </wpg:grpSpPr>
                      <wps:wsp>
                        <wps:cNvSpPr/>
                        <wps:cNvPr id="49" name="Shape 49"/>
                        <wps:spPr>
                          <a:xfrm>
                            <a:off x="1826500" y="445375"/>
                            <a:ext cx="3086100" cy="583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 = 478 with annotation from pre-surgery MRI</w:t>
                              </w:r>
                            </w:p>
                          </w:txbxContent>
                        </wps:txbx>
                        <wps:bodyPr anchorCtr="0" anchor="ctr" bIns="91425" lIns="91425" spcFirstLastPara="1" rIns="91425" wrap="square" tIns="91425">
                          <a:noAutofit/>
                        </wps:bodyPr>
                      </wps:wsp>
                      <wps:wsp>
                        <wps:cNvSpPr/>
                        <wps:cNvPr id="50" name="Shape 50"/>
                        <wps:spPr>
                          <a:xfrm>
                            <a:off x="1826500" y="1379250"/>
                            <a:ext cx="3086100" cy="2013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Inclusion criteria: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Had at least one post-surgery PSA value (N=412)</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Had at least one biopsy-proven lesion (N=409)</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Had T2w and ADC (N=379)</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Had clinical features including T2 score, T2 shape, and T2 signal (N=343)</w:t>
                              </w:r>
                            </w:p>
                          </w:txbxContent>
                        </wps:txbx>
                        <wps:bodyPr anchorCtr="0" anchor="ctr" bIns="91425" lIns="91425" spcFirstLastPara="1" rIns="91425" wrap="square" tIns="91425">
                          <a:noAutofit/>
                        </wps:bodyPr>
                      </wps:wsp>
                      <wps:wsp>
                        <wps:cNvSpPr/>
                        <wps:cNvPr id="51" name="Shape 51"/>
                        <wps:spPr>
                          <a:xfrm>
                            <a:off x="1826500" y="3905250"/>
                            <a:ext cx="3086100" cy="538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 = 343 included in this study</w:t>
                              </w:r>
                            </w:p>
                          </w:txbxContent>
                        </wps:txbx>
                        <wps:bodyPr anchorCtr="0" anchor="ctr" bIns="91425" lIns="91425" spcFirstLastPara="1" rIns="91425" wrap="square" tIns="91425">
                          <a:noAutofit/>
                        </wps:bodyPr>
                      </wps:wsp>
                      <wps:wsp>
                        <wps:cNvSpPr/>
                        <wps:cNvPr id="52" name="Shape 52"/>
                        <wps:spPr>
                          <a:xfrm>
                            <a:off x="4193575" y="4884425"/>
                            <a:ext cx="3086100" cy="538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Independent test set: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 = 103 with 21 BCR</w:t>
                              </w:r>
                            </w:p>
                          </w:txbxContent>
                        </wps:txbx>
                        <wps:bodyPr anchorCtr="0" anchor="ctr" bIns="91425" lIns="91425" spcFirstLastPara="1" rIns="91425" wrap="square" tIns="91425">
                          <a:noAutofit/>
                        </wps:bodyPr>
                      </wps:wsp>
                      <wps:wsp>
                        <wps:cNvSpPr/>
                        <wps:cNvPr id="53" name="Shape 53"/>
                        <wps:spPr>
                          <a:xfrm>
                            <a:off x="153350" y="4884425"/>
                            <a:ext cx="3086100" cy="538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Development set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 = 240 with 49 BCR</w:t>
                              </w:r>
                            </w:p>
                          </w:txbxContent>
                        </wps:txbx>
                        <wps:bodyPr anchorCtr="0" anchor="ctr" bIns="91425" lIns="91425" spcFirstLastPara="1" rIns="91425" wrap="square" tIns="91425">
                          <a:noAutofit/>
                        </wps:bodyPr>
                      </wps:wsp>
                      <wps:wsp>
                        <wps:cNvCnPr/>
                        <wps:spPr>
                          <a:xfrm>
                            <a:off x="3369550" y="1029175"/>
                            <a:ext cx="0" cy="350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69550" y="3392850"/>
                            <a:ext cx="0" cy="51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696450" y="4443450"/>
                            <a:ext cx="1673100" cy="44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69550" y="4443450"/>
                            <a:ext cx="2367000" cy="44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165600"/>
                <wp:effectExtent b="0" l="0" r="0" t="0"/>
                <wp:docPr id="5" name="image22.png"/>
                <a:graphic>
                  <a:graphicData uri="http://schemas.openxmlformats.org/drawingml/2006/picture">
                    <pic:pic>
                      <pic:nvPicPr>
                        <pic:cNvPr id="0" name="image22.png"/>
                        <pic:cNvPicPr preferRelativeResize="0"/>
                      </pic:nvPicPr>
                      <pic:blipFill>
                        <a:blip r:embed="rId33"/>
                        <a:srcRect/>
                        <a:stretch>
                          <a:fillRect/>
                        </a:stretch>
                      </pic:blipFill>
                      <pic:spPr>
                        <a:xfrm>
                          <a:off x="0" y="0"/>
                          <a:ext cx="5943600" cy="4165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C">
      <w:pPr>
        <w:numPr>
          <w:ilvl w:val="1"/>
          <w:numId w:val="10"/>
        </w:numPr>
        <w:ind w:left="2160" w:hanging="360"/>
        <w:rPr>
          <w:u w:val="none"/>
        </w:rPr>
      </w:pPr>
      <w:r w:rsidDel="00000000" w:rsidR="00000000" w:rsidRPr="00000000">
        <w:rPr>
          <w:rtl w:val="0"/>
        </w:rPr>
        <w:t xml:space="preserve">Median follow up for all 343 cases:</w:t>
      </w:r>
    </w:p>
    <w:p w:rsidR="00000000" w:rsidDel="00000000" w:rsidP="00000000" w:rsidRDefault="00000000" w:rsidRPr="00000000" w14:paraId="000000BD">
      <w:pPr>
        <w:numPr>
          <w:ilvl w:val="2"/>
          <w:numId w:val="10"/>
        </w:numPr>
        <w:ind w:left="2880" w:hanging="360"/>
        <w:rPr>
          <w:u w:val="none"/>
        </w:rPr>
      </w:pPr>
      <w:r w:rsidDel="00000000" w:rsidR="00000000" w:rsidRPr="00000000">
        <w:rPr>
          <w:rtl w:val="0"/>
        </w:rPr>
        <w:t xml:space="preserve">27.9 (0.2-110.1) months</w:t>
      </w:r>
    </w:p>
    <w:p w:rsidR="00000000" w:rsidDel="00000000" w:rsidP="00000000" w:rsidRDefault="00000000" w:rsidRPr="00000000" w14:paraId="000000BE">
      <w:pPr>
        <w:numPr>
          <w:ilvl w:val="1"/>
          <w:numId w:val="10"/>
        </w:numPr>
        <w:ind w:left="2160" w:hanging="360"/>
        <w:rPr>
          <w:u w:val="none"/>
        </w:rPr>
      </w:pPr>
      <w:r w:rsidDel="00000000" w:rsidR="00000000" w:rsidRPr="00000000">
        <w:rPr>
          <w:rtl w:val="0"/>
        </w:rPr>
        <w:t xml:space="preserve">Median follow up for 70 BCR cases:</w:t>
      </w:r>
    </w:p>
    <w:p w:rsidR="00000000" w:rsidDel="00000000" w:rsidP="00000000" w:rsidRDefault="00000000" w:rsidRPr="00000000" w14:paraId="000000BF">
      <w:pPr>
        <w:numPr>
          <w:ilvl w:val="2"/>
          <w:numId w:val="10"/>
        </w:numPr>
        <w:ind w:left="2880" w:hanging="360"/>
        <w:rPr>
          <w:u w:val="none"/>
        </w:rPr>
      </w:pPr>
      <w:r w:rsidDel="00000000" w:rsidR="00000000" w:rsidRPr="00000000">
        <w:rPr>
          <w:rtl w:val="0"/>
        </w:rPr>
        <w:t xml:space="preserve">12.1 (0.-92.9) months</w:t>
      </w:r>
    </w:p>
    <w:p w:rsidR="00000000" w:rsidDel="00000000" w:rsidP="00000000" w:rsidRDefault="00000000" w:rsidRPr="00000000" w14:paraId="000000C0">
      <w:pPr>
        <w:numPr>
          <w:ilvl w:val="1"/>
          <w:numId w:val="10"/>
        </w:numPr>
        <w:ind w:left="2160" w:hanging="360"/>
        <w:rPr>
          <w:u w:val="none"/>
        </w:rPr>
      </w:pPr>
      <w:r w:rsidDel="00000000" w:rsidR="00000000" w:rsidRPr="00000000">
        <w:rPr>
          <w:rtl w:val="0"/>
        </w:rPr>
        <w:t xml:space="preserve">Median follow up for 273 non-BCR cases:</w:t>
      </w:r>
    </w:p>
    <w:p w:rsidR="00000000" w:rsidDel="00000000" w:rsidP="00000000" w:rsidRDefault="00000000" w:rsidRPr="00000000" w14:paraId="000000C1">
      <w:pPr>
        <w:numPr>
          <w:ilvl w:val="2"/>
          <w:numId w:val="10"/>
        </w:numPr>
        <w:ind w:left="2880" w:hanging="360"/>
        <w:rPr>
          <w:u w:val="none"/>
        </w:rPr>
      </w:pPr>
      <w:r w:rsidDel="00000000" w:rsidR="00000000" w:rsidRPr="00000000">
        <w:rPr>
          <w:rtl w:val="0"/>
        </w:rPr>
        <w:t xml:space="preserve">31.4 (1.9-110.1) months</w:t>
      </w:r>
    </w:p>
    <w:p w:rsidR="00000000" w:rsidDel="00000000" w:rsidP="00000000" w:rsidRDefault="00000000" w:rsidRPr="00000000" w14:paraId="000000C2">
      <w:pPr>
        <w:numPr>
          <w:ilvl w:val="0"/>
          <w:numId w:val="10"/>
        </w:numPr>
        <w:ind w:left="1440" w:hanging="360"/>
        <w:rPr>
          <w:u w:val="none"/>
        </w:rPr>
      </w:pPr>
      <w:r w:rsidDel="00000000" w:rsidR="00000000" w:rsidRPr="00000000">
        <w:rPr>
          <w:rtl w:val="0"/>
        </w:rPr>
        <w:t xml:space="preserve">Radiomics feature extraction</w:t>
      </w:r>
    </w:p>
    <w:p w:rsidR="00000000" w:rsidDel="00000000" w:rsidP="00000000" w:rsidRDefault="00000000" w:rsidRPr="00000000" w14:paraId="000000C3">
      <w:pPr>
        <w:ind w:left="0" w:firstLine="0"/>
        <w:rPr/>
      </w:pPr>
      <w:r w:rsidDel="00000000" w:rsidR="00000000" w:rsidRPr="00000000">
        <w:rPr/>
        <mc:AlternateContent>
          <mc:Choice Requires="wpg">
            <w:drawing>
              <wp:inline distB="114300" distT="114300" distL="114300" distR="114300">
                <wp:extent cx="5943600" cy="3530600"/>
                <wp:effectExtent b="0" l="0" r="0" t="0"/>
                <wp:docPr id="3" name=""/>
                <a:graphic>
                  <a:graphicData uri="http://schemas.microsoft.com/office/word/2010/wordprocessingGroup">
                    <wpg:wgp>
                      <wpg:cNvGrpSpPr/>
                      <wpg:grpSpPr>
                        <a:xfrm>
                          <a:off x="931525" y="235600"/>
                          <a:ext cx="5943600" cy="3530600"/>
                          <a:chOff x="931525" y="235600"/>
                          <a:chExt cx="7650850" cy="4547075"/>
                        </a:xfrm>
                      </wpg:grpSpPr>
                      <wps:wsp>
                        <wps:cNvSpPr txBox="1"/>
                        <wps:cNvPr id="22" name="Shape 22"/>
                        <wps:spPr>
                          <a:xfrm>
                            <a:off x="931525" y="2429850"/>
                            <a:ext cx="17121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Normalization and intensity artifacts correction</w:t>
                              </w:r>
                            </w:p>
                          </w:txbxContent>
                        </wps:txbx>
                        <wps:bodyPr anchorCtr="0" anchor="t" bIns="91425" lIns="91425" spcFirstLastPara="1" rIns="91425" wrap="square" tIns="91425">
                          <a:spAutoFit/>
                        </wps:bodyPr>
                      </wps:wsp>
                      <wps:wsp>
                        <wps:cNvSpPr txBox="1"/>
                        <wps:cNvPr id="23" name="Shape 23"/>
                        <wps:spPr>
                          <a:xfrm>
                            <a:off x="3305100" y="1774850"/>
                            <a:ext cx="774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T2w</w:t>
                              </w:r>
                            </w:p>
                          </w:txbxContent>
                        </wps:txbx>
                        <wps:bodyPr anchorCtr="0" anchor="t" bIns="91425" lIns="91425" spcFirstLastPara="1" rIns="91425" wrap="square" tIns="91425">
                          <a:spAutoFit/>
                        </wps:bodyPr>
                      </wps:wsp>
                      <wps:wsp>
                        <wps:cNvSpPr txBox="1"/>
                        <wps:cNvPr id="24" name="Shape 24"/>
                        <wps:spPr>
                          <a:xfrm>
                            <a:off x="3305100" y="3357075"/>
                            <a:ext cx="774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ADC</w:t>
                              </w:r>
                            </w:p>
                          </w:txbxContent>
                        </wps:txbx>
                        <wps:bodyPr anchorCtr="0" anchor="t" bIns="91425" lIns="91425" spcFirstLastPara="1" rIns="91425" wrap="square" tIns="91425">
                          <a:spAutoFit/>
                        </wps:bodyPr>
                      </wps:wsp>
                      <wps:wsp>
                        <wps:cNvSpPr txBox="1"/>
                        <wps:cNvPr id="25" name="Shape 25"/>
                        <wps:spPr>
                          <a:xfrm>
                            <a:off x="2950050" y="1105675"/>
                            <a:ext cx="14850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From index lesion only</w:t>
                              </w:r>
                            </w:p>
                          </w:txbxContent>
                        </wps:txbx>
                        <wps:bodyPr anchorCtr="0" anchor="t" bIns="91425" lIns="91425" spcFirstLastPara="1" rIns="91425" wrap="square" tIns="91425">
                          <a:spAutoFit/>
                        </wps:bodyPr>
                      </wps:wsp>
                      <wps:wsp>
                        <wps:cNvSpPr txBox="1"/>
                        <wps:cNvPr id="26" name="Shape 26"/>
                        <wps:spPr>
                          <a:xfrm>
                            <a:off x="3865975" y="2499700"/>
                            <a:ext cx="119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Registered</w:t>
                              </w:r>
                            </w:p>
                          </w:txbxContent>
                        </wps:txbx>
                        <wps:bodyPr anchorCtr="0" anchor="t" bIns="91425" lIns="91425" spcFirstLastPara="1" rIns="91425" wrap="square" tIns="91425">
                          <a:spAutoFit/>
                        </wps:bodyPr>
                      </wps:wsp>
                      <wps:wsp>
                        <wps:cNvCnPr/>
                        <wps:spPr>
                          <a:xfrm>
                            <a:off x="3692550" y="2175050"/>
                            <a:ext cx="0" cy="1182000"/>
                          </a:xfrm>
                          <a:prstGeom prst="straightConnector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s:wsp>
                        <wps:cNvSpPr txBox="1"/>
                        <wps:cNvPr id="28" name="Shape 28"/>
                        <wps:spPr>
                          <a:xfrm>
                            <a:off x="4547000" y="1502475"/>
                            <a:ext cx="14235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Combine slices to extract features from 3D</w:t>
                              </w:r>
                            </w:p>
                          </w:txbxContent>
                        </wps:txbx>
                        <wps:bodyPr anchorCtr="0" anchor="t" bIns="91425" lIns="91425" spcFirstLastPara="1" rIns="91425" wrap="square" tIns="91425">
                          <a:spAutoFit/>
                        </wps:bodyPr>
                      </wps:wsp>
                      <wps:wsp>
                        <wps:cNvSpPr txBox="1"/>
                        <wps:cNvPr id="29" name="Shape 29"/>
                        <wps:spPr>
                          <a:xfrm>
                            <a:off x="6032100" y="240375"/>
                            <a:ext cx="2545500" cy="1262100"/>
                          </a:xfrm>
                          <a:prstGeom prst="rect">
                            <a:avLst/>
                          </a:prstGeom>
                          <a:noFill/>
                          <a:ln cap="flat" cmpd="sng" w="9525">
                            <a:solidFill>
                              <a:srgbClr val="F6B26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Shape features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Major axis length</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Maximum 3D diameter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Surface volume ratio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30" name="Shape 30"/>
                        <wps:spPr>
                          <a:xfrm>
                            <a:off x="6032100" y="1639125"/>
                            <a:ext cx="2545500" cy="1262100"/>
                          </a:xfrm>
                          <a:prstGeom prst="rect">
                            <a:avLst/>
                          </a:prstGeom>
                          <a:no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Intensity distribution features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Mean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10 percentile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Range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31" name="Shape 31"/>
                        <wps:spPr>
                          <a:xfrm>
                            <a:off x="6032100" y="3084700"/>
                            <a:ext cx="2545500" cy="1693200"/>
                          </a:xfrm>
                          <a:prstGeom prst="rect">
                            <a:avLst/>
                          </a:prstGeom>
                          <a:no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Texture features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Gray level co-occurrence matrix</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Gray level run length matrix</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Gray level size zone matrix</w:t>
                              </w:r>
                            </w:p>
                          </w:txbxContent>
                        </wps:txbx>
                        <wps:bodyPr anchorCtr="0" anchor="t" bIns="91425" lIns="91425" spcFirstLastPara="1" rIns="91425" wrap="square" tIns="91425">
                          <a:spAutoFit/>
                        </wps:bodyPr>
                      </wps:wsp>
                      <wps:wsp>
                        <wps:cNvCnPr/>
                        <wps:spPr>
                          <a:xfrm flipH="1" rot="10800000">
                            <a:off x="2643625" y="2838300"/>
                            <a:ext cx="768600" cy="7200"/>
                          </a:xfrm>
                          <a:prstGeom prst="straightConnector1">
                            <a:avLst/>
                          </a:prstGeom>
                          <a:noFill/>
                          <a:ln cap="flat" cmpd="sng" w="38100">
                            <a:solidFill>
                              <a:srgbClr val="0000FF"/>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965275" y="2838300"/>
                            <a:ext cx="768600" cy="7200"/>
                          </a:xfrm>
                          <a:prstGeom prst="straightConnector1">
                            <a:avLst/>
                          </a:prstGeom>
                          <a:noFill/>
                          <a:ln cap="flat" cmpd="sng" w="38100">
                            <a:solidFill>
                              <a:srgbClr val="0000FF"/>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530600"/>
                <wp:effectExtent b="0" l="0" r="0" t="0"/>
                <wp:docPr id="3" name="image20.png"/>
                <a:graphic>
                  <a:graphicData uri="http://schemas.openxmlformats.org/drawingml/2006/picture">
                    <pic:pic>
                      <pic:nvPicPr>
                        <pic:cNvPr id="0" name="image20.png"/>
                        <pic:cNvPicPr preferRelativeResize="0"/>
                      </pic:nvPicPr>
                      <pic:blipFill>
                        <a:blip r:embed="rId34"/>
                        <a:srcRect/>
                        <a:stretch>
                          <a:fillRect/>
                        </a:stretch>
                      </pic:blipFill>
                      <pic:spPr>
                        <a:xfrm>
                          <a:off x="0" y="0"/>
                          <a:ext cx="5943600" cy="3530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drawing>
          <wp:inline distB="114300" distT="114300" distL="114300" distR="114300">
            <wp:extent cx="6157913" cy="1746716"/>
            <wp:effectExtent b="0" l="0" r="0" t="0"/>
            <wp:docPr id="13"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6157913" cy="174671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6"/>
        </w:numPr>
        <w:ind w:left="1440" w:hanging="360"/>
        <w:rPr>
          <w:u w:val="none"/>
        </w:rPr>
      </w:pPr>
      <w:r w:rsidDel="00000000" w:rsidR="00000000" w:rsidRPr="00000000">
        <w:rPr>
          <w:rtl w:val="0"/>
        </w:rPr>
        <w:t xml:space="preserve">Results</w:t>
      </w:r>
    </w:p>
    <w:p w:rsidR="00000000" w:rsidDel="00000000" w:rsidP="00000000" w:rsidRDefault="00000000" w:rsidRPr="00000000" w14:paraId="000000C6">
      <w:pPr>
        <w:numPr>
          <w:ilvl w:val="1"/>
          <w:numId w:val="6"/>
        </w:numPr>
        <w:ind w:left="2160" w:hanging="360"/>
        <w:rPr>
          <w:u w:val="none"/>
        </w:rPr>
      </w:pPr>
      <w:r w:rsidDel="00000000" w:rsidR="00000000" w:rsidRPr="00000000">
        <w:rPr>
          <w:rtl w:val="0"/>
        </w:rPr>
        <w:t xml:space="preserve">CCA-fused features outperform clinical, radiomic T2, Radiomic ADC, and Concatenate radiomic T2 and ADC</w:t>
      </w:r>
    </w:p>
    <w:p w:rsidR="00000000" w:rsidDel="00000000" w:rsidP="00000000" w:rsidRDefault="00000000" w:rsidRPr="00000000" w14:paraId="000000C7">
      <w:pPr>
        <w:numPr>
          <w:ilvl w:val="1"/>
          <w:numId w:val="6"/>
        </w:numPr>
        <w:ind w:left="2160" w:hanging="360"/>
        <w:rPr>
          <w:u w:val="none"/>
        </w:rPr>
      </w:pPr>
      <w:r w:rsidDel="00000000" w:rsidR="00000000" w:rsidRPr="00000000">
        <w:rPr>
          <w:rtl w:val="0"/>
        </w:rPr>
        <w:t xml:space="preserve">On test set, able to separate high risks and low risks groups</w:t>
      </w:r>
    </w:p>
    <w:p w:rsidR="00000000" w:rsidDel="00000000" w:rsidP="00000000" w:rsidRDefault="00000000" w:rsidRPr="00000000" w14:paraId="000000C8">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C9">
      <w:pPr>
        <w:ind w:left="0" w:firstLine="0"/>
        <w:rPr>
          <w:b w:val="1"/>
        </w:rPr>
      </w:pPr>
      <w:r w:rsidDel="00000000" w:rsidR="00000000" w:rsidRPr="00000000">
        <w:rPr>
          <w:b w:val="1"/>
          <w:rtl w:val="0"/>
        </w:rPr>
        <w:t xml:space="preserve">Example: relating imaging to gene expression</w:t>
      </w:r>
    </w:p>
    <w:p w:rsidR="00000000" w:rsidDel="00000000" w:rsidP="00000000" w:rsidRDefault="00000000" w:rsidRPr="00000000" w14:paraId="000000CA">
      <w:pPr>
        <w:numPr>
          <w:ilvl w:val="0"/>
          <w:numId w:val="18"/>
        </w:numPr>
        <w:ind w:left="720" w:hanging="360"/>
        <w:rPr>
          <w:u w:val="none"/>
        </w:rPr>
      </w:pPr>
      <w:hyperlink r:id="rId36">
        <w:r w:rsidDel="00000000" w:rsidR="00000000" w:rsidRPr="00000000">
          <w:rPr>
            <w:color w:val="1155cc"/>
            <w:u w:val="single"/>
            <w:rtl w:val="0"/>
          </w:rPr>
          <w:t xml:space="preserve">https://academic.oup.com/bioinformatics/article/36/11/3537/5758261</w:t>
        </w:r>
      </w:hyperlink>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drawing>
          <wp:inline distB="114300" distT="114300" distL="114300" distR="114300">
            <wp:extent cx="4881563" cy="1811153"/>
            <wp:effectExtent b="0" l="0" r="0" t="0"/>
            <wp:docPr id="17"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4881563" cy="181115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15"/>
        </w:numPr>
        <w:ind w:left="720" w:hanging="360"/>
        <w:rPr>
          <w:u w:val="none"/>
        </w:rPr>
      </w:pPr>
      <w:r w:rsidDel="00000000" w:rsidR="00000000" w:rsidRPr="00000000">
        <w:rPr>
          <w:rtl w:val="0"/>
        </w:rPr>
        <w:t xml:space="preserve">Data:</w:t>
      </w:r>
    </w:p>
    <w:p w:rsidR="00000000" w:rsidDel="00000000" w:rsidP="00000000" w:rsidRDefault="00000000" w:rsidRPr="00000000" w14:paraId="000000CD">
      <w:pPr>
        <w:ind w:left="0" w:firstLine="0"/>
        <w:jc w:val="center"/>
        <w:rPr/>
      </w:pPr>
      <w:r w:rsidDel="00000000" w:rsidR="00000000" w:rsidRPr="00000000">
        <w:rPr/>
        <mc:AlternateContent>
          <mc:Choice Requires="wpg">
            <w:drawing>
              <wp:inline distB="114300" distT="114300" distL="114300" distR="114300">
                <wp:extent cx="3861402" cy="1597124"/>
                <wp:effectExtent b="0" l="0" r="0" t="0"/>
                <wp:docPr id="6" name=""/>
                <a:graphic>
                  <a:graphicData uri="http://schemas.microsoft.com/office/word/2010/wordprocessingGroup">
                    <wpg:wgp>
                      <wpg:cNvGrpSpPr/>
                      <wpg:grpSpPr>
                        <a:xfrm>
                          <a:off x="571600" y="941500"/>
                          <a:ext cx="3861402" cy="1597124"/>
                          <a:chOff x="571600" y="941500"/>
                          <a:chExt cx="7052500" cy="2918325"/>
                        </a:xfrm>
                      </wpg:grpSpPr>
                      <wps:wsp>
                        <wps:cNvSpPr/>
                        <wps:cNvPr id="58" name="Shape 58"/>
                        <wps:spPr>
                          <a:xfrm>
                            <a:off x="2711700" y="941500"/>
                            <a:ext cx="2169300" cy="2042700"/>
                          </a:xfrm>
                          <a:prstGeom prst="ellipse">
                            <a:avLst/>
                          </a:prstGeom>
                          <a:solidFill>
                            <a:srgbClr val="E99E18">
                              <a:alpha val="4675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3045750" y="2368225"/>
                            <a:ext cx="1501200" cy="1491600"/>
                          </a:xfrm>
                          <a:prstGeom prst="ellipse">
                            <a:avLst/>
                          </a:prstGeom>
                          <a:solidFill>
                            <a:srgbClr val="62ADF0">
                              <a:alpha val="6864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1855675" y="1622425"/>
                            <a:ext cx="560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61" name="Shape 61"/>
                        <wps:spPr>
                          <a:xfrm>
                            <a:off x="571600" y="1191475"/>
                            <a:ext cx="2042700" cy="12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9900"/>
                                  <w:sz w:val="28"/>
                                  <w:vertAlign w:val="baseline"/>
                                </w:rPr>
                                <w:t xml:space="preserve">TCGA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99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w:t>
                              </w:r>
                              <w:r w:rsidDel="00000000" w:rsidR="00000000" w:rsidRPr="00000000">
                                <w:rPr>
                                  <w:rFonts w:ascii="Arial" w:cs="Arial" w:eastAsia="Arial" w:hAnsi="Arial"/>
                                  <w:b w:val="0"/>
                                  <w:i w:val="0"/>
                                  <w:smallCaps w:val="0"/>
                                  <w:strike w:val="0"/>
                                  <w:color w:val="000000"/>
                                  <w:sz w:val="28"/>
                                  <w:vertAlign w:val="baseline"/>
                                </w:rPr>
                                <w:t xml:space="preserve"> = 528 GBM patients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Microarray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Untreated, primary tumours</w:t>
                              </w:r>
                            </w:p>
                          </w:txbxContent>
                        </wps:txbx>
                        <wps:bodyPr anchorCtr="0" anchor="t" bIns="91425" lIns="91425" spcFirstLastPara="1" rIns="91425" wrap="square" tIns="91425">
                          <a:spAutoFit/>
                        </wps:bodyPr>
                      </wps:wsp>
                      <wps:wsp>
                        <wps:cNvSpPr txBox="1"/>
                        <wps:cNvPr id="62" name="Shape 62"/>
                        <wps:spPr>
                          <a:xfrm>
                            <a:off x="571600" y="2752375"/>
                            <a:ext cx="20427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73763"/>
                                  <w:sz w:val="28"/>
                                  <w:vertAlign w:val="baseline"/>
                                </w:rPr>
                                <w:t xml:space="preserve">TCIA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73763"/>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 = 262 GBM patients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Multiple image modalities</w:t>
                              </w:r>
                            </w:p>
                          </w:txbxContent>
                        </wps:txbx>
                        <wps:bodyPr anchorCtr="0" anchor="t" bIns="91425" lIns="91425" spcFirstLastPara="1" rIns="91425" wrap="square" tIns="91425">
                          <a:spAutoFit/>
                        </wps:bodyPr>
                      </wps:wsp>
                      <wps:wsp>
                        <wps:cNvCnPr/>
                        <wps:spPr>
                          <a:xfrm flipH="1" rot="10800000">
                            <a:off x="2614300" y="1817125"/>
                            <a:ext cx="807600" cy="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533225" y="3273025"/>
                            <a:ext cx="807600" cy="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5" name="Shape 65"/>
                        <wps:spPr>
                          <a:xfrm>
                            <a:off x="5192300" y="2206325"/>
                            <a:ext cx="24318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r w:rsidDel="00000000" w:rsidR="00000000" w:rsidRPr="00000000">
                                <w:rPr>
                                  <w:rFonts w:ascii="Arial" w:cs="Arial" w:eastAsia="Arial" w:hAnsi="Arial"/>
                                  <w:b w:val="0"/>
                                  <w:i w:val="0"/>
                                  <w:smallCaps w:val="0"/>
                                  <w:strike w:val="0"/>
                                  <w:color w:val="000000"/>
                                  <w:sz w:val="28"/>
                                  <w:vertAlign w:val="baseline"/>
                                </w:rPr>
                                <w:t xml:space="preserve"> = 109 paired, radiogenomic samples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Gene expression profile and pre-operative MR imaging</w:t>
                              </w:r>
                            </w:p>
                          </w:txbxContent>
                        </wps:txbx>
                        <wps:bodyPr anchorCtr="0" anchor="t" bIns="91425" lIns="91425" spcFirstLastPara="1" rIns="91425" wrap="square" tIns="91425">
                          <a:spAutoFit/>
                        </wps:bodyPr>
                      </wps:wsp>
                      <wps:wsp>
                        <wps:cNvCnPr/>
                        <wps:spPr>
                          <a:xfrm>
                            <a:off x="3995600" y="2721575"/>
                            <a:ext cx="1196700" cy="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861402" cy="1597124"/>
                <wp:effectExtent b="0" l="0" r="0" t="0"/>
                <wp:docPr id="6" name="image23.png"/>
                <a:graphic>
                  <a:graphicData uri="http://schemas.openxmlformats.org/drawingml/2006/picture">
                    <pic:pic>
                      <pic:nvPicPr>
                        <pic:cNvPr id="0" name="image23.png"/>
                        <pic:cNvPicPr preferRelativeResize="0"/>
                      </pic:nvPicPr>
                      <pic:blipFill>
                        <a:blip r:embed="rId38"/>
                        <a:srcRect/>
                        <a:stretch>
                          <a:fillRect/>
                        </a:stretch>
                      </pic:blipFill>
                      <pic:spPr>
                        <a:xfrm>
                          <a:off x="0" y="0"/>
                          <a:ext cx="3861402" cy="15971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E">
      <w:pPr>
        <w:numPr>
          <w:ilvl w:val="0"/>
          <w:numId w:val="15"/>
        </w:numPr>
        <w:ind w:left="720" w:hanging="360"/>
        <w:rPr>
          <w:u w:val="none"/>
        </w:rPr>
      </w:pPr>
      <w:r w:rsidDel="00000000" w:rsidR="00000000" w:rsidRPr="00000000">
        <w:rPr>
          <w:rtl w:val="0"/>
        </w:rPr>
        <w:t xml:space="preserve">Radiogenomic neural network:</w:t>
      </w:r>
    </w:p>
    <w:p w:rsidR="00000000" w:rsidDel="00000000" w:rsidP="00000000" w:rsidRDefault="00000000" w:rsidRPr="00000000" w14:paraId="000000CF">
      <w:pPr>
        <w:ind w:left="0" w:firstLine="0"/>
        <w:jc w:val="center"/>
        <w:rPr/>
      </w:pPr>
      <w:r w:rsidDel="00000000" w:rsidR="00000000" w:rsidRPr="00000000">
        <w:rPr/>
        <w:drawing>
          <wp:inline distB="114300" distT="114300" distL="114300" distR="114300">
            <wp:extent cx="4586288" cy="3683723"/>
            <wp:effectExtent b="0" l="0" r="0" t="0"/>
            <wp:docPr id="9"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4586288" cy="368372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16"/>
        </w:numPr>
        <w:ind w:left="1440" w:hanging="360"/>
        <w:jc w:val="left"/>
        <w:rPr>
          <w:u w:val="none"/>
        </w:rPr>
      </w:pPr>
      <w:r w:rsidDel="00000000" w:rsidR="00000000" w:rsidRPr="00000000">
        <w:rPr>
          <w:rtl w:val="0"/>
        </w:rPr>
        <w:t xml:space="preserve">Measures performance of model when only using genes from a gene set</w:t>
      </w:r>
    </w:p>
    <w:p w:rsidR="00000000" w:rsidDel="00000000" w:rsidP="00000000" w:rsidRDefault="00000000" w:rsidRPr="00000000" w14:paraId="000000D1">
      <w:pPr>
        <w:numPr>
          <w:ilvl w:val="0"/>
          <w:numId w:val="16"/>
        </w:numPr>
        <w:ind w:left="1440" w:hanging="360"/>
        <w:jc w:val="left"/>
        <w:rPr>
          <w:u w:val="none"/>
        </w:rPr>
      </w:pPr>
      <w:r w:rsidDel="00000000" w:rsidR="00000000" w:rsidRPr="00000000">
        <w:rPr>
          <w:rtl w:val="0"/>
        </w:rPr>
        <w:t xml:space="preserve">Use AUC as strength of association</w:t>
      </w:r>
    </w:p>
    <w:p w:rsidR="00000000" w:rsidDel="00000000" w:rsidP="00000000" w:rsidRDefault="00000000" w:rsidRPr="00000000" w14:paraId="000000D2">
      <w:pPr>
        <w:numPr>
          <w:ilvl w:val="0"/>
          <w:numId w:val="16"/>
        </w:numPr>
        <w:ind w:left="1440" w:hanging="360"/>
        <w:jc w:val="left"/>
        <w:rPr>
          <w:u w:val="none"/>
        </w:rPr>
      </w:pPr>
      <w:r w:rsidDel="00000000" w:rsidR="00000000" w:rsidRPr="00000000">
        <w:rPr>
          <w:rtl w:val="0"/>
        </w:rPr>
        <w:t xml:space="preserve">Attach weights to genes based on their importance in predicting a class label</w:t>
      </w:r>
    </w:p>
    <w:p w:rsidR="00000000" w:rsidDel="00000000" w:rsidP="00000000" w:rsidRDefault="00000000" w:rsidRPr="00000000" w14:paraId="000000D3">
      <w:pPr>
        <w:numPr>
          <w:ilvl w:val="0"/>
          <w:numId w:val="16"/>
        </w:numPr>
        <w:ind w:left="1440" w:hanging="360"/>
        <w:jc w:val="left"/>
        <w:rPr>
          <w:u w:val="none"/>
        </w:rPr>
      </w:pPr>
      <w:r w:rsidDel="00000000" w:rsidR="00000000" w:rsidRPr="00000000">
        <w:rPr>
          <w:rtl w:val="0"/>
        </w:rPr>
        <w:t xml:space="preserve">Use of GSEA to determine what gene sets (pathways, biological processes etc.) were at the top of ranked genes</w:t>
      </w:r>
    </w:p>
    <w:p w:rsidR="00000000" w:rsidDel="00000000" w:rsidP="00000000" w:rsidRDefault="00000000" w:rsidRPr="00000000" w14:paraId="000000D4">
      <w:pPr>
        <w:numPr>
          <w:ilvl w:val="0"/>
          <w:numId w:val="16"/>
        </w:numPr>
        <w:ind w:left="1440" w:hanging="360"/>
        <w:jc w:val="left"/>
        <w:rPr>
          <w:u w:val="none"/>
        </w:rPr>
      </w:pPr>
      <w:r w:rsidDel="00000000" w:rsidR="00000000" w:rsidRPr="00000000">
        <w:rPr>
          <w:rtl w:val="0"/>
        </w:rPr>
        <w:t xml:space="preserve">Model interpretation</w:t>
      </w:r>
    </w:p>
    <w:p w:rsidR="00000000" w:rsidDel="00000000" w:rsidP="00000000" w:rsidRDefault="00000000" w:rsidRPr="00000000" w14:paraId="000000D5">
      <w:pPr>
        <w:ind w:left="0" w:firstLine="0"/>
        <w:jc w:val="left"/>
        <w:rPr/>
      </w:pPr>
      <w:r w:rsidDel="00000000" w:rsidR="00000000" w:rsidRPr="00000000">
        <w:rPr/>
        <w:drawing>
          <wp:inline distB="114300" distT="114300" distL="114300" distR="114300">
            <wp:extent cx="5943600" cy="2628900"/>
            <wp:effectExtent b="0" l="0" r="0" t="0"/>
            <wp:docPr id="22"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14"/>
        </w:numPr>
        <w:ind w:left="2160" w:hanging="360"/>
        <w:jc w:val="left"/>
        <w:rPr>
          <w:u w:val="none"/>
        </w:rPr>
      </w:pPr>
      <w:r w:rsidDel="00000000" w:rsidR="00000000" w:rsidRPr="00000000">
        <w:rPr>
          <w:rtl w:val="0"/>
        </w:rPr>
        <w:t xml:space="preserve">Identified the most predictive gene sets</w:t>
      </w:r>
    </w:p>
    <w:p w:rsidR="00000000" w:rsidDel="00000000" w:rsidP="00000000" w:rsidRDefault="00000000" w:rsidRPr="00000000" w14:paraId="000000D7">
      <w:pPr>
        <w:numPr>
          <w:ilvl w:val="0"/>
          <w:numId w:val="14"/>
        </w:numPr>
        <w:ind w:left="2160" w:hanging="360"/>
        <w:jc w:val="left"/>
        <w:rPr>
          <w:u w:val="none"/>
        </w:rPr>
      </w:pPr>
      <w:r w:rsidDel="00000000" w:rsidR="00000000" w:rsidRPr="00000000">
        <w:rPr>
          <w:rtl w:val="0"/>
        </w:rPr>
        <w:t xml:space="preserve">Gene sets are related to growth, vasculature, immune system processes, and involved EGFR</w:t>
      </w:r>
    </w:p>
    <w:p w:rsidR="00000000" w:rsidDel="00000000" w:rsidP="00000000" w:rsidRDefault="00000000" w:rsidRPr="00000000" w14:paraId="000000D8">
      <w:pPr>
        <w:numPr>
          <w:ilvl w:val="0"/>
          <w:numId w:val="14"/>
        </w:numPr>
        <w:ind w:left="2160" w:hanging="360"/>
        <w:jc w:val="left"/>
        <w:rPr>
          <w:u w:val="none"/>
        </w:rPr>
      </w:pPr>
      <w:r w:rsidDel="00000000" w:rsidR="00000000" w:rsidRPr="00000000">
        <w:rPr>
          <w:rtl w:val="0"/>
        </w:rPr>
        <w:t xml:space="preserve">Gene sets align with previously identified associations</w:t>
      </w: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Knowledge to practice</w:t>
      </w:r>
    </w:p>
    <w:p w:rsidR="00000000" w:rsidDel="00000000" w:rsidP="00000000" w:rsidRDefault="00000000" w:rsidRPr="00000000" w14:paraId="000000DA">
      <w:pPr>
        <w:rPr/>
      </w:pPr>
      <w:r w:rsidDel="00000000" w:rsidR="00000000" w:rsidRPr="00000000">
        <w:rPr/>
        <mc:AlternateContent>
          <mc:Choice Requires="wpg">
            <w:drawing>
              <wp:inline distB="114300" distT="114300" distL="114300" distR="114300">
                <wp:extent cx="5943600" cy="1828800"/>
                <wp:effectExtent b="0" l="0" r="0" t="0"/>
                <wp:docPr id="4" name=""/>
                <a:graphic>
                  <a:graphicData uri="http://schemas.microsoft.com/office/word/2010/wordprocessingGroup">
                    <wpg:wgp>
                      <wpg:cNvGrpSpPr/>
                      <wpg:grpSpPr>
                        <a:xfrm>
                          <a:off x="707750" y="1748900"/>
                          <a:ext cx="5943600" cy="1828800"/>
                          <a:chOff x="707750" y="1748900"/>
                          <a:chExt cx="8887950" cy="2714100"/>
                        </a:xfrm>
                      </wpg:grpSpPr>
                      <wps:wsp>
                        <wps:cNvSpPr/>
                        <wps:cNvPr id="34" name="Shape 34"/>
                        <wps:spPr>
                          <a:xfrm rot="5400000">
                            <a:off x="65750" y="2390900"/>
                            <a:ext cx="2714100" cy="1430100"/>
                          </a:xfrm>
                          <a:prstGeom prst="trapezoid">
                            <a:avLst>
                              <a:gd fmla="val 25000" name="adj"/>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rot="5400000">
                            <a:off x="1803750" y="2390900"/>
                            <a:ext cx="2714100" cy="1430100"/>
                          </a:xfrm>
                          <a:prstGeom prst="trapezoid">
                            <a:avLst>
                              <a:gd fmla="val 25000" name="adj"/>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rot="5400000">
                            <a:off x="3648750" y="2390900"/>
                            <a:ext cx="2714100" cy="1430100"/>
                          </a:xfrm>
                          <a:prstGeom prst="trapezoid">
                            <a:avLst>
                              <a:gd fmla="val 25000" name="adj"/>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rot="5400000">
                            <a:off x="5493750" y="2390900"/>
                            <a:ext cx="2714100" cy="1430100"/>
                          </a:xfrm>
                          <a:prstGeom prst="trapezoid">
                            <a:avLst>
                              <a:gd fmla="val 25000" name="adj"/>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rot="5400000">
                            <a:off x="7523600" y="2390900"/>
                            <a:ext cx="2714100" cy="1430100"/>
                          </a:xfrm>
                          <a:prstGeom prst="trapezoid">
                            <a:avLst>
                              <a:gd fmla="val 25000" name="adj"/>
                            </a:avLst>
                          </a:prstGeom>
                          <a:solidFill>
                            <a:srgbClr val="93C47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782425" y="2245000"/>
                            <a:ext cx="1141200" cy="78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6"/>
                                  <w:vertAlign w:val="baseline"/>
                                </w:rPr>
                                <w:t xml:space="preserve">What information to provide</w:t>
                              </w:r>
                            </w:p>
                          </w:txbxContent>
                        </wps:txbx>
                        <wps:bodyPr anchorCtr="0" anchor="t" bIns="91425" lIns="91425" spcFirstLastPara="1" rIns="91425" wrap="square" tIns="91425">
                          <a:spAutoFit/>
                        </wps:bodyPr>
                      </wps:wsp>
                      <wps:wsp>
                        <wps:cNvSpPr txBox="1"/>
                        <wps:cNvPr id="40" name="Shape 40"/>
                        <wps:spPr>
                          <a:xfrm>
                            <a:off x="2590200" y="2245000"/>
                            <a:ext cx="1141200" cy="118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6"/>
                                  <w:vertAlign w:val="baseline"/>
                                </w:rPr>
                                <w:t xml:space="preserve">Who should receive the information to take action</w:t>
                              </w:r>
                            </w:p>
                          </w:txbxContent>
                        </wps:txbx>
                        <wps:bodyPr anchorCtr="0" anchor="t" bIns="91425" lIns="91425" spcFirstLastPara="1" rIns="91425" wrap="square" tIns="91425">
                          <a:spAutoFit/>
                        </wps:bodyPr>
                      </wps:wsp>
                      <wps:wsp>
                        <wps:cNvSpPr txBox="1"/>
                        <wps:cNvPr id="41" name="Shape 41"/>
                        <wps:spPr>
                          <a:xfrm>
                            <a:off x="4435200" y="2245000"/>
                            <a:ext cx="1141200" cy="78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6"/>
                                  <w:vertAlign w:val="baseline"/>
                                </w:rPr>
                                <w:t xml:space="preserve">How to format the information</w:t>
                              </w:r>
                            </w:p>
                          </w:txbxContent>
                        </wps:txbx>
                        <wps:bodyPr anchorCtr="0" anchor="t" bIns="91425" lIns="91425" spcFirstLastPara="1" rIns="91425" wrap="square" tIns="91425">
                          <a:spAutoFit/>
                        </wps:bodyPr>
                      </wps:wsp>
                      <wps:wsp>
                        <wps:cNvSpPr txBox="1"/>
                        <wps:cNvPr id="42" name="Shape 42"/>
                        <wps:spPr>
                          <a:xfrm>
                            <a:off x="6207250" y="2245000"/>
                            <a:ext cx="1141200" cy="78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6"/>
                                  <w:vertAlign w:val="baseline"/>
                                </w:rPr>
                                <w:t xml:space="preserve">Where to deliver the information</w:t>
                              </w:r>
                            </w:p>
                          </w:txbxContent>
                        </wps:txbx>
                        <wps:bodyPr anchorCtr="0" anchor="t" bIns="91425" lIns="91425" spcFirstLastPara="1" rIns="91425" wrap="square" tIns="91425">
                          <a:spAutoFit/>
                        </wps:bodyPr>
                      </wps:wsp>
                      <wps:wsp>
                        <wps:cNvSpPr txBox="1"/>
                        <wps:cNvPr id="43" name="Shape 43"/>
                        <wps:spPr>
                          <a:xfrm>
                            <a:off x="8310050" y="2290400"/>
                            <a:ext cx="1141200" cy="78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6"/>
                                  <w:vertAlign w:val="baseline"/>
                                </w:rPr>
                                <w:t xml:space="preserve">When to present the information</w:t>
                              </w:r>
                            </w:p>
                          </w:txbxContent>
                        </wps:txbx>
                        <wps:bodyPr anchorCtr="0" anchor="t" bIns="91425" lIns="91425" spcFirstLastPara="1" rIns="91425" wrap="square" tIns="91425">
                          <a:spAutoFit/>
                        </wps:bodyPr>
                      </wps:wsp>
                      <wps:wsp>
                        <wps:cNvSpPr txBox="1"/>
                        <wps:cNvPr id="44" name="Shape 44"/>
                        <wps:spPr>
                          <a:xfrm>
                            <a:off x="900950" y="3030100"/>
                            <a:ext cx="1236900" cy="585000"/>
                          </a:xfrm>
                          <a:prstGeom prst="rect">
                            <a:avLst/>
                          </a:prstGeom>
                          <a:noFill/>
                          <a:ln>
                            <a:noFill/>
                          </a:ln>
                        </wps:spPr>
                        <wps:txbx>
                          <w:txbxContent>
                            <w:p w:rsidR="00000000" w:rsidDel="00000000" w:rsidP="00000000" w:rsidRDefault="00000000" w:rsidRPr="00000000">
                              <w:pPr>
                                <w:spacing w:after="0" w:before="0" w:line="240"/>
                                <w:ind w:left="90" w:right="0" w:firstLine="-270"/>
                                <w:jc w:val="left"/>
                                <w:textDirection w:val="btLr"/>
                              </w:pPr>
                              <w:r w:rsidDel="00000000" w:rsidR="00000000" w:rsidRPr="00000000">
                                <w:rPr>
                                  <w:rFonts w:ascii="Arial" w:cs="Arial" w:eastAsia="Arial" w:hAnsi="Arial"/>
                                  <w:b w:val="0"/>
                                  <w:i w:val="1"/>
                                  <w:smallCaps w:val="0"/>
                                  <w:strike w:val="0"/>
                                  <w:color w:val="ffffff"/>
                                  <w:sz w:val="26"/>
                                  <w:vertAlign w:val="baseline"/>
                                </w:rPr>
                                <w:t xml:space="preserve">The right information</w:t>
                              </w:r>
                            </w:p>
                          </w:txbxContent>
                        </wps:txbx>
                        <wps:bodyPr anchorCtr="0" anchor="t" bIns="91425" lIns="114300" spcFirstLastPara="1" rIns="91425" wrap="square" tIns="91425">
                          <a:spAutoFit/>
                        </wps:bodyPr>
                      </wps:wsp>
                      <wps:wsp>
                        <wps:cNvSpPr txBox="1"/>
                        <wps:cNvPr id="45" name="Shape 45"/>
                        <wps:spPr>
                          <a:xfrm>
                            <a:off x="2595850" y="3386775"/>
                            <a:ext cx="1236900" cy="585000"/>
                          </a:xfrm>
                          <a:prstGeom prst="rect">
                            <a:avLst/>
                          </a:prstGeom>
                          <a:noFill/>
                          <a:ln>
                            <a:noFill/>
                          </a:ln>
                        </wps:spPr>
                        <wps:txbx>
                          <w:txbxContent>
                            <w:p w:rsidR="00000000" w:rsidDel="00000000" w:rsidP="00000000" w:rsidRDefault="00000000" w:rsidRPr="00000000">
                              <w:pPr>
                                <w:spacing w:after="0" w:before="0" w:line="240"/>
                                <w:ind w:left="90" w:right="0" w:firstLine="-270"/>
                                <w:jc w:val="left"/>
                                <w:textDirection w:val="btLr"/>
                              </w:pPr>
                              <w:r w:rsidDel="00000000" w:rsidR="00000000" w:rsidRPr="00000000">
                                <w:rPr>
                                  <w:rFonts w:ascii="Arial" w:cs="Arial" w:eastAsia="Arial" w:hAnsi="Arial"/>
                                  <w:b w:val="0"/>
                                  <w:i w:val="1"/>
                                  <w:smallCaps w:val="0"/>
                                  <w:strike w:val="0"/>
                                  <w:color w:val="ffffff"/>
                                  <w:sz w:val="26"/>
                                  <w:vertAlign w:val="baseline"/>
                                </w:rPr>
                                <w:t xml:space="preserve">The right person</w:t>
                              </w:r>
                            </w:p>
                          </w:txbxContent>
                        </wps:txbx>
                        <wps:bodyPr anchorCtr="0" anchor="t" bIns="91425" lIns="114300" spcFirstLastPara="1" rIns="91425" wrap="square" tIns="91425">
                          <a:spAutoFit/>
                        </wps:bodyPr>
                      </wps:wsp>
                      <wps:wsp>
                        <wps:cNvSpPr txBox="1"/>
                        <wps:cNvPr id="46" name="Shape 46"/>
                        <wps:spPr>
                          <a:xfrm>
                            <a:off x="4483950" y="3030100"/>
                            <a:ext cx="1236900" cy="785100"/>
                          </a:xfrm>
                          <a:prstGeom prst="rect">
                            <a:avLst/>
                          </a:prstGeom>
                          <a:noFill/>
                          <a:ln>
                            <a:noFill/>
                          </a:ln>
                        </wps:spPr>
                        <wps:txbx>
                          <w:txbxContent>
                            <w:p w:rsidR="00000000" w:rsidDel="00000000" w:rsidP="00000000" w:rsidRDefault="00000000" w:rsidRPr="00000000">
                              <w:pPr>
                                <w:spacing w:after="0" w:before="0" w:line="240"/>
                                <w:ind w:left="90" w:right="0" w:firstLine="-270"/>
                                <w:jc w:val="left"/>
                                <w:textDirection w:val="btLr"/>
                              </w:pPr>
                              <w:r w:rsidDel="00000000" w:rsidR="00000000" w:rsidRPr="00000000">
                                <w:rPr>
                                  <w:rFonts w:ascii="Arial" w:cs="Arial" w:eastAsia="Arial" w:hAnsi="Arial"/>
                                  <w:b w:val="0"/>
                                  <w:i w:val="1"/>
                                  <w:smallCaps w:val="0"/>
                                  <w:strike w:val="0"/>
                                  <w:color w:val="ffffff"/>
                                  <w:sz w:val="26"/>
                                  <w:vertAlign w:val="baseline"/>
                                </w:rPr>
                                <w:t xml:space="preserve">In the right intervention form</w:t>
                              </w:r>
                            </w:p>
                          </w:txbxContent>
                        </wps:txbx>
                        <wps:bodyPr anchorCtr="0" anchor="t" bIns="91425" lIns="114300" spcFirstLastPara="1" rIns="91425" wrap="square" tIns="91425">
                          <a:spAutoFit/>
                        </wps:bodyPr>
                      </wps:wsp>
                      <wps:wsp>
                        <wps:cNvSpPr txBox="1"/>
                        <wps:cNvPr id="47" name="Shape 47"/>
                        <wps:spPr>
                          <a:xfrm>
                            <a:off x="6397000" y="3030100"/>
                            <a:ext cx="1236900" cy="585000"/>
                          </a:xfrm>
                          <a:prstGeom prst="rect">
                            <a:avLst/>
                          </a:prstGeom>
                          <a:noFill/>
                          <a:ln>
                            <a:noFill/>
                          </a:ln>
                        </wps:spPr>
                        <wps:txbx>
                          <w:txbxContent>
                            <w:p w:rsidR="00000000" w:rsidDel="00000000" w:rsidP="00000000" w:rsidRDefault="00000000" w:rsidRPr="00000000">
                              <w:pPr>
                                <w:spacing w:after="0" w:before="0" w:line="240"/>
                                <w:ind w:left="90" w:right="0" w:firstLine="-270"/>
                                <w:jc w:val="left"/>
                                <w:textDirection w:val="btLr"/>
                              </w:pPr>
                              <w:r w:rsidDel="00000000" w:rsidR="00000000" w:rsidRPr="00000000">
                                <w:rPr>
                                  <w:rFonts w:ascii="Arial" w:cs="Arial" w:eastAsia="Arial" w:hAnsi="Arial"/>
                                  <w:b w:val="0"/>
                                  <w:i w:val="1"/>
                                  <w:smallCaps w:val="0"/>
                                  <w:strike w:val="0"/>
                                  <w:color w:val="ffffff"/>
                                  <w:sz w:val="26"/>
                                  <w:vertAlign w:val="baseline"/>
                                </w:rPr>
                                <w:t xml:space="preserve">Through the right channel</w:t>
                              </w:r>
                            </w:p>
                          </w:txbxContent>
                        </wps:txbx>
                        <wps:bodyPr anchorCtr="0" anchor="t" bIns="91425" lIns="114300" spcFirstLastPara="1" rIns="91425" wrap="square" tIns="91425">
                          <a:spAutoFit/>
                        </wps:bodyPr>
                      </wps:wsp>
                      <wps:wsp>
                        <wps:cNvSpPr txBox="1"/>
                        <wps:cNvPr id="48" name="Shape 48"/>
                        <wps:spPr>
                          <a:xfrm>
                            <a:off x="8358800" y="3030100"/>
                            <a:ext cx="1236900" cy="585000"/>
                          </a:xfrm>
                          <a:prstGeom prst="rect">
                            <a:avLst/>
                          </a:prstGeom>
                          <a:noFill/>
                          <a:ln>
                            <a:noFill/>
                          </a:ln>
                        </wps:spPr>
                        <wps:txbx>
                          <w:txbxContent>
                            <w:p w:rsidR="00000000" w:rsidDel="00000000" w:rsidP="00000000" w:rsidRDefault="00000000" w:rsidRPr="00000000">
                              <w:pPr>
                                <w:spacing w:after="0" w:before="0" w:line="240"/>
                                <w:ind w:left="90" w:right="0" w:firstLine="-270"/>
                                <w:jc w:val="left"/>
                                <w:textDirection w:val="btLr"/>
                              </w:pPr>
                              <w:r w:rsidDel="00000000" w:rsidR="00000000" w:rsidRPr="00000000">
                                <w:rPr>
                                  <w:rFonts w:ascii="Arial" w:cs="Arial" w:eastAsia="Arial" w:hAnsi="Arial"/>
                                  <w:b w:val="0"/>
                                  <w:i w:val="1"/>
                                  <w:smallCaps w:val="0"/>
                                  <w:strike w:val="0"/>
                                  <w:color w:val="ffffff"/>
                                  <w:sz w:val="26"/>
                                  <w:vertAlign w:val="baseline"/>
                                </w:rPr>
                                <w:t xml:space="preserve">The right timing</w:t>
                              </w:r>
                            </w:p>
                          </w:txbxContent>
                        </wps:txbx>
                        <wps:bodyPr anchorCtr="0" anchor="t" bIns="91425" lIns="114300" spcFirstLastPara="1" rIns="91425" wrap="square" tIns="91425">
                          <a:spAutoFit/>
                        </wps:bodyPr>
                      </wps:wsp>
                    </wpg:wgp>
                  </a:graphicData>
                </a:graphic>
              </wp:inline>
            </w:drawing>
          </mc:Choice>
          <mc:Fallback>
            <w:drawing>
              <wp:inline distB="114300" distT="114300" distL="114300" distR="114300">
                <wp:extent cx="5943600" cy="1828800"/>
                <wp:effectExtent b="0" l="0" r="0" t="0"/>
                <wp:docPr id="4" name="image21.png"/>
                <a:graphic>
                  <a:graphicData uri="http://schemas.openxmlformats.org/drawingml/2006/picture">
                    <pic:pic>
                      <pic:nvPicPr>
                        <pic:cNvPr id="0" name="image21.png"/>
                        <pic:cNvPicPr preferRelativeResize="0"/>
                      </pic:nvPicPr>
                      <pic:blipFill>
                        <a:blip r:embed="rId41"/>
                        <a:srcRect/>
                        <a:stretch>
                          <a:fillRect/>
                        </a:stretch>
                      </pic:blipFill>
                      <pic:spPr>
                        <a:xfrm>
                          <a:off x="0" y="0"/>
                          <a:ext cx="5943600" cy="1828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Algorithm results are only useful if they are accessible</w:t>
      </w:r>
    </w:p>
    <w:p w:rsidR="00000000" w:rsidDel="00000000" w:rsidP="00000000" w:rsidRDefault="00000000" w:rsidRPr="00000000" w14:paraId="000000DD">
      <w:pPr>
        <w:jc w:val="center"/>
        <w:rPr>
          <w:b w:val="1"/>
        </w:rPr>
      </w:pPr>
      <w:r w:rsidDel="00000000" w:rsidR="00000000" w:rsidRPr="00000000">
        <w:rPr>
          <w:b w:val="1"/>
        </w:rPr>
        <w:drawing>
          <wp:inline distB="114300" distT="114300" distL="114300" distR="114300">
            <wp:extent cx="4538437" cy="4496800"/>
            <wp:effectExtent b="0" l="0" r="0" t="0"/>
            <wp:docPr id="23"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4538437" cy="4496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9"/>
        </w:numPr>
        <w:ind w:left="720" w:hanging="360"/>
        <w:rPr>
          <w:u w:val="none"/>
        </w:rPr>
      </w:pPr>
      <w:hyperlink r:id="rId43">
        <w:r w:rsidDel="00000000" w:rsidR="00000000" w:rsidRPr="00000000">
          <w:rPr>
            <w:color w:val="1155cc"/>
            <w:u w:val="single"/>
            <w:rtl w:val="0"/>
          </w:rPr>
          <w:t xml:space="preserve">https://pubs.rsna.org/doi/epdf/10.1148/ryai.2021210152</w:t>
        </w:r>
      </w:hyperlink>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Interaction between algorithm and human factors</w:t>
      </w:r>
    </w:p>
    <w:p w:rsidR="00000000" w:rsidDel="00000000" w:rsidP="00000000" w:rsidRDefault="00000000" w:rsidRPr="00000000" w14:paraId="000000E0">
      <w:pPr>
        <w:rPr>
          <w:b w:val="1"/>
        </w:rPr>
      </w:pPr>
      <w:r w:rsidDel="00000000" w:rsidR="00000000" w:rsidRPr="00000000">
        <w:rPr>
          <w:b w:val="1"/>
        </w:rPr>
        <w:drawing>
          <wp:inline distB="114300" distT="114300" distL="114300" distR="114300">
            <wp:extent cx="5943600" cy="2755900"/>
            <wp:effectExtent b="0" l="0" r="0" t="0"/>
            <wp:docPr id="19"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1"/>
        </w:numPr>
        <w:ind w:left="720" w:hanging="360"/>
        <w:rPr>
          <w:u w:val="none"/>
        </w:rPr>
      </w:pPr>
      <w:hyperlink r:id="rId45">
        <w:r w:rsidDel="00000000" w:rsidR="00000000" w:rsidRPr="00000000">
          <w:rPr>
            <w:color w:val="1155cc"/>
            <w:u w:val="single"/>
            <w:rtl w:val="0"/>
          </w:rPr>
          <w:t xml:space="preserve">https://doi.org/10.1136%2Fbmjhci-2021-100516</w:t>
        </w:r>
      </w:hyperlink>
      <w:r w:rsidDel="00000000" w:rsidR="00000000" w:rsidRPr="00000000">
        <w:rPr>
          <w:rtl w:val="0"/>
        </w:rPr>
      </w:r>
    </w:p>
    <w:p w:rsidR="00000000" w:rsidDel="00000000" w:rsidP="00000000" w:rsidRDefault="00000000" w:rsidRPr="00000000" w14:paraId="000000E2">
      <w:pPr>
        <w:ind w:left="0" w:firstLine="0"/>
        <w:rPr>
          <w:b w:val="1"/>
        </w:rPr>
      </w:pPr>
      <w:r w:rsidDel="00000000" w:rsidR="00000000" w:rsidRPr="00000000">
        <w:rPr>
          <w:b w:val="1"/>
          <w:rtl w:val="0"/>
        </w:rPr>
        <w:t xml:space="preserve">Holistic view of an algorithm</w:t>
      </w:r>
    </w:p>
    <w:p w:rsidR="00000000" w:rsidDel="00000000" w:rsidP="00000000" w:rsidRDefault="00000000" w:rsidRPr="00000000" w14:paraId="000000E3">
      <w:pPr>
        <w:ind w:left="0" w:firstLine="0"/>
        <w:rPr/>
      </w:pPr>
      <w:r w:rsidDel="00000000" w:rsidR="00000000" w:rsidRPr="00000000">
        <w:rPr/>
        <w:drawing>
          <wp:inline distB="114300" distT="114300" distL="114300" distR="114300">
            <wp:extent cx="5943600" cy="6057900"/>
            <wp:effectExtent b="0" l="0" r="0" t="0"/>
            <wp:docPr id="24"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5"/>
        </w:numPr>
        <w:ind w:left="720" w:hanging="360"/>
        <w:rPr>
          <w:u w:val="none"/>
        </w:rPr>
      </w:pPr>
      <w:hyperlink r:id="rId47">
        <w:r w:rsidDel="00000000" w:rsidR="00000000" w:rsidRPr="00000000">
          <w:rPr>
            <w:color w:val="1155cc"/>
            <w:u w:val="single"/>
            <w:rtl w:val="0"/>
          </w:rPr>
          <w:t xml:space="preserve">https://link.springer.com/article/10.1007/s00330-020-07684-x</w:t>
        </w:r>
      </w:hyperlink>
      <w:r w:rsidDel="00000000" w:rsidR="00000000" w:rsidRPr="00000000">
        <w:rPr>
          <w:rtl w:val="0"/>
        </w:rPr>
      </w:r>
    </w:p>
    <w:p w:rsidR="00000000" w:rsidDel="00000000" w:rsidP="00000000" w:rsidRDefault="00000000" w:rsidRPr="00000000" w14:paraId="000000E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Generating new data for future improvement</w:t>
      </w: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drawing>
          <wp:inline distB="114300" distT="114300" distL="114300" distR="114300">
            <wp:extent cx="5943600" cy="4064000"/>
            <wp:effectExtent b="0" l="0" r="0" t="0"/>
            <wp:docPr id="16"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1"/>
          <w:numId w:val="12"/>
        </w:numPr>
        <w:ind w:left="1440" w:hanging="360"/>
      </w:pPr>
      <w:r w:rsidDel="00000000" w:rsidR="00000000" w:rsidRPr="00000000">
        <w:rPr>
          <w:rtl w:val="0"/>
        </w:rPr>
        <w:t xml:space="preserve">Boehm KM et al.</w:t>
      </w:r>
    </w:p>
    <w:p w:rsidR="00000000" w:rsidDel="00000000" w:rsidP="00000000" w:rsidRDefault="00000000" w:rsidRPr="00000000" w14:paraId="000000EA">
      <w:pPr>
        <w:numPr>
          <w:ilvl w:val="2"/>
          <w:numId w:val="12"/>
        </w:numPr>
        <w:ind w:left="2160" w:hanging="360"/>
      </w:pPr>
      <w:hyperlink r:id="rId49">
        <w:r w:rsidDel="00000000" w:rsidR="00000000" w:rsidRPr="00000000">
          <w:rPr>
            <w:color w:val="1155cc"/>
            <w:u w:val="single"/>
            <w:rtl w:val="0"/>
          </w:rPr>
          <w:t xml:space="preserve">https://dx.doi.org/10.1038/s41568-021-00408-3</w:t>
        </w:r>
      </w:hyperlink>
      <w:r w:rsidDel="00000000" w:rsidR="00000000" w:rsidRPr="00000000">
        <w:rPr>
          <w:rtl w:val="0"/>
        </w:rPr>
      </w:r>
    </w:p>
    <w:p w:rsidR="00000000" w:rsidDel="00000000" w:rsidP="00000000" w:rsidRDefault="00000000" w:rsidRPr="00000000" w14:paraId="000000EB">
      <w:pPr>
        <w:ind w:left="0" w:firstLine="0"/>
        <w:rPr>
          <w:b w:val="1"/>
        </w:rPr>
      </w:pPr>
      <w:r w:rsidDel="00000000" w:rsidR="00000000" w:rsidRPr="00000000">
        <w:rPr>
          <w:b w:val="1"/>
          <w:rtl w:val="0"/>
        </w:rPr>
        <w:t xml:space="preserve">Getting started: datasets</w:t>
      </w:r>
    </w:p>
    <w:p w:rsidR="00000000" w:rsidDel="00000000" w:rsidP="00000000" w:rsidRDefault="00000000" w:rsidRPr="00000000" w14:paraId="000000EC">
      <w:pPr>
        <w:numPr>
          <w:ilvl w:val="0"/>
          <w:numId w:val="19"/>
        </w:numPr>
        <w:ind w:left="720" w:hanging="360"/>
        <w:rPr>
          <w:u w:val="none"/>
        </w:rPr>
      </w:pPr>
      <w:r w:rsidDel="00000000" w:rsidR="00000000" w:rsidRPr="00000000">
        <w:rPr>
          <w:rtl w:val="0"/>
        </w:rPr>
        <w:t xml:space="preserve">IVY GAP Atlas Project</w:t>
      </w:r>
    </w:p>
    <w:p w:rsidR="00000000" w:rsidDel="00000000" w:rsidP="00000000" w:rsidRDefault="00000000" w:rsidRPr="00000000" w14:paraId="000000ED">
      <w:pPr>
        <w:numPr>
          <w:ilvl w:val="1"/>
          <w:numId w:val="19"/>
        </w:numPr>
        <w:ind w:left="1440" w:hanging="360"/>
        <w:rPr>
          <w:u w:val="none"/>
        </w:rPr>
      </w:pPr>
      <w:hyperlink r:id="rId50">
        <w:r w:rsidDel="00000000" w:rsidR="00000000" w:rsidRPr="00000000">
          <w:rPr>
            <w:color w:val="1155cc"/>
            <w:u w:val="single"/>
            <w:rtl w:val="0"/>
          </w:rPr>
          <w:t xml:space="preserve">https://glioblastoma.alleninstitute.org/</w:t>
        </w:r>
      </w:hyperlink>
      <w:r w:rsidDel="00000000" w:rsidR="00000000" w:rsidRPr="00000000">
        <w:rPr>
          <w:rtl w:val="0"/>
        </w:rPr>
      </w:r>
    </w:p>
    <w:p w:rsidR="00000000" w:rsidDel="00000000" w:rsidP="00000000" w:rsidRDefault="00000000" w:rsidRPr="00000000" w14:paraId="000000EE">
      <w:pPr>
        <w:numPr>
          <w:ilvl w:val="0"/>
          <w:numId w:val="19"/>
        </w:numPr>
        <w:ind w:left="720" w:hanging="360"/>
        <w:rPr>
          <w:u w:val="none"/>
        </w:rPr>
      </w:pPr>
      <w:r w:rsidDel="00000000" w:rsidR="00000000" w:rsidRPr="00000000">
        <w:rPr>
          <w:rtl w:val="0"/>
        </w:rPr>
        <w:t xml:space="preserve">Cancer Research Data Commons</w:t>
      </w:r>
    </w:p>
    <w:p w:rsidR="00000000" w:rsidDel="00000000" w:rsidP="00000000" w:rsidRDefault="00000000" w:rsidRPr="00000000" w14:paraId="000000EF">
      <w:pPr>
        <w:numPr>
          <w:ilvl w:val="1"/>
          <w:numId w:val="19"/>
        </w:numPr>
        <w:ind w:left="1440" w:hanging="360"/>
        <w:rPr>
          <w:u w:val="none"/>
        </w:rPr>
      </w:pPr>
      <w:hyperlink r:id="rId51">
        <w:r w:rsidDel="00000000" w:rsidR="00000000" w:rsidRPr="00000000">
          <w:rPr>
            <w:color w:val="1155cc"/>
            <w:u w:val="single"/>
            <w:rtl w:val="0"/>
          </w:rPr>
          <w:t xml:space="preserve">https://datacommons.cancer.gov/</w:t>
        </w:r>
      </w:hyperlink>
      <w:r w:rsidDel="00000000" w:rsidR="00000000" w:rsidRPr="00000000">
        <w:rPr>
          <w:rtl w:val="0"/>
        </w:rPr>
      </w:r>
    </w:p>
    <w:p w:rsidR="00000000" w:rsidDel="00000000" w:rsidP="00000000" w:rsidRDefault="00000000" w:rsidRPr="00000000" w14:paraId="000000F0">
      <w:pPr>
        <w:numPr>
          <w:ilvl w:val="0"/>
          <w:numId w:val="19"/>
        </w:numPr>
        <w:ind w:left="720" w:hanging="360"/>
        <w:rPr>
          <w:u w:val="none"/>
        </w:rPr>
      </w:pPr>
      <w:r w:rsidDel="00000000" w:rsidR="00000000" w:rsidRPr="00000000">
        <w:rPr>
          <w:rtl w:val="0"/>
        </w:rPr>
        <w:t xml:space="preserve">Alzheimer's Disease Neuroimaging Initiative</w:t>
      </w:r>
    </w:p>
    <w:p w:rsidR="00000000" w:rsidDel="00000000" w:rsidP="00000000" w:rsidRDefault="00000000" w:rsidRPr="00000000" w14:paraId="000000F1">
      <w:pPr>
        <w:numPr>
          <w:ilvl w:val="1"/>
          <w:numId w:val="19"/>
        </w:numPr>
        <w:ind w:left="1440" w:hanging="360"/>
        <w:rPr>
          <w:u w:val="none"/>
        </w:rPr>
      </w:pPr>
      <w:hyperlink r:id="rId52">
        <w:r w:rsidDel="00000000" w:rsidR="00000000" w:rsidRPr="00000000">
          <w:rPr>
            <w:color w:val="1155cc"/>
            <w:u w:val="single"/>
            <w:rtl w:val="0"/>
          </w:rPr>
          <w:t xml:space="preserve">https://adni.loni.usc.edu/</w:t>
        </w:r>
      </w:hyperlink>
      <w:r w:rsidDel="00000000" w:rsidR="00000000" w:rsidRPr="00000000">
        <w:rPr>
          <w:rtl w:val="0"/>
        </w:rPr>
      </w:r>
    </w:p>
    <w:p w:rsidR="00000000" w:rsidDel="00000000" w:rsidP="00000000" w:rsidRDefault="00000000" w:rsidRPr="00000000" w14:paraId="000000F2">
      <w:pPr>
        <w:numPr>
          <w:ilvl w:val="0"/>
          <w:numId w:val="19"/>
        </w:numPr>
        <w:ind w:left="720" w:hanging="360"/>
        <w:rPr>
          <w:u w:val="none"/>
        </w:rPr>
      </w:pPr>
      <w:r w:rsidDel="00000000" w:rsidR="00000000" w:rsidRPr="00000000">
        <w:rPr>
          <w:rtl w:val="0"/>
        </w:rPr>
        <w:t xml:space="preserve">UCLA Integrated Diagnostics Shared Resource</w:t>
      </w:r>
    </w:p>
    <w:p w:rsidR="00000000" w:rsidDel="00000000" w:rsidP="00000000" w:rsidRDefault="00000000" w:rsidRPr="00000000" w14:paraId="000000F3">
      <w:pPr>
        <w:numPr>
          <w:ilvl w:val="1"/>
          <w:numId w:val="19"/>
        </w:numPr>
        <w:ind w:left="1440" w:hanging="360"/>
        <w:rPr>
          <w:u w:val="none"/>
        </w:rPr>
      </w:pPr>
      <w:hyperlink r:id="rId53">
        <w:r w:rsidDel="00000000" w:rsidR="00000000" w:rsidRPr="00000000">
          <w:rPr>
            <w:color w:val="1155cc"/>
            <w:u w:val="single"/>
            <w:rtl w:val="0"/>
          </w:rPr>
          <w:t xml:space="preserve">https://idx.medsch.ucla.edu/</w:t>
        </w:r>
      </w:hyperlink>
      <w:r w:rsidDel="00000000" w:rsidR="00000000" w:rsidRPr="00000000">
        <w:rPr>
          <w:rtl w:val="0"/>
        </w:rPr>
      </w:r>
    </w:p>
    <w:p w:rsidR="00000000" w:rsidDel="00000000" w:rsidP="00000000" w:rsidRDefault="00000000" w:rsidRPr="00000000" w14:paraId="000000F4">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F5">
      <w:pPr>
        <w:ind w:left="0" w:firstLine="0"/>
        <w:rPr>
          <w:b w:val="1"/>
        </w:rPr>
      </w:pPr>
      <w:r w:rsidDel="00000000" w:rsidR="00000000" w:rsidRPr="00000000">
        <w:rPr>
          <w:b w:val="1"/>
          <w:rtl w:val="0"/>
        </w:rPr>
        <w:t xml:space="preserve">Caveats</w:t>
      </w:r>
    </w:p>
    <w:p w:rsidR="00000000" w:rsidDel="00000000" w:rsidP="00000000" w:rsidRDefault="00000000" w:rsidRPr="00000000" w14:paraId="000000F6">
      <w:pPr>
        <w:ind w:left="0" w:firstLine="0"/>
        <w:jc w:val="center"/>
        <w:rPr>
          <w:b w:val="1"/>
        </w:rPr>
      </w:pPr>
      <w:r w:rsidDel="00000000" w:rsidR="00000000" w:rsidRPr="00000000">
        <w:rPr>
          <w:b w:val="1"/>
        </w:rPr>
        <w:drawing>
          <wp:inline distB="114300" distT="114300" distL="114300" distR="114300">
            <wp:extent cx="5008118" cy="6773275"/>
            <wp:effectExtent b="0" l="0" r="0" t="0"/>
            <wp:docPr id="14"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008118" cy="67732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13"/>
        </w:numPr>
        <w:ind w:left="1440" w:hanging="360"/>
        <w:rPr>
          <w:u w:val="none"/>
        </w:rPr>
      </w:pPr>
      <w:hyperlink r:id="rId55">
        <w:r w:rsidDel="00000000" w:rsidR="00000000" w:rsidRPr="00000000">
          <w:rPr>
            <w:color w:val="1155cc"/>
            <w:u w:val="single"/>
            <w:rtl w:val="0"/>
          </w:rPr>
          <w:t xml:space="preserve">https://www.ncbi.nlm.nih.gov/pmc/articles/PMC3748381/</w:t>
        </w:r>
      </w:hyperlink>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A">
      <w:pPr>
        <w:ind w:left="0" w:firstLine="0"/>
        <w:rPr>
          <w:b w:val="1"/>
        </w:rPr>
      </w:pPr>
      <w:r w:rsidDel="00000000" w:rsidR="00000000" w:rsidRPr="00000000">
        <w:rPr>
          <w:b w:val="1"/>
          <w:rtl w:val="0"/>
        </w:rPr>
        <w:t xml:space="preserve">Factors that influence radiomics stability</w:t>
      </w:r>
    </w:p>
    <w:p w:rsidR="00000000" w:rsidDel="00000000" w:rsidP="00000000" w:rsidRDefault="00000000" w:rsidRPr="00000000" w14:paraId="000000FB">
      <w:pPr>
        <w:ind w:left="0" w:firstLine="0"/>
        <w:rPr/>
      </w:pPr>
      <w:r w:rsidDel="00000000" w:rsidR="00000000" w:rsidRPr="00000000">
        <w:rPr/>
        <w:drawing>
          <wp:inline distB="114300" distT="114300" distL="114300" distR="114300">
            <wp:extent cx="5110163" cy="3505047"/>
            <wp:effectExtent b="0" l="0" r="0" t="0"/>
            <wp:docPr id="18"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110163" cy="350504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2"/>
        </w:numPr>
        <w:ind w:left="720" w:hanging="360"/>
        <w:rPr>
          <w:u w:val="none"/>
        </w:rPr>
      </w:pPr>
      <w:hyperlink r:id="rId57">
        <w:r w:rsidDel="00000000" w:rsidR="00000000" w:rsidRPr="00000000">
          <w:rPr>
            <w:color w:val="1155cc"/>
            <w:u w:val="single"/>
            <w:rtl w:val="0"/>
          </w:rPr>
          <w:t xml:space="preserve">https://insightsimaging.springeropen.com/articles/10.1186/s13244-020-00887-2</w:t>
        </w:r>
      </w:hyperlink>
      <w:r w:rsidDel="00000000" w:rsidR="00000000" w:rsidRPr="00000000">
        <w:rPr>
          <w:rtl w:val="0"/>
        </w:rPr>
      </w:r>
    </w:p>
    <w:p w:rsidR="00000000" w:rsidDel="00000000" w:rsidP="00000000" w:rsidRDefault="00000000" w:rsidRPr="00000000" w14:paraId="000000FD">
      <w:pPr>
        <w:ind w:left="0" w:firstLine="0"/>
        <w:rPr>
          <w:b w:val="1"/>
        </w:rPr>
      </w:pPr>
      <w:r w:rsidDel="00000000" w:rsidR="00000000" w:rsidRPr="00000000">
        <w:rPr>
          <w:b w:val="1"/>
          <w:rtl w:val="0"/>
        </w:rPr>
        <w:t xml:space="preserve">Methods for normalization</w:t>
      </w:r>
    </w:p>
    <w:p w:rsidR="00000000" w:rsidDel="00000000" w:rsidP="00000000" w:rsidRDefault="00000000" w:rsidRPr="00000000" w14:paraId="000000FE">
      <w:pPr>
        <w:ind w:left="0" w:firstLine="0"/>
        <w:rPr>
          <w:b w:val="1"/>
        </w:rPr>
      </w:pPr>
      <w:r w:rsidDel="00000000" w:rsidR="00000000" w:rsidRPr="00000000">
        <w:rPr>
          <w:b w:val="1"/>
        </w:rPr>
        <w:drawing>
          <wp:inline distB="114300" distT="114300" distL="114300" distR="114300">
            <wp:extent cx="5195888" cy="3597153"/>
            <wp:effectExtent b="0" l="0" r="0" t="0"/>
            <wp:docPr id="20"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5195888" cy="359715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21"/>
        </w:numPr>
        <w:ind w:left="720" w:hanging="360"/>
        <w:rPr>
          <w:u w:val="none"/>
        </w:rPr>
      </w:pPr>
      <w:hyperlink r:id="rId59">
        <w:r w:rsidDel="00000000" w:rsidR="00000000" w:rsidRPr="00000000">
          <w:rPr>
            <w:color w:val="1155cc"/>
            <w:u w:val="single"/>
            <w:rtl w:val="0"/>
          </w:rPr>
          <w:t xml:space="preserve">https://www.sciencedirect.com/science/article/pii/S156625352200015X</w:t>
        </w:r>
      </w:hyperlink>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b w:val="1"/>
        </w:rPr>
      </w:pPr>
      <w:r w:rsidDel="00000000" w:rsidR="00000000" w:rsidRPr="00000000">
        <w:rPr>
          <w:b w:val="1"/>
          <w:rtl w:val="0"/>
        </w:rPr>
        <w:t xml:space="preserve">Takeaways</w:t>
      </w:r>
    </w:p>
    <w:p w:rsidR="00000000" w:rsidDel="00000000" w:rsidP="00000000" w:rsidRDefault="00000000" w:rsidRPr="00000000" w14:paraId="00000102">
      <w:pPr>
        <w:numPr>
          <w:ilvl w:val="0"/>
          <w:numId w:val="4"/>
        </w:numPr>
        <w:ind w:left="720" w:hanging="360"/>
        <w:rPr>
          <w:u w:val="none"/>
        </w:rPr>
      </w:pPr>
      <w:r w:rsidDel="00000000" w:rsidR="00000000" w:rsidRPr="00000000">
        <w:rPr>
          <w:rtl w:val="0"/>
        </w:rPr>
        <w:t xml:space="preserve">Biomedical informatics encompasses the entire cycle from data to knowledge to practice to new data</w:t>
      </w:r>
    </w:p>
    <w:p w:rsidR="00000000" w:rsidDel="00000000" w:rsidP="00000000" w:rsidRDefault="00000000" w:rsidRPr="00000000" w14:paraId="00000103">
      <w:pPr>
        <w:numPr>
          <w:ilvl w:val="0"/>
          <w:numId w:val="4"/>
        </w:numPr>
        <w:ind w:left="720" w:hanging="360"/>
        <w:rPr>
          <w:u w:val="none"/>
        </w:rPr>
      </w:pPr>
      <w:r w:rsidDel="00000000" w:rsidR="00000000" w:rsidRPr="00000000">
        <w:rPr>
          <w:rtl w:val="0"/>
        </w:rPr>
        <w:t xml:space="preserve">Machine learning, complemented by frameworks for model training, rigorous validation, and deployment with human factors, is critical to effectively harness data</w:t>
      </w:r>
    </w:p>
    <w:p w:rsidR="00000000" w:rsidDel="00000000" w:rsidP="00000000" w:rsidRDefault="00000000" w:rsidRPr="00000000" w14:paraId="00000104">
      <w:pPr>
        <w:numPr>
          <w:ilvl w:val="0"/>
          <w:numId w:val="4"/>
        </w:numPr>
        <w:ind w:left="720" w:hanging="360"/>
        <w:rPr>
          <w:u w:val="none"/>
        </w:rPr>
      </w:pPr>
      <w:r w:rsidDel="00000000" w:rsidR="00000000" w:rsidRPr="00000000">
        <w:rPr>
          <w:rtl w:val="0"/>
        </w:rPr>
        <w:t xml:space="preserve">The case for multimodal data fusion</w:t>
      </w:r>
    </w:p>
    <w:p w:rsidR="00000000" w:rsidDel="00000000" w:rsidP="00000000" w:rsidRDefault="00000000" w:rsidRPr="00000000" w14:paraId="00000105">
      <w:pPr>
        <w:numPr>
          <w:ilvl w:val="0"/>
          <w:numId w:val="4"/>
        </w:numPr>
        <w:ind w:left="720" w:hanging="360"/>
        <w:rPr>
          <w:u w:val="none"/>
        </w:rPr>
      </w:pPr>
      <w:r w:rsidDel="00000000" w:rsidR="00000000" w:rsidRPr="00000000">
        <w:rPr>
          <w:rtl w:val="0"/>
        </w:rPr>
        <w:t xml:space="preserve">Different modalities carry complementary (but sometimes conflicting) information</w:t>
      </w:r>
    </w:p>
    <w:p w:rsidR="00000000" w:rsidDel="00000000" w:rsidP="00000000" w:rsidRDefault="00000000" w:rsidRPr="00000000" w14:paraId="00000106">
      <w:pPr>
        <w:numPr>
          <w:ilvl w:val="0"/>
          <w:numId w:val="4"/>
        </w:numPr>
        <w:ind w:left="720" w:hanging="360"/>
        <w:rPr>
          <w:u w:val="none"/>
        </w:rPr>
      </w:pPr>
      <w:r w:rsidDel="00000000" w:rsidR="00000000" w:rsidRPr="00000000">
        <w:rPr>
          <w:rtl w:val="0"/>
        </w:rPr>
        <w:t xml:space="preserve">Incorporating information across biological scales and modalities can lead to improved predictions of prognosis and treatment response</w:t>
      </w:r>
    </w:p>
    <w:p w:rsidR="00000000" w:rsidDel="00000000" w:rsidP="00000000" w:rsidRDefault="00000000" w:rsidRPr="00000000" w14:paraId="00000107">
      <w:pPr>
        <w:numPr>
          <w:ilvl w:val="0"/>
          <w:numId w:val="4"/>
        </w:numPr>
        <w:ind w:left="720" w:hanging="360"/>
        <w:rPr>
          <w:u w:val="none"/>
        </w:rPr>
      </w:pPr>
      <w:r w:rsidDel="00000000" w:rsidR="00000000" w:rsidRPr="00000000">
        <w:rPr>
          <w:rtl w:val="0"/>
        </w:rPr>
        <w:t xml:space="preserve">Challenges and opportunities</w:t>
      </w:r>
    </w:p>
    <w:p w:rsidR="00000000" w:rsidDel="00000000" w:rsidP="00000000" w:rsidRDefault="00000000" w:rsidRPr="00000000" w14:paraId="00000108">
      <w:pPr>
        <w:numPr>
          <w:ilvl w:val="0"/>
          <w:numId w:val="4"/>
        </w:numPr>
        <w:ind w:left="720" w:hanging="360"/>
        <w:rPr>
          <w:u w:val="none"/>
        </w:rPr>
      </w:pPr>
      <w:r w:rsidDel="00000000" w:rsidR="00000000" w:rsidRPr="00000000">
        <w:rPr>
          <w:rtl w:val="0"/>
        </w:rPr>
        <w:t xml:space="preserve">Availability of multimodal datasets</w:t>
      </w:r>
    </w:p>
    <w:p w:rsidR="00000000" w:rsidDel="00000000" w:rsidP="00000000" w:rsidRDefault="00000000" w:rsidRPr="00000000" w14:paraId="00000109">
      <w:pPr>
        <w:numPr>
          <w:ilvl w:val="0"/>
          <w:numId w:val="4"/>
        </w:numPr>
        <w:ind w:left="720" w:hanging="360"/>
        <w:rPr>
          <w:u w:val="none"/>
        </w:rPr>
      </w:pPr>
      <w:r w:rsidDel="00000000" w:rsidR="00000000" w:rsidRPr="00000000">
        <w:rPr>
          <w:rtl w:val="0"/>
        </w:rPr>
        <w:t xml:space="preserve">Further investigation into how multi-modal features relate, model interpretability</w:t>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21.png"/><Relationship Id="rId44" Type="http://schemas.openxmlformats.org/officeDocument/2006/relationships/image" Target="media/image4.png"/><Relationship Id="rId43" Type="http://schemas.openxmlformats.org/officeDocument/2006/relationships/hyperlink" Target="https://pubs.rsna.org/doi/epdf/10.1148/ryai.2021210152" TargetMode="External"/><Relationship Id="rId46" Type="http://schemas.openxmlformats.org/officeDocument/2006/relationships/image" Target="media/image17.png"/><Relationship Id="rId45" Type="http://schemas.openxmlformats.org/officeDocument/2006/relationships/hyperlink" Target="https://doi.org/10.1136%2Fbmjhci-2021-10051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mia.org/" TargetMode="External"/><Relationship Id="rId48" Type="http://schemas.openxmlformats.org/officeDocument/2006/relationships/image" Target="media/image8.png"/><Relationship Id="rId47" Type="http://schemas.openxmlformats.org/officeDocument/2006/relationships/hyperlink" Target="https://link.springer.com/article/10.1007/s00330-020-07684-x" TargetMode="External"/><Relationship Id="rId49" Type="http://schemas.openxmlformats.org/officeDocument/2006/relationships/hyperlink" Target="https://dx.doi.orq/10.1038/s41568-021-00408-3" TargetMode="External"/><Relationship Id="rId5" Type="http://schemas.openxmlformats.org/officeDocument/2006/relationships/styles" Target="styles.xml"/><Relationship Id="rId6" Type="http://schemas.openxmlformats.org/officeDocument/2006/relationships/hyperlink" Target="mailto:whsu@mednet.ucla.edu" TargetMode="External"/><Relationship Id="rId7" Type="http://schemas.openxmlformats.org/officeDocument/2006/relationships/hyperlink" Target="https://hsu-lab.com" TargetMode="External"/><Relationship Id="rId8" Type="http://schemas.openxmlformats.org/officeDocument/2006/relationships/hyperlink" Target="https://imia-medinfo.org/wp/" TargetMode="External"/><Relationship Id="rId31" Type="http://schemas.openxmlformats.org/officeDocument/2006/relationships/hyperlink" Target="https://www.mdpi.com/2072-6694/12/4/814" TargetMode="External"/><Relationship Id="rId30" Type="http://schemas.openxmlformats.org/officeDocument/2006/relationships/hyperlink" Target="https://www.frontiersin.org/articles/10.3389/fonc.2020.00731/full" TargetMode="External"/><Relationship Id="rId33" Type="http://schemas.openxmlformats.org/officeDocument/2006/relationships/image" Target="media/image22.png"/><Relationship Id="rId32" Type="http://schemas.openxmlformats.org/officeDocument/2006/relationships/hyperlink" Target="https://www.thelancet.com/journals/ebiom/article/PIIS2352-3964(20)30539-9/fulltext" TargetMode="External"/><Relationship Id="rId35" Type="http://schemas.openxmlformats.org/officeDocument/2006/relationships/image" Target="media/image9.png"/><Relationship Id="rId34" Type="http://schemas.openxmlformats.org/officeDocument/2006/relationships/image" Target="media/image20.png"/><Relationship Id="rId37" Type="http://schemas.openxmlformats.org/officeDocument/2006/relationships/image" Target="media/image6.png"/><Relationship Id="rId36" Type="http://schemas.openxmlformats.org/officeDocument/2006/relationships/hyperlink" Target="https://academic.oup.com/bioinformatics/article/36/11/3537/5758261" TargetMode="External"/><Relationship Id="rId39" Type="http://schemas.openxmlformats.org/officeDocument/2006/relationships/image" Target="media/image11.png"/><Relationship Id="rId38" Type="http://schemas.openxmlformats.org/officeDocument/2006/relationships/image" Target="media/image23.png"/><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hyperlink" Target="https://www.ajronline.org/doi/pdf/10.2214/AJR.18.20624" TargetMode="External"/><Relationship Id="rId24" Type="http://schemas.openxmlformats.org/officeDocument/2006/relationships/hyperlink" Target="https://ieeexplore.ieee.org/document/5192987" TargetMode="External"/><Relationship Id="rId23" Type="http://schemas.openxmlformats.org/officeDocument/2006/relationships/hyperlink" Target="https://dx.doi.orq/10.1038/s41568-021-00408-3" TargetMode="External"/><Relationship Id="rId26" Type="http://schemas.openxmlformats.org/officeDocument/2006/relationships/image" Target="media/image10.png"/><Relationship Id="rId25" Type="http://schemas.openxmlformats.org/officeDocument/2006/relationships/hyperlink" Target="https://ieeexplore.ieee.org/stamp/stamp.jsp?tp=&amp;arnumber=9684949" TargetMode="External"/><Relationship Id="rId28" Type="http://schemas.openxmlformats.org/officeDocument/2006/relationships/hyperlink" Target="https://www.ncbi.nlm.nih.gov/pmc/articles/PMC6222024/" TargetMode="External"/><Relationship Id="rId27" Type="http://schemas.openxmlformats.org/officeDocument/2006/relationships/hyperlink" Target="https://onlinelibrary.wiley.com/doi/10.1002/jmri.25335" TargetMode="External"/><Relationship Id="rId29" Type="http://schemas.openxmlformats.org/officeDocument/2006/relationships/hyperlink" Target="https://phiro.science/article/S2405-6316(17)30085-4/fulltext" TargetMode="External"/><Relationship Id="rId51" Type="http://schemas.openxmlformats.org/officeDocument/2006/relationships/hyperlink" Target="https://dataccmmons.cancer.gov/" TargetMode="External"/><Relationship Id="rId50" Type="http://schemas.openxmlformats.org/officeDocument/2006/relationships/hyperlink" Target="https://glioblastoma.alleninstitute.org/" TargetMode="External"/><Relationship Id="rId53" Type="http://schemas.openxmlformats.org/officeDocument/2006/relationships/hyperlink" Target="https://idx.medsch.ucla.edu/" TargetMode="External"/><Relationship Id="rId52" Type="http://schemas.openxmlformats.org/officeDocument/2006/relationships/hyperlink" Target="https://adni.loni.usc.edu/" TargetMode="External"/><Relationship Id="rId11" Type="http://schemas.openxmlformats.org/officeDocument/2006/relationships/image" Target="media/image24.png"/><Relationship Id="rId55" Type="http://schemas.openxmlformats.org/officeDocument/2006/relationships/hyperlink" Target="https://www.ncbi.nlm.nih.gov/pmc/articles/PMC3748381/" TargetMode="External"/><Relationship Id="rId10" Type="http://schemas.openxmlformats.org/officeDocument/2006/relationships/image" Target="media/image19.png"/><Relationship Id="rId54" Type="http://schemas.openxmlformats.org/officeDocument/2006/relationships/image" Target="media/image3.png"/><Relationship Id="rId13" Type="http://schemas.openxmlformats.org/officeDocument/2006/relationships/hyperlink" Target="https://link.springer.com/chapter/10.1007/978-3-030-70558-9_2" TargetMode="External"/><Relationship Id="rId57" Type="http://schemas.openxmlformats.org/officeDocument/2006/relationships/hyperlink" Target="https://insightsimaging.springeropen.com/articles/10.1186/s13244-020-00887-2" TargetMode="External"/><Relationship Id="rId12" Type="http://schemas.openxmlformats.org/officeDocument/2006/relationships/image" Target="media/image18.png"/><Relationship Id="rId56" Type="http://schemas.openxmlformats.org/officeDocument/2006/relationships/image" Target="media/image12.png"/><Relationship Id="rId15" Type="http://schemas.openxmlformats.org/officeDocument/2006/relationships/hyperlink" Target="https://dx.doi.orq/10.1038/s41568-021-00408-3" TargetMode="External"/><Relationship Id="rId59" Type="http://schemas.openxmlformats.org/officeDocument/2006/relationships/hyperlink" Target="https://www.sciencedirect.com/science/article/pii/S156625352200015X" TargetMode="External"/><Relationship Id="rId14" Type="http://schemas.openxmlformats.org/officeDocument/2006/relationships/image" Target="media/image2.png"/><Relationship Id="rId58" Type="http://schemas.openxmlformats.org/officeDocument/2006/relationships/image" Target="media/image7.png"/><Relationship Id="rId17" Type="http://schemas.openxmlformats.org/officeDocument/2006/relationships/hyperlink" Target="https://pubs.rsna.org/doi/full/10.1148/radiol.2015151169" TargetMode="External"/><Relationship Id="rId16" Type="http://schemas.openxmlformats.org/officeDocument/2006/relationships/image" Target="media/image1.png"/><Relationship Id="rId19" Type="http://schemas.openxmlformats.org/officeDocument/2006/relationships/hyperlink" Target="https://ibsi.readthedocs.io/en/latest/03_Image_features.html" TargetMode="External"/><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