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公有数据</w:t>
      </w:r>
    </w:p>
    <w:p>
      <w:pPr>
        <w:spacing w:before="120" w:after="120" w:line="288" w:lineRule="auto"/>
        <w:ind w:left="0"/>
        <w:jc w:val="left"/>
      </w:pPr>
      <w:r>
        <w:rPr>
          <w:rFonts w:eastAsia="等线" w:ascii="Arial" w:cs="Arial" w:hAnsi="Arial"/>
          <w:sz w:val="22"/>
        </w:rPr>
        <w:t>与驾驶安全相关的公开标准法规、经过专家校验的权威资料等。</w:t>
      </w:r>
    </w:p>
    <w:p>
      <w:pPr>
        <w:spacing w:before="120" w:after="120" w:line="288" w:lineRule="auto"/>
        <w:ind w:left="0"/>
        <w:jc w:val="left"/>
      </w:pPr>
      <w:r>
        <w:rPr>
          <w:rFonts w:eastAsia="等线" w:ascii="Arial" w:cs="Arial" w:hAnsi="Arial"/>
          <w:sz w:val="22"/>
        </w:rPr>
        <w:t>与豆包的问答：</w:t>
      </w:r>
      <w:hyperlink r:id="rId4">
        <w:r>
          <w:rPr>
            <w:rFonts w:eastAsia="等线" w:ascii="Arial" w:cs="Arial" w:hAnsi="Arial"/>
            <w:color w:val="3370ff"/>
            <w:sz w:val="22"/>
          </w:rPr>
          <w:t>构建自动驾驶公有库 - 豆包</w:t>
        </w:r>
      </w:hyperlink>
    </w:p>
    <w:p>
      <w:pPr>
        <w:spacing w:before="120" w:after="120" w:line="288" w:lineRule="auto"/>
        <w:ind w:left="0"/>
        <w:jc w:val="left"/>
      </w:pPr>
      <w:r>
        <w:rPr>
          <w:rFonts w:eastAsia="等线" w:ascii="Arial" w:cs="Arial" w:hAnsi="Arial"/>
          <w:sz w:val="22"/>
        </w:rPr>
        <w:t>——————</w:t>
      </w:r>
    </w:p>
    <w:p>
      <w:pPr>
        <w:spacing w:before="120" w:after="120" w:line="288" w:lineRule="auto"/>
        <w:ind w:left="0"/>
        <w:jc w:val="left"/>
      </w:pPr>
      <w:r>
        <w:rPr>
          <w:rFonts w:eastAsia="等线" w:ascii="Arial" w:cs="Arial" w:hAnsi="Arial"/>
          <w:sz w:val="22"/>
        </w:rPr>
        <w:t>我问：</w:t>
      </w:r>
    </w:p>
    <w:p>
      <w:pPr>
        <w:spacing w:before="120" w:after="120" w:line="288" w:lineRule="auto"/>
        <w:ind w:left="0"/>
        <w:jc w:val="left"/>
      </w:pPr>
      <w:r>
        <w:rPr>
          <w:rFonts w:eastAsia="等线" w:ascii="Arial" w:cs="Arial" w:hAnsi="Arial"/>
          <w:sz w:val="22"/>
        </w:rPr>
        <w:t>我想基于公有数据构建一个自动驾驶开发的一个智能助手。这个公有数据呢，是希望都是非常权威的。我能想到以下这些，然后你帮我继续补充啊。首先是已经公开的一些标准法规，比如说各个系统的功能相关的标准、测试相关的标准以及安全相关的标准。这些标准由于是业界专家一起讨论出来的，应该是具有一定的权威性。还有一类是一些权威项目的项目产出，比如说德国 PAXAS 项目、欧盟 enable s3 的项目、日本 SAKURA 的项目。这些项目的 work product 工作产出，我的理解是也是经过一些专家审核的。那还有一些最佳实践，比如说 ADAS 的开发的最佳实践。可能还有些其他的，然后还有一类是比较权威的期刊的论文，这些论文也是经过专家评审的，一定程度上具有一定的权威性。主要是这个思路，请你帮帮我罗列出我提到的以及我没有提到的自动驾驶开发的开发及测试的所有的公有数据，我希望构建一个这样的公有数据库。请帮我详细罗列。</w:t>
      </w:r>
    </w:p>
    <w:p>
      <w:pPr>
        <w:spacing w:before="120" w:after="120" w:line="288" w:lineRule="auto"/>
        <w:ind w:left="0"/>
        <w:jc w:val="left"/>
      </w:pPr>
      <w:r>
        <w:rPr>
          <w:rFonts w:eastAsia="等线" w:ascii="Arial" w:cs="Arial" w:hAnsi="Arial"/>
          <w:sz w:val="22"/>
        </w:rPr>
        <w:t>豆包的回答：</w:t>
      </w:r>
    </w:p>
    <w:p>
      <w:pPr>
        <w:spacing w:before="120" w:after="120" w:line="288" w:lineRule="auto"/>
        <w:ind w:left="0"/>
        <w:jc w:val="left"/>
      </w:pPr>
      <w:r>
        <w:rPr>
          <w:rFonts w:eastAsia="等线" w:ascii="Arial" w:cs="Arial" w:hAnsi="Arial"/>
          <w:sz w:val="22"/>
        </w:rPr>
        <w:t>以下按</w:t>
      </w:r>
      <w:r>
        <w:rPr>
          <w:rFonts w:eastAsia="等线" w:ascii="Arial" w:cs="Arial" w:hAnsi="Arial"/>
          <w:b w:val="true"/>
          <w:sz w:val="22"/>
        </w:rPr>
        <w:t>标准法规、权威项目、最佳实践、期刊论文、开源数据集、测试基准、事故/监管报告、工具链资源</w:t>
      </w:r>
      <w:r>
        <w:rPr>
          <w:rFonts w:eastAsia="等线" w:ascii="Arial" w:cs="Arial" w:hAnsi="Arial"/>
          <w:sz w:val="22"/>
        </w:rPr>
        <w:t>八大类，为你整理自动驾驶开发与测试的权威公有数据，可直接用于构建智能助手数据库。</w:t>
      </w:r>
    </w:p>
    <w:p>
      <w:pPr>
        <w:pStyle w:val="3"/>
        <w:spacing w:before="300" w:after="120" w:line="288" w:lineRule="auto"/>
        <w:ind w:left="0"/>
        <w:jc w:val="left"/>
        <w:outlineLvl w:val="2"/>
      </w:pPr>
      <w:bookmarkStart w:name="heading_0" w:id="0"/>
      <w:r>
        <w:rPr>
          <w:rFonts w:eastAsia="等线" w:ascii="Arial" w:cs="Arial" w:hAnsi="Arial"/>
          <w:b w:val="true"/>
          <w:sz w:val="30"/>
        </w:rPr>
        <w:t>一、标准法规（权威合规基石）</w:t>
      </w:r>
      <w:bookmarkEnd w:id="0"/>
    </w:p>
    <w:p>
      <w:pPr>
        <w:numPr>
          <w:numId w:val="1"/>
        </w:numPr>
        <w:spacing w:before="120" w:after="120" w:line="288" w:lineRule="auto"/>
        <w:ind w:left="0"/>
        <w:jc w:val="left"/>
      </w:pPr>
      <w:r>
        <w:rPr>
          <w:rFonts w:eastAsia="等线" w:ascii="Arial" w:cs="Arial" w:hAnsi="Arial"/>
          <w:b w:val="true"/>
          <w:sz w:val="22"/>
        </w:rPr>
        <w:t>国际标准</w:t>
      </w:r>
      <w:r>
        <w:rPr>
          <w:rFonts w:eastAsia="等线" w:ascii="Arial" w:cs="Arial" w:hAnsi="Arial"/>
          <w:sz w:val="22"/>
        </w:rPr>
        <w:t>：ISO 26262（功能安全）、ISO 21448（预期功能安全SOTIF）、ISO 34501（自动驾驶测试）、SAE J3016（自动驾驶分级）、UNECE WP.29（自动驾驶法规框架，含R157/R158等）</w:t>
      </w:r>
    </w:p>
    <w:p>
      <w:pPr>
        <w:numPr>
          <w:numId w:val="2"/>
        </w:numPr>
        <w:spacing w:before="120" w:after="120" w:line="288" w:lineRule="auto"/>
        <w:ind w:left="0"/>
        <w:jc w:val="left"/>
      </w:pPr>
      <w:r>
        <w:rPr>
          <w:rFonts w:eastAsia="等线" w:ascii="Arial" w:cs="Arial" w:hAnsi="Arial"/>
          <w:b w:val="true"/>
          <w:sz w:val="22"/>
        </w:rPr>
        <w:t>区域标准</w:t>
      </w:r>
      <w:r>
        <w:rPr>
          <w:rFonts w:eastAsia="等线" w:ascii="Arial" w:cs="Arial" w:hAnsi="Arial"/>
          <w:sz w:val="22"/>
        </w:rPr>
        <w:t>：欧盟：UN-R157（自动车道保持）、UN-R158（自动紧急制动）；中国：GB/T 40429（自动驾驶术语）、GB/T 39269（功能安全）、GB/T 40428（数据记录）；美国：NHTSA 自动驾驶安全评估指南、加州DMV 自动驾驶测试法规</w:t>
      </w:r>
    </w:p>
    <w:p>
      <w:pPr>
        <w:numPr>
          <w:numId w:val="3"/>
        </w:numPr>
        <w:spacing w:before="120" w:after="120" w:line="288" w:lineRule="auto"/>
        <w:ind w:left="0"/>
        <w:jc w:val="left"/>
      </w:pPr>
      <w:r>
        <w:rPr>
          <w:rFonts w:eastAsia="等线" w:ascii="Arial" w:cs="Arial" w:hAnsi="Arial"/>
          <w:b w:val="true"/>
          <w:sz w:val="22"/>
        </w:rPr>
        <w:t>行业团体标准</w:t>
      </w:r>
      <w:r>
        <w:rPr>
          <w:rFonts w:eastAsia="等线" w:ascii="Arial" w:cs="Arial" w:hAnsi="Arial"/>
          <w:sz w:val="22"/>
        </w:rPr>
        <w:t>：中汽协《自动驾驶感知融合数据集要求》、SAE J3216 扩展协议、IEEE 自动驾驶相关标准</w:t>
      </w:r>
    </w:p>
    <w:p>
      <w:pPr>
        <w:pStyle w:val="3"/>
        <w:spacing w:before="300" w:after="120" w:line="288" w:lineRule="auto"/>
        <w:ind w:left="0"/>
        <w:jc w:val="left"/>
        <w:outlineLvl w:val="2"/>
      </w:pPr>
      <w:bookmarkStart w:name="heading_1" w:id="1"/>
      <w:r>
        <w:rPr>
          <w:rFonts w:eastAsia="等线" w:ascii="Arial" w:cs="Arial" w:hAnsi="Arial"/>
          <w:b w:val="true"/>
          <w:sz w:val="30"/>
        </w:rPr>
        <w:t>二、权威项目产出（专家背书成果）</w:t>
      </w:r>
      <w:bookmarkEnd w:id="1"/>
    </w:p>
    <w:p>
      <w:pPr>
        <w:numPr>
          <w:numId w:val="4"/>
        </w:numPr>
        <w:spacing w:before="120" w:after="120" w:line="288" w:lineRule="auto"/>
        <w:ind w:left="0"/>
        <w:jc w:val="left"/>
      </w:pPr>
      <w:r>
        <w:rPr>
          <w:rFonts w:eastAsia="等线" w:ascii="Arial" w:cs="Arial" w:hAnsi="Arial"/>
          <w:b w:val="true"/>
          <w:sz w:val="22"/>
        </w:rPr>
        <w:t>欧洲项目</w:t>
      </w:r>
      <w:r>
        <w:rPr>
          <w:rFonts w:eastAsia="等线" w:ascii="Arial" w:cs="Arial" w:hAnsi="Arial"/>
          <w:sz w:val="22"/>
        </w:rPr>
        <w:t>：Pegasus（自动驾驶安全架构）、ENABLE-S3（L4自动驾驶验证）、L3Pilot（L3实路测试数据/问卷/CDF格式）、AutoDrive（L4系统集成）</w:t>
      </w:r>
    </w:p>
    <w:p>
      <w:pPr>
        <w:numPr>
          <w:numId w:val="5"/>
        </w:numPr>
        <w:spacing w:before="120" w:after="120" w:line="288" w:lineRule="auto"/>
        <w:ind w:left="0"/>
        <w:jc w:val="left"/>
      </w:pPr>
      <w:r>
        <w:rPr>
          <w:rFonts w:eastAsia="等线" w:ascii="Arial" w:cs="Arial" w:hAnsi="Arial"/>
          <w:b w:val="true"/>
          <w:sz w:val="22"/>
        </w:rPr>
        <w:t>日本项目</w:t>
      </w:r>
      <w:r>
        <w:rPr>
          <w:rFonts w:eastAsia="等线" w:ascii="Arial" w:cs="Arial" w:hAnsi="Arial"/>
          <w:sz w:val="22"/>
        </w:rPr>
        <w:t>：SAKURA（自动驾驶实证）、TRI AD（丰田研究院开放数据集）</w:t>
      </w:r>
    </w:p>
    <w:p>
      <w:pPr>
        <w:numPr>
          <w:numId w:val="6"/>
        </w:numPr>
        <w:spacing w:before="120" w:after="120" w:line="288" w:lineRule="auto"/>
        <w:ind w:left="0"/>
        <w:jc w:val="left"/>
      </w:pPr>
      <w:r>
        <w:rPr>
          <w:rFonts w:eastAsia="等线" w:ascii="Arial" w:cs="Arial" w:hAnsi="Arial"/>
          <w:b w:val="true"/>
          <w:sz w:val="22"/>
        </w:rPr>
        <w:t>中国项目</w:t>
      </w:r>
      <w:r>
        <w:rPr>
          <w:rFonts w:eastAsia="等线" w:ascii="Arial" w:cs="Arial" w:hAnsi="Arial"/>
          <w:sz w:val="22"/>
        </w:rPr>
        <w:t>：国家智能网联汽车创新中心（测试场景库/数据规范）、中汽创智星辰数据联盟（BEV/4D毫米波/多视角数据集）</w:t>
      </w:r>
    </w:p>
    <w:p>
      <w:pPr>
        <w:numPr>
          <w:numId w:val="7"/>
        </w:numPr>
        <w:spacing w:before="120" w:after="120" w:line="288" w:lineRule="auto"/>
        <w:ind w:left="0"/>
        <w:jc w:val="left"/>
      </w:pPr>
      <w:r>
        <w:rPr>
          <w:rFonts w:eastAsia="等线" w:ascii="Arial" w:cs="Arial" w:hAnsi="Arial"/>
          <w:b w:val="true"/>
          <w:sz w:val="22"/>
        </w:rPr>
        <w:t>国际联合项目</w:t>
      </w:r>
      <w:r>
        <w:rPr>
          <w:rFonts w:eastAsia="等线" w:ascii="Arial" w:cs="Arial" w:hAnsi="Arial"/>
          <w:sz w:val="22"/>
        </w:rPr>
        <w:t>：DAIR-V2X（清华AIR，车路协同数据集，含7万+帧车路联合标注）、上海自动驾驶实训场（实车+虚拟融合数据）</w:t>
      </w:r>
    </w:p>
    <w:p>
      <w:pPr>
        <w:pStyle w:val="3"/>
        <w:spacing w:before="300" w:after="120" w:line="288" w:lineRule="auto"/>
        <w:ind w:left="0"/>
        <w:jc w:val="left"/>
        <w:outlineLvl w:val="2"/>
      </w:pPr>
      <w:bookmarkStart w:name="heading_2" w:id="2"/>
      <w:r>
        <w:rPr>
          <w:rFonts w:eastAsia="等线" w:ascii="Arial" w:cs="Arial" w:hAnsi="Arial"/>
          <w:b w:val="true"/>
          <w:sz w:val="30"/>
        </w:rPr>
        <w:t>三、最佳实践（产业成熟经验）</w:t>
      </w:r>
      <w:bookmarkEnd w:id="2"/>
    </w:p>
    <w:p>
      <w:pPr>
        <w:numPr>
          <w:numId w:val="8"/>
        </w:numPr>
        <w:spacing w:before="120" w:after="120" w:line="288" w:lineRule="auto"/>
        <w:ind w:left="0"/>
        <w:jc w:val="left"/>
      </w:pPr>
      <w:r>
        <w:rPr>
          <w:rFonts w:eastAsia="等线" w:ascii="Arial" w:cs="Arial" w:hAnsi="Arial"/>
          <w:b w:val="true"/>
          <w:sz w:val="22"/>
        </w:rPr>
        <w:t>ADAS开发</w:t>
      </w:r>
      <w:r>
        <w:rPr>
          <w:rFonts w:eastAsia="等线" w:ascii="Arial" w:cs="Arial" w:hAnsi="Arial"/>
          <w:sz w:val="22"/>
        </w:rPr>
        <w:t>：ISO 15008（ADAS测试）、博世/大陆ADAS开发流程、特斯拉Autopilot安全报告</w:t>
      </w:r>
    </w:p>
    <w:p>
      <w:pPr>
        <w:numPr>
          <w:numId w:val="9"/>
        </w:numPr>
        <w:spacing w:before="120" w:after="120" w:line="288" w:lineRule="auto"/>
        <w:ind w:left="0"/>
        <w:jc w:val="left"/>
      </w:pPr>
      <w:r>
        <w:rPr>
          <w:rFonts w:eastAsia="等线" w:ascii="Arial" w:cs="Arial" w:hAnsi="Arial"/>
          <w:b w:val="true"/>
          <w:sz w:val="22"/>
        </w:rPr>
        <w:t>自动驾驶开发流程</w:t>
      </w:r>
      <w:r>
        <w:rPr>
          <w:rFonts w:eastAsia="等线" w:ascii="Arial" w:cs="Arial" w:hAnsi="Arial"/>
          <w:sz w:val="22"/>
        </w:rPr>
        <w:t>：V模型开发流程、ASPICE 汽车软件过程改进、UL 自动驾驶安全评估框架</w:t>
      </w:r>
    </w:p>
    <w:p>
      <w:pPr>
        <w:numPr>
          <w:numId w:val="10"/>
        </w:numPr>
        <w:spacing w:before="120" w:after="120" w:line="288" w:lineRule="auto"/>
        <w:ind w:left="0"/>
        <w:jc w:val="left"/>
      </w:pPr>
      <w:r>
        <w:rPr>
          <w:rFonts w:eastAsia="等线" w:ascii="Arial" w:cs="Arial" w:hAnsi="Arial"/>
          <w:b w:val="true"/>
          <w:sz w:val="22"/>
        </w:rPr>
        <w:t>测试方法论</w:t>
      </w:r>
      <w:r>
        <w:rPr>
          <w:rFonts w:eastAsia="等线" w:ascii="Arial" w:cs="Arial" w:hAnsi="Arial"/>
          <w:sz w:val="22"/>
        </w:rPr>
        <w:t>：场景库构建指南（如CAV 测试场景分类）、ODD（运行设计域）定义规范、故障注入测试最佳实践</w:t>
      </w:r>
    </w:p>
    <w:p>
      <w:pPr>
        <w:pStyle w:val="3"/>
        <w:spacing w:before="300" w:after="120" w:line="288" w:lineRule="auto"/>
        <w:ind w:left="0"/>
        <w:jc w:val="left"/>
        <w:outlineLvl w:val="2"/>
      </w:pPr>
      <w:bookmarkStart w:name="heading_3" w:id="3"/>
      <w:r>
        <w:rPr>
          <w:rFonts w:eastAsia="等线" w:ascii="Arial" w:cs="Arial" w:hAnsi="Arial"/>
          <w:b w:val="true"/>
          <w:sz w:val="30"/>
        </w:rPr>
        <w:t>四、权威期刊论文（前沿技术参考）</w:t>
      </w:r>
      <w:bookmarkEnd w:id="3"/>
    </w:p>
    <w:p>
      <w:pPr>
        <w:numPr>
          <w:numId w:val="11"/>
        </w:numPr>
        <w:spacing w:before="120" w:after="120" w:line="288" w:lineRule="auto"/>
        <w:ind w:left="0"/>
        <w:jc w:val="left"/>
      </w:pPr>
      <w:r>
        <w:rPr>
          <w:rFonts w:eastAsia="等线" w:ascii="Arial" w:cs="Arial" w:hAnsi="Arial"/>
          <w:b w:val="true"/>
          <w:sz w:val="22"/>
        </w:rPr>
        <w:t>核心期刊</w:t>
      </w:r>
      <w:r>
        <w:rPr>
          <w:rFonts w:eastAsia="等线" w:ascii="Arial" w:cs="Arial" w:hAnsi="Arial"/>
          <w:sz w:val="22"/>
        </w:rPr>
        <w:t>：IEEE Transactions on Intelligent Transportation Systems、IEEE Robotics and Automation Letters、Journal of Autonomous Vehicles and Systems、SAE International Journal of Connected and Automated Vehicles</w:t>
      </w:r>
    </w:p>
    <w:p>
      <w:pPr>
        <w:numPr>
          <w:numId w:val="12"/>
        </w:numPr>
        <w:spacing w:before="120" w:after="120" w:line="288" w:lineRule="auto"/>
        <w:ind w:left="0"/>
        <w:jc w:val="left"/>
      </w:pPr>
      <w:r>
        <w:rPr>
          <w:rFonts w:eastAsia="等线" w:ascii="Arial" w:cs="Arial" w:hAnsi="Arial"/>
          <w:b w:val="true"/>
          <w:sz w:val="22"/>
        </w:rPr>
        <w:t>顶会论文</w:t>
      </w:r>
      <w:r>
        <w:rPr>
          <w:rFonts w:eastAsia="等线" w:ascii="Arial" w:cs="Arial" w:hAnsi="Arial"/>
          <w:sz w:val="22"/>
        </w:rPr>
        <w:t>：CVPR/ICCV/ECCV（感知算法）、NeurIPS/ICML（决策规划）、RSS（机器人学习）、IV（智能车辆）、ITSC（智能交通）</w:t>
      </w:r>
    </w:p>
    <w:p>
      <w:pPr>
        <w:numPr>
          <w:numId w:val="13"/>
        </w:numPr>
        <w:spacing w:before="120" w:after="120" w:line="288" w:lineRule="auto"/>
        <w:ind w:left="0"/>
        <w:jc w:val="left"/>
      </w:pPr>
      <w:r>
        <w:rPr>
          <w:rFonts w:eastAsia="等线" w:ascii="Arial" w:cs="Arial" w:hAnsi="Arial"/>
          <w:b w:val="true"/>
          <w:sz w:val="22"/>
        </w:rPr>
        <w:t>机构论文</w:t>
      </w:r>
      <w:r>
        <w:rPr>
          <w:rFonts w:eastAsia="等线" w:ascii="Arial" w:cs="Arial" w:hAnsi="Arial"/>
          <w:sz w:val="22"/>
        </w:rPr>
        <w:t>：Waymo/特斯拉/百度Apollo 技术博客、MIT/斯坦福/清华 自动驾驶实验室公开成果</w:t>
      </w:r>
    </w:p>
    <w:p>
      <w:pPr>
        <w:pStyle w:val="3"/>
        <w:spacing w:before="300" w:after="120" w:line="288" w:lineRule="auto"/>
        <w:ind w:left="0"/>
        <w:jc w:val="left"/>
        <w:outlineLvl w:val="2"/>
      </w:pPr>
      <w:bookmarkStart w:name="heading_4" w:id="4"/>
      <w:r>
        <w:rPr>
          <w:rFonts w:eastAsia="等线" w:ascii="Arial" w:cs="Arial" w:hAnsi="Arial"/>
          <w:b w:val="true"/>
          <w:sz w:val="30"/>
        </w:rPr>
        <w:t>五、开源数据集（模型训练核心）</w:t>
      </w:r>
      <w:bookmarkEnd w:id="4"/>
    </w:p>
    <w:p>
      <w:pPr>
        <w:numPr>
          <w:numId w:val="14"/>
        </w:numPr>
        <w:spacing w:before="120" w:after="120" w:line="288" w:lineRule="auto"/>
        <w:ind w:left="0"/>
        <w:jc w:val="left"/>
      </w:pPr>
      <w:r>
        <w:rPr>
          <w:rFonts w:eastAsia="等线" w:ascii="Arial" w:cs="Arial" w:hAnsi="Arial"/>
          <w:b w:val="true"/>
          <w:sz w:val="22"/>
        </w:rPr>
        <w:t>感知类</w:t>
      </w:r>
      <w:r>
        <w:rPr>
          <w:rFonts w:eastAsia="等线" w:ascii="Arial" w:cs="Arial" w:hAnsi="Arial"/>
          <w:sz w:val="22"/>
        </w:rPr>
        <w:t>：Waymo Open Dataset（1150+场景，多传感器融合）、nuScenes（Motional，23类目标3D标注）、KITTI（经典激光雷达/视觉数据集）</w:t>
      </w:r>
    </w:p>
    <w:p>
      <w:pPr>
        <w:numPr>
          <w:numId w:val="15"/>
        </w:numPr>
        <w:spacing w:before="120" w:after="120" w:line="288" w:lineRule="auto"/>
        <w:ind w:left="0"/>
        <w:jc w:val="left"/>
      </w:pPr>
      <w:r>
        <w:rPr>
          <w:rFonts w:eastAsia="等线" w:ascii="Arial" w:cs="Arial" w:hAnsi="Arial"/>
          <w:b w:val="true"/>
          <w:sz w:val="22"/>
        </w:rPr>
        <w:t>车路协同类</w:t>
      </w:r>
      <w:r>
        <w:rPr>
          <w:rFonts w:eastAsia="等线" w:ascii="Arial" w:cs="Arial" w:hAnsi="Arial"/>
          <w:sz w:val="22"/>
        </w:rPr>
        <w:t>：DAIR-V2X（车路联合视角，含城市/高速场景）、Apollo Open Dataset（百度，道路/障碍物/交通灯标注）</w:t>
      </w:r>
    </w:p>
    <w:p>
      <w:pPr>
        <w:numPr>
          <w:numId w:val="16"/>
        </w:numPr>
        <w:spacing w:before="120" w:after="120" w:line="288" w:lineRule="auto"/>
        <w:ind w:left="0"/>
        <w:jc w:val="left"/>
      </w:pPr>
      <w:r>
        <w:rPr>
          <w:rFonts w:eastAsia="等线" w:ascii="Arial" w:cs="Arial" w:hAnsi="Arial"/>
          <w:b w:val="true"/>
          <w:sz w:val="22"/>
        </w:rPr>
        <w:t>行为预测类</w:t>
      </w:r>
      <w:r>
        <w:rPr>
          <w:rFonts w:eastAsia="等线" w:ascii="Arial" w:cs="Arial" w:hAnsi="Arial"/>
          <w:sz w:val="22"/>
        </w:rPr>
        <w:t>：Argoverse 2（600万激光帧，运动预测场景）、nuPlan（Motional，规划算法基准）</w:t>
      </w:r>
    </w:p>
    <w:p>
      <w:pPr>
        <w:numPr>
          <w:numId w:val="17"/>
        </w:numPr>
        <w:spacing w:before="120" w:after="120" w:line="288" w:lineRule="auto"/>
        <w:ind w:left="0"/>
        <w:jc w:val="left"/>
      </w:pPr>
      <w:r>
        <w:rPr>
          <w:rFonts w:eastAsia="等线" w:ascii="Arial" w:cs="Arial" w:hAnsi="Arial"/>
          <w:b w:val="true"/>
          <w:sz w:val="22"/>
        </w:rPr>
        <w:t>中国特色场景</w:t>
      </w:r>
      <w:r>
        <w:rPr>
          <w:rFonts w:eastAsia="等线" w:ascii="Arial" w:cs="Arial" w:hAnsi="Arial"/>
          <w:sz w:val="22"/>
        </w:rPr>
        <w:t>：东风125万组端到端数据集（BEV融合/点云分割）、中汽创智-清华4D毫米波数据集</w:t>
      </w:r>
    </w:p>
    <w:p>
      <w:pPr>
        <w:numPr>
          <w:numId w:val="18"/>
        </w:numPr>
        <w:spacing w:before="120" w:after="120" w:line="288" w:lineRule="auto"/>
        <w:ind w:left="0"/>
        <w:jc w:val="left"/>
      </w:pPr>
      <w:r>
        <w:rPr>
          <w:rFonts w:eastAsia="等线" w:ascii="Arial" w:cs="Arial" w:hAnsi="Arial"/>
          <w:b w:val="true"/>
          <w:sz w:val="22"/>
        </w:rPr>
        <w:t>仿真数据集</w:t>
      </w:r>
      <w:r>
        <w:rPr>
          <w:rFonts w:eastAsia="等线" w:ascii="Arial" w:cs="Arial" w:hAnsi="Arial"/>
          <w:sz w:val="22"/>
        </w:rPr>
        <w:t>：CARLA（开源仿真场景）、LGSVL（高保真仿真数据集）</w:t>
      </w:r>
    </w:p>
    <w:p>
      <w:pPr>
        <w:pStyle w:val="3"/>
        <w:spacing w:before="300" w:after="120" w:line="288" w:lineRule="auto"/>
        <w:ind w:left="0"/>
        <w:jc w:val="left"/>
        <w:outlineLvl w:val="2"/>
      </w:pPr>
      <w:bookmarkStart w:name="heading_5" w:id="5"/>
      <w:r>
        <w:rPr>
          <w:rFonts w:eastAsia="等线" w:ascii="Arial" w:cs="Arial" w:hAnsi="Arial"/>
          <w:b w:val="true"/>
          <w:sz w:val="30"/>
        </w:rPr>
        <w:t>六、测试基准与评估工具（量化验证依据）</w:t>
      </w:r>
      <w:bookmarkEnd w:id="5"/>
    </w:p>
    <w:p>
      <w:pPr>
        <w:numPr>
          <w:numId w:val="19"/>
        </w:numPr>
        <w:spacing w:before="120" w:after="120" w:line="288" w:lineRule="auto"/>
        <w:ind w:left="0"/>
        <w:jc w:val="left"/>
      </w:pPr>
      <w:r>
        <w:rPr>
          <w:rFonts w:eastAsia="等线" w:ascii="Arial" w:cs="Arial" w:hAnsi="Arial"/>
          <w:b w:val="true"/>
          <w:sz w:val="22"/>
        </w:rPr>
        <w:t>测试基准</w:t>
      </w:r>
      <w:r>
        <w:rPr>
          <w:rFonts w:eastAsia="等线" w:ascii="Arial" w:cs="Arial" w:hAnsi="Arial"/>
          <w:sz w:val="22"/>
        </w:rPr>
        <w:t>：nuScenes 检测/跟踪基准、Waymo Open Dataset 评估指标、DAIR-V2X 车路协同评估基准</w:t>
      </w:r>
    </w:p>
    <w:p>
      <w:pPr>
        <w:numPr>
          <w:numId w:val="20"/>
        </w:numPr>
        <w:spacing w:before="120" w:after="120" w:line="288" w:lineRule="auto"/>
        <w:ind w:left="0"/>
        <w:jc w:val="left"/>
      </w:pPr>
      <w:r>
        <w:rPr>
          <w:rFonts w:eastAsia="等线" w:ascii="Arial" w:cs="Arial" w:hAnsi="Arial"/>
          <w:b w:val="true"/>
          <w:sz w:val="22"/>
        </w:rPr>
        <w:t>评估工具</w:t>
      </w:r>
      <w:r>
        <w:rPr>
          <w:rFonts w:eastAsia="等线" w:ascii="Arial" w:cs="Arial" w:hAnsi="Arial"/>
          <w:sz w:val="22"/>
        </w:rPr>
        <w:t>：NHTSA AV TEST（自动驾驶测试跟踪工具）、加州DMV 脱离报告数据库、Euro NCAP 自动驾驶安全评分体系</w:t>
      </w:r>
    </w:p>
    <w:p>
      <w:pPr>
        <w:numPr>
          <w:numId w:val="21"/>
        </w:numPr>
        <w:spacing w:before="120" w:after="120" w:line="288" w:lineRule="auto"/>
        <w:ind w:left="0"/>
        <w:jc w:val="left"/>
      </w:pPr>
      <w:r>
        <w:rPr>
          <w:rFonts w:eastAsia="等线" w:ascii="Arial" w:cs="Arial" w:hAnsi="Arial"/>
          <w:b w:val="true"/>
          <w:sz w:val="22"/>
        </w:rPr>
        <w:t>仿真测试工具</w:t>
      </w:r>
      <w:r>
        <w:rPr>
          <w:rFonts w:eastAsia="等线" w:ascii="Arial" w:cs="Arial" w:hAnsi="Arial"/>
          <w:sz w:val="22"/>
        </w:rPr>
        <w:t>：CARLA、LGSVL、VTD（部分开源模块）、Prescan（学术版）</w:t>
      </w:r>
    </w:p>
    <w:p>
      <w:pPr>
        <w:pStyle w:val="3"/>
        <w:spacing w:before="300" w:after="120" w:line="288" w:lineRule="auto"/>
        <w:ind w:left="0"/>
        <w:jc w:val="left"/>
        <w:outlineLvl w:val="2"/>
      </w:pPr>
      <w:bookmarkStart w:name="heading_6" w:id="6"/>
      <w:r>
        <w:rPr>
          <w:rFonts w:eastAsia="等线" w:ascii="Arial" w:cs="Arial" w:hAnsi="Arial"/>
          <w:b w:val="true"/>
          <w:sz w:val="30"/>
        </w:rPr>
        <w:t>七、事故与监管报告（安全优化依据）</w:t>
      </w:r>
      <w:bookmarkEnd w:id="6"/>
    </w:p>
    <w:p>
      <w:pPr>
        <w:numPr>
          <w:numId w:val="22"/>
        </w:numPr>
        <w:spacing w:before="120" w:after="120" w:line="288" w:lineRule="auto"/>
        <w:ind w:left="0"/>
        <w:jc w:val="left"/>
      </w:pPr>
      <w:r>
        <w:rPr>
          <w:rFonts w:eastAsia="等线" w:ascii="Arial" w:cs="Arial" w:hAnsi="Arial"/>
          <w:b w:val="true"/>
          <w:sz w:val="22"/>
        </w:rPr>
        <w:t>官方报告</w:t>
      </w:r>
      <w:r>
        <w:rPr>
          <w:rFonts w:eastAsia="等线" w:ascii="Arial" w:cs="Arial" w:hAnsi="Arial"/>
          <w:sz w:val="22"/>
        </w:rPr>
        <w:t>：NHTSA 自动驾驶事故数据库、加州DMV 自动驾驶脱离报告、欧盟自动驾驶事故统计</w:t>
      </w:r>
    </w:p>
    <w:p>
      <w:pPr>
        <w:numPr>
          <w:numId w:val="23"/>
        </w:numPr>
        <w:spacing w:before="120" w:after="120" w:line="288" w:lineRule="auto"/>
        <w:ind w:left="0"/>
        <w:jc w:val="left"/>
      </w:pPr>
      <w:r>
        <w:rPr>
          <w:rFonts w:eastAsia="等线" w:ascii="Arial" w:cs="Arial" w:hAnsi="Arial"/>
          <w:b w:val="true"/>
          <w:sz w:val="22"/>
        </w:rPr>
        <w:t>企业报告</w:t>
      </w:r>
      <w:r>
        <w:rPr>
          <w:rFonts w:eastAsia="等线" w:ascii="Arial" w:cs="Arial" w:hAnsi="Arial"/>
          <w:sz w:val="22"/>
        </w:rPr>
        <w:t>：特斯拉Autopilot安全报告、Waymo安全报告、百度Apollo安全白皮书</w:t>
      </w:r>
    </w:p>
    <w:p>
      <w:pPr>
        <w:numPr>
          <w:numId w:val="24"/>
        </w:numPr>
        <w:spacing w:before="120" w:after="120" w:line="288" w:lineRule="auto"/>
        <w:ind w:left="0"/>
        <w:jc w:val="left"/>
      </w:pPr>
      <w:r>
        <w:rPr>
          <w:rFonts w:eastAsia="等线" w:ascii="Arial" w:cs="Arial" w:hAnsi="Arial"/>
          <w:b w:val="true"/>
          <w:sz w:val="22"/>
        </w:rPr>
        <w:t>研究机构报告</w:t>
      </w:r>
      <w:r>
        <w:rPr>
          <w:rFonts w:eastAsia="等线" w:ascii="Arial" w:cs="Arial" w:hAnsi="Arial"/>
          <w:sz w:val="22"/>
        </w:rPr>
        <w:t>：MIT 自动驾驶安全研究、斯坦福 自动驾驶事故分析</w:t>
      </w:r>
    </w:p>
    <w:p>
      <w:pPr>
        <w:pStyle w:val="3"/>
        <w:spacing w:before="300" w:after="120" w:line="288" w:lineRule="auto"/>
        <w:ind w:left="0"/>
        <w:jc w:val="left"/>
        <w:outlineLvl w:val="2"/>
      </w:pPr>
      <w:bookmarkStart w:name="heading_7" w:id="7"/>
      <w:r>
        <w:rPr>
          <w:rFonts w:eastAsia="等线" w:ascii="Arial" w:cs="Arial" w:hAnsi="Arial"/>
          <w:b w:val="true"/>
          <w:sz w:val="30"/>
        </w:rPr>
        <w:t>八、工具链与资源（开发效率保障）</w:t>
      </w:r>
      <w:bookmarkEnd w:id="7"/>
    </w:p>
    <w:p>
      <w:pPr>
        <w:numPr>
          <w:numId w:val="25"/>
        </w:numPr>
        <w:spacing w:before="120" w:after="120" w:line="288" w:lineRule="auto"/>
        <w:ind w:left="0"/>
        <w:jc w:val="left"/>
      </w:pPr>
      <w:r>
        <w:rPr>
          <w:rFonts w:eastAsia="等线" w:ascii="Arial" w:cs="Arial" w:hAnsi="Arial"/>
          <w:b w:val="true"/>
          <w:sz w:val="22"/>
        </w:rPr>
        <w:t>数据标注工具</w:t>
      </w:r>
      <w:r>
        <w:rPr>
          <w:rFonts w:eastAsia="等线" w:ascii="Arial" w:cs="Arial" w:hAnsi="Arial"/>
          <w:sz w:val="22"/>
        </w:rPr>
        <w:t>：LabelImg（2D标注）、Label3D（3D标注）、Synthetic Data Toolkits（合成数据生成）</w:t>
      </w:r>
    </w:p>
    <w:p>
      <w:pPr>
        <w:numPr>
          <w:numId w:val="26"/>
        </w:numPr>
        <w:spacing w:before="120" w:after="120" w:line="288" w:lineRule="auto"/>
        <w:ind w:left="0"/>
        <w:jc w:val="left"/>
      </w:pPr>
      <w:r>
        <w:rPr>
          <w:rFonts w:eastAsia="等线" w:ascii="Arial" w:cs="Arial" w:hAnsi="Arial"/>
          <w:b w:val="true"/>
          <w:sz w:val="22"/>
        </w:rPr>
        <w:t>开源框架</w:t>
      </w:r>
      <w:r>
        <w:rPr>
          <w:rFonts w:eastAsia="等线" w:ascii="Arial" w:cs="Arial" w:hAnsi="Arial"/>
          <w:sz w:val="22"/>
        </w:rPr>
        <w:t>：Apollo（百度，自动驾驶开源平台）、Autoware（开源自动驾驶软件）、ROS 2（机器人操作系统）</w:t>
      </w:r>
    </w:p>
    <w:p>
      <w:pPr>
        <w:numPr>
          <w:numId w:val="27"/>
        </w:numPr>
        <w:spacing w:before="120" w:after="120" w:line="288" w:lineRule="auto"/>
        <w:ind w:left="0"/>
        <w:jc w:val="left"/>
      </w:pPr>
      <w:r>
        <w:rPr>
          <w:rFonts w:eastAsia="等线" w:ascii="Arial" w:cs="Arial" w:hAnsi="Arial"/>
          <w:b w:val="true"/>
          <w:sz w:val="22"/>
        </w:rPr>
        <w:t>数据处理工具</w:t>
      </w:r>
      <w:r>
        <w:rPr>
          <w:rFonts w:eastAsia="等线" w:ascii="Arial" w:cs="Arial" w:hAnsi="Arial"/>
          <w:sz w:val="22"/>
        </w:rPr>
        <w:t>：OpenCV（视觉处理）、PCL（点云处理）、TensorFlow/PyTorch（模型训练）</w:t>
      </w:r>
    </w:p>
    <w:p>
      <w:pPr>
        <w:pStyle w:val="3"/>
        <w:spacing w:before="300" w:after="120" w:line="288" w:lineRule="auto"/>
        <w:ind w:left="0"/>
        <w:jc w:val="left"/>
        <w:outlineLvl w:val="2"/>
      </w:pPr>
      <w:bookmarkStart w:name="heading_8" w:id="8"/>
      <w:r>
        <w:rPr>
          <w:rFonts w:eastAsia="等线" w:ascii="Arial" w:cs="Arial" w:hAnsi="Arial"/>
          <w:b w:val="true"/>
          <w:sz w:val="30"/>
        </w:rPr>
        <w:t>数据筛选与入库建议</w:t>
      </w:r>
      <w:bookmarkEnd w:id="8"/>
    </w:p>
    <w:p>
      <w:pPr>
        <w:numPr>
          <w:numId w:val="28"/>
        </w:numPr>
        <w:spacing w:before="120" w:after="120" w:line="288" w:lineRule="auto"/>
        <w:ind w:left="0"/>
        <w:jc w:val="left"/>
      </w:pPr>
      <w:r>
        <w:rPr>
          <w:rFonts w:eastAsia="等线" w:ascii="Arial" w:cs="Arial" w:hAnsi="Arial"/>
          <w:b w:val="true"/>
          <w:sz w:val="22"/>
        </w:rPr>
        <w:t>权威性验证</w:t>
      </w:r>
      <w:r>
        <w:rPr>
          <w:rFonts w:eastAsia="等线" w:ascii="Arial" w:cs="Arial" w:hAnsi="Arial"/>
          <w:sz w:val="22"/>
        </w:rPr>
        <w:t>：优先选择ISO/SAE/UNECE 等国际标准、政府/权威机构项目、顶会/核心期刊论文</w:t>
      </w:r>
    </w:p>
    <w:p>
      <w:pPr>
        <w:numPr>
          <w:numId w:val="29"/>
        </w:numPr>
        <w:spacing w:before="120" w:after="120" w:line="288" w:lineRule="auto"/>
        <w:ind w:left="0"/>
        <w:jc w:val="left"/>
      </w:pPr>
      <w:r>
        <w:rPr>
          <w:rFonts w:eastAsia="等线" w:ascii="Arial" w:cs="Arial" w:hAnsi="Arial"/>
          <w:b w:val="true"/>
          <w:sz w:val="22"/>
        </w:rPr>
        <w:t>数据完整性</w:t>
      </w:r>
      <w:r>
        <w:rPr>
          <w:rFonts w:eastAsia="等线" w:ascii="Arial" w:cs="Arial" w:hAnsi="Arial"/>
          <w:sz w:val="22"/>
        </w:rPr>
        <w:t>：确保数据集含标注规范、元数据、使用许可，便于智能助手解析</w:t>
      </w:r>
    </w:p>
    <w:p>
      <w:pPr>
        <w:numPr>
          <w:numId w:val="30"/>
        </w:numPr>
        <w:spacing w:before="120" w:after="120" w:line="288" w:lineRule="auto"/>
        <w:ind w:left="0"/>
        <w:jc w:val="left"/>
      </w:pPr>
      <w:r>
        <w:rPr>
          <w:rFonts w:eastAsia="等线" w:ascii="Arial" w:cs="Arial" w:hAnsi="Arial"/>
          <w:b w:val="true"/>
          <w:sz w:val="22"/>
        </w:rPr>
        <w:t>更新机制</w:t>
      </w:r>
      <w:r>
        <w:rPr>
          <w:rFonts w:eastAsia="等线" w:ascii="Arial" w:cs="Arial" w:hAnsi="Arial"/>
          <w:sz w:val="22"/>
        </w:rPr>
        <w:t>：建立标准更新（如ISO 26262:2018）、项目新产出（如L3Pilot 新数据）的自动同步流程</w:t>
      </w:r>
    </w:p>
    <w:p>
      <w:pPr>
        <w:numPr>
          <w:numId w:val="31"/>
        </w:numPr>
        <w:spacing w:before="120" w:after="120" w:line="288" w:lineRule="auto"/>
        <w:ind w:left="0"/>
        <w:jc w:val="left"/>
      </w:pPr>
      <w:r>
        <w:rPr>
          <w:rFonts w:eastAsia="等线" w:ascii="Arial" w:cs="Arial" w:hAnsi="Arial"/>
          <w:b w:val="true"/>
          <w:sz w:val="22"/>
        </w:rPr>
        <w:t>合规性</w:t>
      </w:r>
      <w:r>
        <w:rPr>
          <w:rFonts w:eastAsia="等线" w:ascii="Arial" w:cs="Arial" w:hAnsi="Arial"/>
          <w:sz w:val="22"/>
        </w:rPr>
        <w:t>：注意数据许可（如Waymo 非商用）、隐私保护（匿名化处理）</w:t>
      </w:r>
    </w:p>
    <w:p>
      <w:pPr>
        <w:pStyle w:val="3"/>
        <w:spacing w:before="300" w:after="120" w:line="288" w:lineRule="auto"/>
        <w:ind w:left="0"/>
        <w:jc w:val="left"/>
        <w:outlineLvl w:val="2"/>
      </w:pPr>
      <w:bookmarkStart w:name="heading_9" w:id="9"/>
      <w:r>
        <w:rPr>
          <w:rFonts w:eastAsia="等线" w:ascii="Arial" w:cs="Arial" w:hAnsi="Arial"/>
          <w:b w:val="true"/>
          <w:sz w:val="30"/>
        </w:rPr>
        <w:t>智能助手数据库构建要点</w:t>
      </w:r>
      <w:bookmarkEnd w:id="9"/>
    </w:p>
    <w:p>
      <w:pPr>
        <w:numPr>
          <w:numId w:val="32"/>
        </w:numPr>
        <w:spacing w:before="120" w:after="120" w:line="288" w:lineRule="auto"/>
        <w:ind w:left="0"/>
        <w:jc w:val="left"/>
      </w:pPr>
      <w:r>
        <w:rPr>
          <w:rFonts w:eastAsia="等线" w:ascii="Arial" w:cs="Arial" w:hAnsi="Arial"/>
          <w:b w:val="true"/>
          <w:sz w:val="22"/>
        </w:rPr>
        <w:t>分类索引</w:t>
      </w:r>
      <w:r>
        <w:rPr>
          <w:rFonts w:eastAsia="等线" w:ascii="Arial" w:cs="Arial" w:hAnsi="Arial"/>
          <w:sz w:val="22"/>
        </w:rPr>
        <w:t>：按标准/项目/数据集/论文/工具链 分类，支持关键词检索</w:t>
      </w:r>
    </w:p>
    <w:p>
      <w:pPr>
        <w:numPr>
          <w:numId w:val="33"/>
        </w:numPr>
        <w:spacing w:before="120" w:after="120" w:line="288" w:lineRule="auto"/>
        <w:ind w:left="0"/>
        <w:jc w:val="left"/>
      </w:pPr>
      <w:r>
        <w:rPr>
          <w:rFonts w:eastAsia="等线" w:ascii="Arial" w:cs="Arial" w:hAnsi="Arial"/>
          <w:b w:val="true"/>
          <w:sz w:val="22"/>
        </w:rPr>
        <w:t>关联映射</w:t>
      </w:r>
      <w:r>
        <w:rPr>
          <w:rFonts w:eastAsia="等线" w:ascii="Arial" w:cs="Arial" w:hAnsi="Arial"/>
          <w:sz w:val="22"/>
        </w:rPr>
        <w:t>：建立标准-项目-数据集-论文的关联，如ISO 21448→ENABLE-S3→L3Pilot数据→相关SOTIF论文</w:t>
      </w:r>
    </w:p>
    <w:p>
      <w:pPr>
        <w:numPr>
          <w:numId w:val="34"/>
        </w:numPr>
        <w:spacing w:before="120" w:after="120" w:line="288" w:lineRule="auto"/>
        <w:ind w:left="0"/>
        <w:jc w:val="left"/>
      </w:pPr>
      <w:r>
        <w:rPr>
          <w:rFonts w:eastAsia="等线" w:ascii="Arial" w:cs="Arial" w:hAnsi="Arial"/>
          <w:b w:val="true"/>
          <w:sz w:val="22"/>
        </w:rPr>
        <w:t>问答模板</w:t>
      </w:r>
      <w:r>
        <w:rPr>
          <w:rFonts w:eastAsia="等线" w:ascii="Arial" w:cs="Arial" w:hAnsi="Arial"/>
          <w:sz w:val="22"/>
        </w:rPr>
        <w:t>：基于标准/项目内容，构建合规/安全/测试 相关的问答模板，提升智能助手响应效率</w:t>
      </w:r>
    </w:p>
    <w:sectPr>
      <w:footerReference w:type="default" r:id="rId3"/>
      <w:headerReference w:type="default" r:id="rId6"/>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numbering.xml><?xml version="1.0" encoding="utf-8"?>
<w:numbering xmlns:w="http://schemas.openxmlformats.org/wordprocessingml/2006/main">
  <w:abstractNum w:abstractNumId="524703">
    <w:lvl>
      <w:numFmt w:val="bullet"/>
      <w:suff w:val="tab"/>
      <w:lvlText w:val="•"/>
      <w:rPr>
        <w:color w:val="3370ff"/>
      </w:rPr>
    </w:lvl>
  </w:abstractNum>
  <w:abstractNum w:abstractNumId="524704">
    <w:lvl>
      <w:numFmt w:val="bullet"/>
      <w:suff w:val="tab"/>
      <w:lvlText w:val="•"/>
      <w:rPr>
        <w:color w:val="3370ff"/>
      </w:rPr>
    </w:lvl>
  </w:abstractNum>
  <w:abstractNum w:abstractNumId="524705">
    <w:lvl>
      <w:numFmt w:val="bullet"/>
      <w:suff w:val="tab"/>
      <w:lvlText w:val="•"/>
      <w:rPr>
        <w:color w:val="3370ff"/>
      </w:rPr>
    </w:lvl>
  </w:abstractNum>
  <w:abstractNum w:abstractNumId="524706">
    <w:lvl>
      <w:numFmt w:val="bullet"/>
      <w:suff w:val="tab"/>
      <w:lvlText w:val="•"/>
      <w:rPr>
        <w:color w:val="3370ff"/>
      </w:rPr>
    </w:lvl>
  </w:abstractNum>
  <w:abstractNum w:abstractNumId="524707">
    <w:lvl>
      <w:numFmt w:val="bullet"/>
      <w:suff w:val="tab"/>
      <w:lvlText w:val="•"/>
      <w:rPr>
        <w:color w:val="3370ff"/>
      </w:rPr>
    </w:lvl>
  </w:abstractNum>
  <w:abstractNum w:abstractNumId="524708">
    <w:lvl>
      <w:numFmt w:val="bullet"/>
      <w:suff w:val="tab"/>
      <w:lvlText w:val="•"/>
      <w:rPr>
        <w:color w:val="3370ff"/>
      </w:rPr>
    </w:lvl>
  </w:abstractNum>
  <w:abstractNum w:abstractNumId="524709">
    <w:lvl>
      <w:numFmt w:val="bullet"/>
      <w:suff w:val="tab"/>
      <w:lvlText w:val="•"/>
      <w:rPr>
        <w:color w:val="3370ff"/>
      </w:rPr>
    </w:lvl>
  </w:abstractNum>
  <w:abstractNum w:abstractNumId="524710">
    <w:lvl>
      <w:numFmt w:val="bullet"/>
      <w:suff w:val="tab"/>
      <w:lvlText w:val="•"/>
      <w:rPr>
        <w:color w:val="3370ff"/>
      </w:rPr>
    </w:lvl>
  </w:abstractNum>
  <w:abstractNum w:abstractNumId="524711">
    <w:lvl>
      <w:numFmt w:val="bullet"/>
      <w:suff w:val="tab"/>
      <w:lvlText w:val="•"/>
      <w:rPr>
        <w:color w:val="3370ff"/>
      </w:rPr>
    </w:lvl>
  </w:abstractNum>
  <w:abstractNum w:abstractNumId="524712">
    <w:lvl>
      <w:numFmt w:val="bullet"/>
      <w:suff w:val="tab"/>
      <w:lvlText w:val="•"/>
      <w:rPr>
        <w:color w:val="3370ff"/>
      </w:rPr>
    </w:lvl>
  </w:abstractNum>
  <w:abstractNum w:abstractNumId="524713">
    <w:lvl>
      <w:numFmt w:val="bullet"/>
      <w:suff w:val="tab"/>
      <w:lvlText w:val="•"/>
      <w:rPr>
        <w:color w:val="3370ff"/>
      </w:rPr>
    </w:lvl>
  </w:abstractNum>
  <w:abstractNum w:abstractNumId="524714">
    <w:lvl>
      <w:numFmt w:val="bullet"/>
      <w:suff w:val="tab"/>
      <w:lvlText w:val="•"/>
      <w:rPr>
        <w:color w:val="3370ff"/>
      </w:rPr>
    </w:lvl>
  </w:abstractNum>
  <w:abstractNum w:abstractNumId="524715">
    <w:lvl>
      <w:numFmt w:val="bullet"/>
      <w:suff w:val="tab"/>
      <w:lvlText w:val="•"/>
      <w:rPr>
        <w:color w:val="3370ff"/>
      </w:rPr>
    </w:lvl>
  </w:abstractNum>
  <w:abstractNum w:abstractNumId="524716">
    <w:lvl>
      <w:numFmt w:val="bullet"/>
      <w:suff w:val="tab"/>
      <w:lvlText w:val="•"/>
      <w:rPr>
        <w:color w:val="3370ff"/>
      </w:rPr>
    </w:lvl>
  </w:abstractNum>
  <w:abstractNum w:abstractNumId="524717">
    <w:lvl>
      <w:numFmt w:val="bullet"/>
      <w:suff w:val="tab"/>
      <w:lvlText w:val="•"/>
      <w:rPr>
        <w:color w:val="3370ff"/>
      </w:rPr>
    </w:lvl>
  </w:abstractNum>
  <w:abstractNum w:abstractNumId="524718">
    <w:lvl>
      <w:numFmt w:val="bullet"/>
      <w:suff w:val="tab"/>
      <w:lvlText w:val="•"/>
      <w:rPr>
        <w:color w:val="3370ff"/>
      </w:rPr>
    </w:lvl>
  </w:abstractNum>
  <w:abstractNum w:abstractNumId="524719">
    <w:lvl>
      <w:numFmt w:val="bullet"/>
      <w:suff w:val="tab"/>
      <w:lvlText w:val="•"/>
      <w:rPr>
        <w:color w:val="3370ff"/>
      </w:rPr>
    </w:lvl>
  </w:abstractNum>
  <w:abstractNum w:abstractNumId="524720">
    <w:lvl>
      <w:numFmt w:val="bullet"/>
      <w:suff w:val="tab"/>
      <w:lvlText w:val="•"/>
      <w:rPr>
        <w:color w:val="3370ff"/>
      </w:rPr>
    </w:lvl>
  </w:abstractNum>
  <w:abstractNum w:abstractNumId="524721">
    <w:lvl>
      <w:numFmt w:val="bullet"/>
      <w:suff w:val="tab"/>
      <w:lvlText w:val="•"/>
      <w:rPr>
        <w:color w:val="3370ff"/>
      </w:rPr>
    </w:lvl>
  </w:abstractNum>
  <w:abstractNum w:abstractNumId="524722">
    <w:lvl>
      <w:numFmt w:val="bullet"/>
      <w:suff w:val="tab"/>
      <w:lvlText w:val="•"/>
      <w:rPr>
        <w:color w:val="3370ff"/>
      </w:rPr>
    </w:lvl>
  </w:abstractNum>
  <w:abstractNum w:abstractNumId="524723">
    <w:lvl>
      <w:numFmt w:val="bullet"/>
      <w:suff w:val="tab"/>
      <w:lvlText w:val="•"/>
      <w:rPr>
        <w:color w:val="3370ff"/>
      </w:rPr>
    </w:lvl>
  </w:abstractNum>
  <w:abstractNum w:abstractNumId="524724">
    <w:lvl>
      <w:numFmt w:val="bullet"/>
      <w:suff w:val="tab"/>
      <w:lvlText w:val="•"/>
      <w:rPr>
        <w:color w:val="3370ff"/>
      </w:rPr>
    </w:lvl>
  </w:abstractNum>
  <w:abstractNum w:abstractNumId="524725">
    <w:lvl>
      <w:numFmt w:val="bullet"/>
      <w:suff w:val="tab"/>
      <w:lvlText w:val="•"/>
      <w:rPr>
        <w:color w:val="3370ff"/>
      </w:rPr>
    </w:lvl>
  </w:abstractNum>
  <w:abstractNum w:abstractNumId="524726">
    <w:lvl>
      <w:numFmt w:val="bullet"/>
      <w:suff w:val="tab"/>
      <w:lvlText w:val="•"/>
      <w:rPr>
        <w:color w:val="3370ff"/>
      </w:rPr>
    </w:lvl>
  </w:abstractNum>
  <w:abstractNum w:abstractNumId="524727">
    <w:lvl>
      <w:numFmt w:val="bullet"/>
      <w:suff w:val="tab"/>
      <w:lvlText w:val="•"/>
      <w:rPr>
        <w:color w:val="3370ff"/>
      </w:rPr>
    </w:lvl>
  </w:abstractNum>
  <w:abstractNum w:abstractNumId="524728">
    <w:lvl>
      <w:numFmt w:val="bullet"/>
      <w:suff w:val="tab"/>
      <w:lvlText w:val="•"/>
      <w:rPr>
        <w:color w:val="3370ff"/>
      </w:rPr>
    </w:lvl>
  </w:abstractNum>
  <w:abstractNum w:abstractNumId="524729">
    <w:lvl>
      <w:numFmt w:val="bullet"/>
      <w:suff w:val="tab"/>
      <w:lvlText w:val="•"/>
      <w:rPr>
        <w:color w:val="3370ff"/>
      </w:rPr>
    </w:lvl>
  </w:abstractNum>
  <w:abstractNum w:abstractNumId="524730">
    <w:lvl>
      <w:start w:val="1"/>
      <w:numFmt w:val="decimal"/>
      <w:suff w:val="tab"/>
      <w:lvlText w:val="%1."/>
      <w:rPr>
        <w:color w:val="3370ff"/>
      </w:rPr>
    </w:lvl>
  </w:abstractNum>
  <w:abstractNum w:abstractNumId="524731">
    <w:lvl>
      <w:start w:val="2"/>
      <w:numFmt w:val="decimal"/>
      <w:suff w:val="tab"/>
      <w:lvlText w:val="%1."/>
      <w:rPr>
        <w:color w:val="3370ff"/>
      </w:rPr>
    </w:lvl>
  </w:abstractNum>
  <w:abstractNum w:abstractNumId="524732">
    <w:lvl>
      <w:start w:val="3"/>
      <w:numFmt w:val="decimal"/>
      <w:suff w:val="tab"/>
      <w:lvlText w:val="%1."/>
      <w:rPr>
        <w:color w:val="3370ff"/>
      </w:rPr>
    </w:lvl>
  </w:abstractNum>
  <w:abstractNum w:abstractNumId="524733">
    <w:lvl>
      <w:start w:val="4"/>
      <w:numFmt w:val="decimal"/>
      <w:suff w:val="tab"/>
      <w:lvlText w:val="%1."/>
      <w:rPr>
        <w:color w:val="3370ff"/>
      </w:rPr>
    </w:lvl>
  </w:abstractNum>
  <w:abstractNum w:abstractNumId="524734">
    <w:lvl>
      <w:numFmt w:val="bullet"/>
      <w:suff w:val="tab"/>
      <w:lvlText w:val="•"/>
      <w:rPr>
        <w:color w:val="3370ff"/>
      </w:rPr>
    </w:lvl>
  </w:abstractNum>
  <w:abstractNum w:abstractNumId="524735">
    <w:lvl>
      <w:numFmt w:val="bullet"/>
      <w:suff w:val="tab"/>
      <w:lvlText w:val="•"/>
      <w:rPr>
        <w:color w:val="3370ff"/>
      </w:rPr>
    </w:lvl>
  </w:abstractNum>
  <w:abstractNum w:abstractNumId="524736">
    <w:lvl>
      <w:numFmt w:val="bullet"/>
      <w:suff w:val="tab"/>
      <w:lvlText w:val="•"/>
      <w:rPr>
        <w:color w:val="3370ff"/>
      </w:rPr>
    </w:lvl>
  </w:abstractNum>
  <w:num w:numId="1">
    <w:abstractNumId w:val="524703"/>
  </w:num>
  <w:num w:numId="2">
    <w:abstractNumId w:val="524704"/>
  </w:num>
  <w:num w:numId="3">
    <w:abstractNumId w:val="524705"/>
  </w:num>
  <w:num w:numId="4">
    <w:abstractNumId w:val="524706"/>
  </w:num>
  <w:num w:numId="5">
    <w:abstractNumId w:val="524707"/>
  </w:num>
  <w:num w:numId="6">
    <w:abstractNumId w:val="524708"/>
  </w:num>
  <w:num w:numId="7">
    <w:abstractNumId w:val="524709"/>
  </w:num>
  <w:num w:numId="8">
    <w:abstractNumId w:val="524710"/>
  </w:num>
  <w:num w:numId="9">
    <w:abstractNumId w:val="524711"/>
  </w:num>
  <w:num w:numId="10">
    <w:abstractNumId w:val="524712"/>
  </w:num>
  <w:num w:numId="11">
    <w:abstractNumId w:val="524713"/>
  </w:num>
  <w:num w:numId="12">
    <w:abstractNumId w:val="524714"/>
  </w:num>
  <w:num w:numId="13">
    <w:abstractNumId w:val="524715"/>
  </w:num>
  <w:num w:numId="14">
    <w:abstractNumId w:val="524716"/>
  </w:num>
  <w:num w:numId="15">
    <w:abstractNumId w:val="524717"/>
  </w:num>
  <w:num w:numId="16">
    <w:abstractNumId w:val="524718"/>
  </w:num>
  <w:num w:numId="17">
    <w:abstractNumId w:val="524719"/>
  </w:num>
  <w:num w:numId="18">
    <w:abstractNumId w:val="524720"/>
  </w:num>
  <w:num w:numId="19">
    <w:abstractNumId w:val="524721"/>
  </w:num>
  <w:num w:numId="20">
    <w:abstractNumId w:val="524722"/>
  </w:num>
  <w:num w:numId="21">
    <w:abstractNumId w:val="524723"/>
  </w:num>
  <w:num w:numId="22">
    <w:abstractNumId w:val="524724"/>
  </w:num>
  <w:num w:numId="23">
    <w:abstractNumId w:val="524725"/>
  </w:num>
  <w:num w:numId="24">
    <w:abstractNumId w:val="524726"/>
  </w:num>
  <w:num w:numId="25">
    <w:abstractNumId w:val="524727"/>
  </w:num>
  <w:num w:numId="26">
    <w:abstractNumId w:val="524728"/>
  </w:num>
  <w:num w:numId="27">
    <w:abstractNumId w:val="524729"/>
  </w:num>
  <w:num w:numId="28">
    <w:abstractNumId w:val="524730"/>
  </w:num>
  <w:num w:numId="29">
    <w:abstractNumId w:val="524731"/>
  </w:num>
  <w:num w:numId="30">
    <w:abstractNumId w:val="524732"/>
  </w:num>
  <w:num w:numId="31">
    <w:abstractNumId w:val="524733"/>
  </w:num>
  <w:num w:numId="32">
    <w:abstractNumId w:val="524734"/>
  </w:num>
  <w:num w:numId="33">
    <w:abstractNumId w:val="524735"/>
  </w:num>
  <w:num w:numId="34">
    <w:abstractNumId w:val="524736"/>
  </w:num>
</w:numbering>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ttps://www.doubao.com/thread/w9a30f85b2d7ac865" TargetMode="External" Type="http://schemas.openxmlformats.org/officeDocument/2006/relationships/hyperlink"/><Relationship Id="rId5" Target="numbering.xml" Type="http://schemas.openxmlformats.org/officeDocument/2006/relationships/numbering"/><Relationship Id="rId6"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2026-04-06T19:24:20Z</dcterms:created>
  <dc:creator>Apache POI</dc:creator>
</cp:coreProperties>
</file>