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SimHei" w:hAnsi="SimHei" w:eastAsia="SimHei"/>
          <w:b/>
          <w:sz w:val="56"/>
        </w:rPr>
        <w:t>技术文档 v1</w:t>
      </w:r>
    </w:p>
    <w:p>
      <w:pPr>
        <w:jc w:val="center"/>
      </w:pPr>
      <w:r>
        <w:rPr>
          <w:rFonts w:ascii="SimHei" w:hAnsi="SimHei" w:eastAsia="Sim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SimHei" w:hAnsi="SimHei" w:eastAsia="SimHei"/>
          <w:b/>
          <w:sz w:val="36"/>
        </w:rPr>
        <w:t>1. 概述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2. 系统架构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pytest，当前 141 passed（含代理隔离回归）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3. 核心算法与门控逻辑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 chitchat。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4. 安全设计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5. 评测与质量保障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141 passed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延迟与可部署性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评审看可落地性会问延迟。本机单线程实测 800 次（含审计 JSONL 同步写盘，不含网络与 LLM）。数字随机器与负载波动，跑 scripts/bench_latency.py 可自行复现：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均值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p95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放行-咨询（走产品查询）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4.52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4.93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最重路径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拦截-保本话术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1.90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2.26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纯规则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拦截-注入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1.88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2.20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含编码归一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放行-小额转账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2.56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2.23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含金额解析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合计 800 次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2–3 ms 量级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&lt; 5 ms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偶发 ~100ms（首次写盘，未剔除）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口径说明：不含真实 LLM 推理（当前版本未接 LLM）、不含网络往返。接 LLM 后真实端到端延迟由模型决定（通常 300ms–2s），本数字只代表合规门这一层的固定开销——也就是说加这层门不会成为延迟瓶颈。两个离群值（124ms / 25ms）是首次写盘抖动，未剔除。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完整报告：docs/工程指标_延迟与可部署性_20261020.md；脚本：scripts/bench_latency.py。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5.5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pytest -q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docs/评测报告_有无合规门对照_20261020.md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延迟与可部署性</w:t>
            </w:r>
          </w:p>
        </w:tc>
        <w:tc>
          <w:tcPr>
            <w:tcW w:type="dxa" w:w="4759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docs/工程指标_延迟与可部署性_20261020.md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