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135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延迟与可部署性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评审看可落地性会问延迟。本机单线程实测 800 次（含审计 JSONL 同步写盘，不含网络与 LLM）。数字随机器与负载波动，跑 scripts/bench_latency.py 可自行复现：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均值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p95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放行-咨询（走产品查询）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4.52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4.93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最重路径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拦截-保本话术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1.90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纯规则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拦截-注入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1.88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含编码归一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放行-小额转账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2.56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含金额解析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合计 800 次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2–3 ms 量级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 5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偶发 ~100ms（首次写盘，未剔除）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口径说明：不含真实 LLM 推理（当前版本未接 LLM）、不含网络往返。接 LLM 后真实端到端延迟由模型决定（通常 300ms–2s），本数字只代表合规门这一层的固定开销——也就是说加这层门不会成为延迟瓶颈。两个离群值（124ms / 25ms）是首次写盘抖动，未剔除。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完整报告：docs/工程指标_延迟与可部署性_20261020.md；脚本：scripts/bench_latency.py。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docs/评测报告_有无合规门对照_20261020.md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延迟与可部署性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docs/工程指标_延迟与可部署性_20261020.md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