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3363C" w:rsidRDefault="00C3363C">
      <w:pPr>
        <w:snapToGrid w:val="0"/>
        <w:spacing w:line="360" w:lineRule="auto"/>
        <w:ind w:firstLine="880"/>
        <w:jc w:val="center"/>
        <w:rPr>
          <w:rFonts w:ascii="仿宋_GB2312" w:eastAsia="仿宋_GB2312" w:hAnsi="仿宋_GB2312" w:cs="仿宋_GB2312"/>
          <w:bCs/>
          <w:sz w:val="44"/>
          <w:szCs w:val="44"/>
        </w:rPr>
      </w:pPr>
    </w:p>
    <w:p w:rsidR="00C3363C" w:rsidRDefault="00C3363C">
      <w:pPr>
        <w:snapToGrid w:val="0"/>
        <w:spacing w:line="360" w:lineRule="auto"/>
        <w:ind w:firstLine="880"/>
        <w:jc w:val="center"/>
        <w:rPr>
          <w:rFonts w:ascii="仿宋_GB2312" w:eastAsia="仿宋_GB2312" w:hAnsi="仿宋_GB2312" w:cs="仿宋_GB2312"/>
          <w:bCs/>
          <w:sz w:val="44"/>
          <w:szCs w:val="44"/>
        </w:rPr>
      </w:pPr>
    </w:p>
    <w:p w:rsidR="00C3363C" w:rsidRDefault="00C3363C">
      <w:pPr>
        <w:snapToGrid w:val="0"/>
        <w:spacing w:line="360" w:lineRule="auto"/>
        <w:ind w:firstLine="880"/>
        <w:rPr>
          <w:rFonts w:ascii="仿宋_GB2312" w:eastAsia="仿宋_GB2312" w:hAnsi="仿宋_GB2312" w:cs="仿宋_GB2312"/>
          <w:bCs/>
          <w:sz w:val="44"/>
          <w:szCs w:val="44"/>
        </w:rPr>
      </w:pPr>
    </w:p>
    <w:p w:rsidR="00C3363C" w:rsidRDefault="0082505F">
      <w:pPr>
        <w:snapToGrid w:val="0"/>
        <w:spacing w:line="360" w:lineRule="auto"/>
        <w:ind w:firstLineChars="0" w:firstLine="0"/>
        <w:jc w:val="center"/>
        <w:rPr>
          <w:rFonts w:ascii="仿宋_GB2312" w:eastAsia="仿宋_GB2312" w:hAnsi="仿宋_GB2312" w:cs="仿宋_GB2312"/>
          <w:b/>
          <w:szCs w:val="32"/>
        </w:rPr>
      </w:pPr>
      <w:r>
        <w:rPr>
          <w:rFonts w:ascii="仿宋_GB2312" w:eastAsia="仿宋_GB2312" w:hAnsi="仿宋_GB2312" w:cs="仿宋_GB2312" w:hint="eastAsia"/>
          <w:b/>
          <w:sz w:val="44"/>
          <w:szCs w:val="44"/>
        </w:rPr>
        <w:t>基于精益财务管控的基层供电所提质增效</w:t>
      </w:r>
    </w:p>
    <w:p w:rsidR="00C3363C" w:rsidRDefault="00C3363C">
      <w:pPr>
        <w:snapToGrid w:val="0"/>
        <w:spacing w:line="360" w:lineRule="auto"/>
        <w:ind w:firstLine="560"/>
        <w:jc w:val="center"/>
        <w:rPr>
          <w:rFonts w:ascii="仿宋_GB2312" w:eastAsia="仿宋_GB2312" w:hAnsi="仿宋_GB2312" w:cs="仿宋_GB2312"/>
          <w:bCs/>
          <w:szCs w:val="32"/>
        </w:rPr>
      </w:pPr>
    </w:p>
    <w:p w:rsidR="00C3363C" w:rsidRDefault="0082505F">
      <w:pPr>
        <w:snapToGrid w:val="0"/>
        <w:spacing w:line="360" w:lineRule="auto"/>
        <w:ind w:firstLine="560"/>
        <w:jc w:val="center"/>
        <w:rPr>
          <w:rFonts w:ascii="仿宋_GB2312" w:eastAsia="仿宋_GB2312" w:hAnsi="仿宋_GB2312" w:cs="仿宋_GB2312"/>
          <w:bCs/>
          <w:szCs w:val="32"/>
        </w:rPr>
      </w:pPr>
      <w:r>
        <w:rPr>
          <w:rFonts w:ascii="仿宋_GB2312" w:eastAsia="仿宋_GB2312" w:hAnsi="仿宋_GB2312" w:cs="仿宋_GB2312" w:hint="eastAsia"/>
          <w:bCs/>
          <w:szCs w:val="32"/>
        </w:rPr>
        <w:t>——国网孝感供电公司管理创新成果报告</w:t>
      </w:r>
    </w:p>
    <w:p w:rsidR="00C3363C" w:rsidRDefault="00C3363C">
      <w:pPr>
        <w:snapToGrid w:val="0"/>
        <w:spacing w:line="360" w:lineRule="auto"/>
        <w:ind w:firstLine="560"/>
        <w:rPr>
          <w:rFonts w:ascii="仿宋_GB2312" w:eastAsia="仿宋_GB2312" w:hAnsi="仿宋_GB2312" w:cs="仿宋_GB2312"/>
        </w:rPr>
      </w:pPr>
    </w:p>
    <w:p w:rsidR="00C3363C" w:rsidRDefault="00C3363C">
      <w:pPr>
        <w:snapToGrid w:val="0"/>
        <w:spacing w:line="360" w:lineRule="auto"/>
        <w:ind w:firstLine="560"/>
        <w:rPr>
          <w:rFonts w:ascii="仿宋_GB2312" w:eastAsia="仿宋_GB2312" w:hAnsi="仿宋_GB2312" w:cs="仿宋_GB2312"/>
        </w:rPr>
      </w:pPr>
    </w:p>
    <w:p w:rsidR="00C3363C" w:rsidRDefault="00C3363C">
      <w:pPr>
        <w:snapToGrid w:val="0"/>
        <w:spacing w:line="360" w:lineRule="auto"/>
        <w:ind w:firstLine="560"/>
        <w:rPr>
          <w:rFonts w:ascii="仿宋_GB2312" w:eastAsia="仿宋_GB2312" w:hAnsi="仿宋_GB2312" w:cs="仿宋_GB2312"/>
        </w:rPr>
      </w:pPr>
    </w:p>
    <w:p w:rsidR="00C3363C" w:rsidRDefault="00C3363C">
      <w:pPr>
        <w:snapToGrid w:val="0"/>
        <w:spacing w:line="360" w:lineRule="auto"/>
        <w:ind w:firstLine="560"/>
        <w:rPr>
          <w:rFonts w:ascii="仿宋_GB2312" w:eastAsia="仿宋_GB2312" w:hAnsi="仿宋_GB2312" w:cs="仿宋_GB2312"/>
        </w:rPr>
      </w:pPr>
    </w:p>
    <w:p w:rsidR="00C3363C" w:rsidRDefault="00C3363C">
      <w:pPr>
        <w:snapToGrid w:val="0"/>
        <w:spacing w:line="360" w:lineRule="auto"/>
        <w:ind w:firstLine="560"/>
        <w:rPr>
          <w:rFonts w:ascii="仿宋_GB2312" w:eastAsia="仿宋_GB2312" w:hAnsi="仿宋_GB2312" w:cs="仿宋_GB2312"/>
        </w:rPr>
      </w:pPr>
    </w:p>
    <w:p w:rsidR="00C3363C" w:rsidRDefault="00C3363C">
      <w:pPr>
        <w:snapToGrid w:val="0"/>
        <w:spacing w:line="360" w:lineRule="auto"/>
        <w:ind w:firstLine="560"/>
        <w:rPr>
          <w:rFonts w:ascii="仿宋_GB2312" w:eastAsia="仿宋_GB2312" w:hAnsi="仿宋_GB2312" w:cs="仿宋_GB2312"/>
        </w:rPr>
      </w:pPr>
    </w:p>
    <w:p w:rsidR="00C3363C" w:rsidRDefault="00C3363C">
      <w:pPr>
        <w:snapToGrid w:val="0"/>
        <w:spacing w:line="360" w:lineRule="auto"/>
        <w:ind w:firstLine="560"/>
        <w:jc w:val="center"/>
        <w:rPr>
          <w:rFonts w:ascii="仿宋_GB2312" w:eastAsia="仿宋_GB2312" w:hAnsi="仿宋_GB2312" w:cs="仿宋_GB2312"/>
        </w:rPr>
      </w:pPr>
    </w:p>
    <w:p w:rsidR="00C3363C" w:rsidRDefault="00C3363C">
      <w:pPr>
        <w:snapToGrid w:val="0"/>
        <w:spacing w:line="360" w:lineRule="auto"/>
        <w:ind w:firstLine="720"/>
        <w:jc w:val="center"/>
        <w:rPr>
          <w:rFonts w:ascii="仿宋_GB2312" w:eastAsia="仿宋_GB2312" w:hAnsi="仿宋_GB2312" w:cs="仿宋_GB2312"/>
          <w:sz w:val="36"/>
          <w:szCs w:val="36"/>
        </w:rPr>
      </w:pPr>
    </w:p>
    <w:p w:rsidR="00C3363C" w:rsidRDefault="0082505F">
      <w:pPr>
        <w:snapToGrid w:val="0"/>
        <w:spacing w:line="360" w:lineRule="auto"/>
        <w:ind w:firstLine="720"/>
        <w:jc w:val="center"/>
        <w:rPr>
          <w:rFonts w:ascii="仿宋_GB2312" w:eastAsia="仿宋_GB2312" w:hAnsi="仿宋_GB2312" w:cs="仿宋_GB2312"/>
          <w:sz w:val="36"/>
          <w:szCs w:val="36"/>
        </w:rPr>
      </w:pPr>
      <w:r>
        <w:rPr>
          <w:rFonts w:ascii="仿宋_GB2312" w:eastAsia="仿宋_GB2312" w:hAnsi="仿宋_GB2312" w:cs="仿宋_GB2312" w:hint="eastAsia"/>
          <w:sz w:val="36"/>
          <w:szCs w:val="36"/>
        </w:rPr>
        <w:t>国网孝感供电公司</w:t>
      </w:r>
    </w:p>
    <w:p w:rsidR="00C3363C" w:rsidRDefault="0082505F">
      <w:pPr>
        <w:snapToGrid w:val="0"/>
        <w:spacing w:line="360" w:lineRule="auto"/>
        <w:ind w:firstLine="720"/>
        <w:jc w:val="center"/>
        <w:rPr>
          <w:rFonts w:ascii="仿宋_GB2312" w:eastAsia="仿宋_GB2312" w:hAnsi="仿宋_GB2312" w:cs="仿宋_GB2312"/>
          <w:sz w:val="36"/>
          <w:szCs w:val="36"/>
        </w:rPr>
      </w:pPr>
      <w:r>
        <w:rPr>
          <w:rFonts w:ascii="仿宋_GB2312" w:eastAsia="仿宋_GB2312" w:hAnsi="仿宋_GB2312" w:cs="仿宋_GB2312" w:hint="eastAsia"/>
          <w:sz w:val="36"/>
          <w:szCs w:val="36"/>
        </w:rPr>
        <w:t>2</w:t>
      </w:r>
      <w:r>
        <w:rPr>
          <w:rFonts w:ascii="仿宋_GB2312" w:eastAsia="仿宋_GB2312" w:hAnsi="仿宋_GB2312" w:cs="仿宋_GB2312" w:hint="eastAsia"/>
          <w:sz w:val="36"/>
          <w:szCs w:val="36"/>
        </w:rPr>
        <w:t>０２０年</w:t>
      </w:r>
      <w:r>
        <w:rPr>
          <w:rFonts w:ascii="仿宋_GB2312" w:eastAsia="仿宋_GB2312" w:hAnsi="仿宋_GB2312" w:cs="仿宋_GB2312" w:hint="eastAsia"/>
          <w:sz w:val="36"/>
          <w:szCs w:val="36"/>
        </w:rPr>
        <w:t>8</w:t>
      </w:r>
      <w:r>
        <w:rPr>
          <w:rFonts w:ascii="仿宋_GB2312" w:eastAsia="仿宋_GB2312" w:hAnsi="仿宋_GB2312" w:cs="仿宋_GB2312" w:hint="eastAsia"/>
          <w:sz w:val="36"/>
          <w:szCs w:val="36"/>
        </w:rPr>
        <w:t>月</w:t>
      </w:r>
    </w:p>
    <w:bookmarkStart w:id="0" w:name="_Toc30081_WPSOffice_Type3" w:displacedByCustomXml="next"/>
    <w:sdt>
      <w:sdtPr>
        <w:rPr>
          <w:rFonts w:ascii="仿宋_GB2312" w:eastAsia="仿宋_GB2312" w:hAnsi="仿宋_GB2312" w:cs="仿宋_GB2312" w:hint="eastAsia"/>
          <w:kern w:val="0"/>
          <w:sz w:val="20"/>
          <w:szCs w:val="20"/>
        </w:rPr>
        <w:id w:val="1134600446"/>
        <w15:color w:val="DBDBDB"/>
      </w:sdtPr>
      <w:sdtEndPr>
        <w:rPr>
          <w:sz w:val="24"/>
          <w:szCs w:val="24"/>
        </w:rPr>
      </w:sdtEndPr>
      <w:sdtContent>
        <w:p w:rsidR="00C3363C" w:rsidRDefault="00C3363C">
          <w:pPr>
            <w:ind w:firstLine="400"/>
            <w:jc w:val="center"/>
            <w:rPr>
              <w:rFonts w:ascii="仿宋_GB2312" w:eastAsia="仿宋_GB2312" w:hAnsi="仿宋_GB2312" w:cs="仿宋_GB2312"/>
              <w:kern w:val="0"/>
              <w:sz w:val="20"/>
              <w:szCs w:val="20"/>
            </w:rPr>
          </w:pPr>
        </w:p>
        <w:p w:rsidR="00C3363C" w:rsidRDefault="0082505F">
          <w:pPr>
            <w:widowControl/>
            <w:ind w:firstLine="400"/>
            <w:jc w:val="left"/>
            <w:rPr>
              <w:rFonts w:ascii="仿宋_GB2312" w:eastAsia="仿宋_GB2312" w:hAnsi="仿宋_GB2312" w:cs="仿宋_GB2312"/>
              <w:kern w:val="0"/>
              <w:sz w:val="20"/>
              <w:szCs w:val="20"/>
            </w:rPr>
          </w:pPr>
          <w:r>
            <w:rPr>
              <w:rFonts w:ascii="仿宋_GB2312" w:eastAsia="仿宋_GB2312" w:hAnsi="仿宋_GB2312" w:cs="仿宋_GB2312" w:hint="eastAsia"/>
              <w:kern w:val="0"/>
              <w:sz w:val="20"/>
              <w:szCs w:val="20"/>
            </w:rPr>
            <w:br w:type="page"/>
          </w:r>
        </w:p>
        <w:p w:rsidR="00C3363C" w:rsidRDefault="0082505F">
          <w:pPr>
            <w:ind w:firstLine="643"/>
            <w:jc w:val="center"/>
            <w:rPr>
              <w:rFonts w:ascii="仿宋_GB2312" w:eastAsia="仿宋_GB2312" w:hAnsi="仿宋_GB2312" w:cs="仿宋_GB2312"/>
              <w:b/>
              <w:bCs/>
              <w:sz w:val="24"/>
            </w:rPr>
          </w:pPr>
          <w:r>
            <w:rPr>
              <w:rFonts w:ascii="仿宋_GB2312" w:eastAsia="仿宋_GB2312" w:hAnsi="仿宋_GB2312" w:cs="仿宋_GB2312" w:hint="eastAsia"/>
              <w:b/>
              <w:bCs/>
              <w:sz w:val="32"/>
              <w:szCs w:val="32"/>
            </w:rPr>
            <w:lastRenderedPageBreak/>
            <w:t>目</w:t>
          </w:r>
          <w:r>
            <w:rPr>
              <w:rFonts w:ascii="仿宋_GB2312" w:eastAsia="仿宋_GB2312" w:hAnsi="仿宋_GB2312" w:cs="仿宋_GB2312" w:hint="eastAsia"/>
              <w:b/>
              <w:bCs/>
              <w:sz w:val="32"/>
              <w:szCs w:val="32"/>
            </w:rPr>
            <w:t xml:space="preserve">  </w:t>
          </w:r>
          <w:r>
            <w:rPr>
              <w:rFonts w:ascii="仿宋_GB2312" w:eastAsia="仿宋_GB2312" w:hAnsi="仿宋_GB2312" w:cs="仿宋_GB2312" w:hint="eastAsia"/>
              <w:b/>
              <w:bCs/>
              <w:sz w:val="32"/>
              <w:szCs w:val="32"/>
            </w:rPr>
            <w:t>录</w:t>
          </w:r>
        </w:p>
      </w:sdtContent>
    </w:sdt>
    <w:bookmarkEnd w:id="0"/>
    <w:p w:rsidR="00C3363C" w:rsidRDefault="0082505F">
      <w:pPr>
        <w:pStyle w:val="TOC1"/>
        <w:ind w:firstLineChars="100" w:firstLine="241"/>
        <w:rPr>
          <w:rFonts w:ascii="仿宋_GB2312" w:eastAsia="仿宋_GB2312" w:hAnsi="仿宋_GB2312" w:cs="仿宋_GB2312"/>
          <w:b w:val="0"/>
          <w:bCs w:val="0"/>
          <w:caps w:val="0"/>
          <w:sz w:val="24"/>
          <w:szCs w:val="24"/>
        </w:rPr>
      </w:pP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TOC \o "1-3" \h \z \u </w:instrText>
      </w:r>
      <w:r>
        <w:rPr>
          <w:rFonts w:ascii="仿宋_GB2312" w:eastAsia="仿宋_GB2312" w:hAnsi="仿宋_GB2312" w:cs="仿宋_GB2312" w:hint="eastAsia"/>
          <w:sz w:val="24"/>
          <w:szCs w:val="24"/>
        </w:rPr>
        <w:fldChar w:fldCharType="separate"/>
      </w:r>
      <w:hyperlink w:anchor="_Toc54599256" w:history="1">
        <w:r>
          <w:rPr>
            <w:rStyle w:val="af"/>
            <w:rFonts w:ascii="仿宋_GB2312" w:eastAsia="仿宋_GB2312" w:hAnsi="仿宋_GB2312" w:cs="仿宋_GB2312" w:hint="eastAsia"/>
            <w:sz w:val="24"/>
            <w:szCs w:val="24"/>
          </w:rPr>
          <w:t>前</w:t>
        </w:r>
        <w:r>
          <w:rPr>
            <w:rStyle w:val="af"/>
            <w:rFonts w:ascii="仿宋_GB2312" w:eastAsia="仿宋_GB2312" w:hAnsi="仿宋_GB2312" w:cs="仿宋_GB2312" w:hint="eastAsia"/>
            <w:sz w:val="24"/>
            <w:szCs w:val="24"/>
          </w:rPr>
          <w:t xml:space="preserve">  </w:t>
        </w:r>
        <w:r>
          <w:rPr>
            <w:rStyle w:val="af"/>
            <w:rFonts w:ascii="仿宋_GB2312" w:eastAsia="仿宋_GB2312" w:hAnsi="仿宋_GB2312" w:cs="仿宋_GB2312" w:hint="eastAsia"/>
            <w:sz w:val="24"/>
            <w:szCs w:val="24"/>
          </w:rPr>
          <w:t>言</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_Toc54599256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3</w:t>
        </w:r>
        <w:r>
          <w:rPr>
            <w:rFonts w:ascii="仿宋_GB2312" w:eastAsia="仿宋_GB2312" w:hAnsi="仿宋_GB2312" w:cs="仿宋_GB2312" w:hint="eastAsia"/>
            <w:sz w:val="24"/>
            <w:szCs w:val="24"/>
          </w:rPr>
          <w:fldChar w:fldCharType="end"/>
        </w:r>
      </w:hyperlink>
    </w:p>
    <w:p w:rsidR="00C3363C" w:rsidRDefault="0082505F">
      <w:pPr>
        <w:pStyle w:val="TOC1"/>
        <w:ind w:firstLine="482"/>
        <w:rPr>
          <w:rFonts w:ascii="仿宋_GB2312" w:eastAsia="仿宋_GB2312" w:hAnsi="仿宋_GB2312" w:cs="仿宋_GB2312"/>
          <w:b w:val="0"/>
          <w:bCs w:val="0"/>
          <w:caps w:val="0"/>
          <w:sz w:val="24"/>
          <w:szCs w:val="24"/>
        </w:rPr>
      </w:pPr>
      <w:hyperlink w:anchor="_Toc54599257" w:history="1">
        <w:r>
          <w:rPr>
            <w:rStyle w:val="af"/>
            <w:rFonts w:ascii="仿宋_GB2312" w:eastAsia="仿宋_GB2312" w:hAnsi="仿宋_GB2312" w:cs="仿宋_GB2312" w:hint="eastAsia"/>
            <w:sz w:val="24"/>
            <w:szCs w:val="24"/>
          </w:rPr>
          <w:t>一</w:t>
        </w:r>
        <w:r>
          <w:rPr>
            <w:rStyle w:val="af"/>
            <w:rFonts w:ascii="仿宋_GB2312" w:eastAsia="仿宋_GB2312" w:hAnsi="仿宋_GB2312" w:cs="仿宋_GB2312" w:hint="eastAsia"/>
            <w:sz w:val="24"/>
            <w:szCs w:val="24"/>
          </w:rPr>
          <w:t xml:space="preserve"> </w:t>
        </w:r>
        <w:r>
          <w:rPr>
            <w:rStyle w:val="af"/>
            <w:rFonts w:ascii="仿宋_GB2312" w:eastAsia="仿宋_GB2312" w:hAnsi="仿宋_GB2312" w:cs="仿宋_GB2312" w:hint="eastAsia"/>
            <w:sz w:val="24"/>
            <w:szCs w:val="24"/>
          </w:rPr>
          <w:t>项目背景</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_Toc54599257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4</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58" w:history="1">
        <w:r>
          <w:rPr>
            <w:rStyle w:val="af"/>
            <w:rFonts w:ascii="仿宋_GB2312" w:eastAsia="仿宋_GB2312" w:hAnsi="仿宋_GB2312" w:cs="仿宋_GB2312" w:hint="eastAsia"/>
            <w:sz w:val="24"/>
            <w:szCs w:val="24"/>
          </w:rPr>
          <w:t>（一）应对内外部环境锐意改革的需要</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w:instrText>
        </w:r>
        <w:r>
          <w:rPr>
            <w:rFonts w:ascii="仿宋_GB2312" w:eastAsia="仿宋_GB2312" w:hAnsi="仿宋_GB2312" w:cs="仿宋_GB2312" w:hint="eastAsia"/>
            <w:sz w:val="24"/>
            <w:szCs w:val="24"/>
          </w:rPr>
          <w:instrText xml:space="preserve">Toc54599258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4</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59" w:history="1">
        <w:r>
          <w:rPr>
            <w:rStyle w:val="af"/>
            <w:rFonts w:ascii="仿宋_GB2312" w:eastAsia="仿宋_GB2312" w:hAnsi="仿宋_GB2312" w:cs="仿宋_GB2312" w:hint="eastAsia"/>
            <w:sz w:val="24"/>
            <w:szCs w:val="24"/>
          </w:rPr>
          <w:t>（二）转变公司管理模式务实创新的需要</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_Toc54599259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4</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60" w:history="1">
        <w:r>
          <w:rPr>
            <w:rStyle w:val="af"/>
            <w:rFonts w:ascii="仿宋_GB2312" w:eastAsia="仿宋_GB2312" w:hAnsi="仿宋_GB2312" w:cs="仿宋_GB2312" w:hint="eastAsia"/>
            <w:sz w:val="24"/>
            <w:szCs w:val="24"/>
          </w:rPr>
          <w:t>（三）促进基层供电所提质增效的需要</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_Toc54599260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5</w:t>
        </w:r>
        <w:r>
          <w:rPr>
            <w:rFonts w:ascii="仿宋_GB2312" w:eastAsia="仿宋_GB2312" w:hAnsi="仿宋_GB2312" w:cs="仿宋_GB2312" w:hint="eastAsia"/>
            <w:sz w:val="24"/>
            <w:szCs w:val="24"/>
          </w:rPr>
          <w:fldChar w:fldCharType="end"/>
        </w:r>
      </w:hyperlink>
    </w:p>
    <w:p w:rsidR="00C3363C" w:rsidRDefault="0082505F">
      <w:pPr>
        <w:pStyle w:val="TOC1"/>
        <w:ind w:firstLine="482"/>
        <w:rPr>
          <w:rFonts w:ascii="仿宋_GB2312" w:eastAsia="仿宋_GB2312" w:hAnsi="仿宋_GB2312" w:cs="仿宋_GB2312"/>
          <w:b w:val="0"/>
          <w:bCs w:val="0"/>
          <w:caps w:val="0"/>
          <w:sz w:val="24"/>
          <w:szCs w:val="24"/>
        </w:rPr>
      </w:pPr>
      <w:hyperlink w:anchor="_Toc54599261" w:history="1">
        <w:r>
          <w:rPr>
            <w:rStyle w:val="af"/>
            <w:rFonts w:ascii="仿宋_GB2312" w:eastAsia="仿宋_GB2312" w:hAnsi="仿宋_GB2312" w:cs="仿宋_GB2312" w:hint="eastAsia"/>
            <w:sz w:val="24"/>
            <w:szCs w:val="24"/>
          </w:rPr>
          <w:t>二</w:t>
        </w:r>
        <w:r>
          <w:rPr>
            <w:rStyle w:val="af"/>
            <w:rFonts w:ascii="仿宋_GB2312" w:eastAsia="仿宋_GB2312" w:hAnsi="仿宋_GB2312" w:cs="仿宋_GB2312" w:hint="eastAsia"/>
            <w:sz w:val="24"/>
            <w:szCs w:val="24"/>
          </w:rPr>
          <w:t xml:space="preserve"> </w:t>
        </w:r>
        <w:r>
          <w:rPr>
            <w:rStyle w:val="af"/>
            <w:rFonts w:ascii="仿宋_GB2312" w:eastAsia="仿宋_GB2312" w:hAnsi="仿宋_GB2312" w:cs="仿宋_GB2312" w:hint="eastAsia"/>
            <w:sz w:val="24"/>
            <w:szCs w:val="24"/>
          </w:rPr>
          <w:t>内涵与主要做法</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_Toc54599261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5</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62" w:history="1">
        <w:r>
          <w:rPr>
            <w:rStyle w:val="af"/>
            <w:rFonts w:ascii="仿宋_GB2312" w:eastAsia="仿宋_GB2312" w:hAnsi="仿宋_GB2312" w:cs="仿宋_GB2312" w:hint="eastAsia"/>
            <w:sz w:val="24"/>
            <w:szCs w:val="24"/>
          </w:rPr>
          <w:t>（一）内涵</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_Toc54599262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5</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63" w:history="1">
        <w:r>
          <w:rPr>
            <w:rStyle w:val="af"/>
            <w:rFonts w:ascii="仿宋_GB2312" w:eastAsia="仿宋_GB2312" w:hAnsi="仿宋_GB2312" w:cs="仿宋_GB2312" w:hint="eastAsia"/>
            <w:sz w:val="24"/>
            <w:szCs w:val="24"/>
          </w:rPr>
          <w:t>（二）主要做法</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_Toc54599263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6</w:t>
        </w:r>
        <w:r>
          <w:rPr>
            <w:rFonts w:ascii="仿宋_GB2312" w:eastAsia="仿宋_GB2312" w:hAnsi="仿宋_GB2312" w:cs="仿宋_GB2312" w:hint="eastAsia"/>
            <w:sz w:val="24"/>
            <w:szCs w:val="24"/>
          </w:rPr>
          <w:fldChar w:fldCharType="end"/>
        </w:r>
      </w:hyperlink>
    </w:p>
    <w:p w:rsidR="00C3363C" w:rsidRDefault="0082505F">
      <w:pPr>
        <w:pStyle w:val="TOC3"/>
        <w:tabs>
          <w:tab w:val="right" w:leader="dot" w:pos="8296"/>
        </w:tabs>
        <w:ind w:firstLine="480"/>
        <w:rPr>
          <w:rFonts w:ascii="仿宋_GB2312" w:eastAsia="仿宋_GB2312" w:hAnsi="仿宋_GB2312" w:cs="仿宋_GB2312"/>
          <w:i w:val="0"/>
          <w:iCs w:val="0"/>
          <w:sz w:val="24"/>
          <w:szCs w:val="24"/>
        </w:rPr>
      </w:pPr>
      <w:hyperlink w:anchor="_Toc54599264" w:history="1">
        <w:r>
          <w:rPr>
            <w:rStyle w:val="af"/>
            <w:rFonts w:ascii="仿宋_GB2312" w:eastAsia="仿宋_GB2312" w:hAnsi="仿宋_GB2312" w:cs="仿宋_GB2312" w:hint="eastAsia"/>
            <w:i w:val="0"/>
            <w:iCs w:val="0"/>
            <w:sz w:val="24"/>
            <w:szCs w:val="24"/>
          </w:rPr>
          <w:t>1.</w:t>
        </w:r>
        <w:r>
          <w:rPr>
            <w:rStyle w:val="af"/>
            <w:rFonts w:ascii="仿宋_GB2312" w:eastAsia="仿宋_GB2312" w:hAnsi="仿宋_GB2312" w:cs="仿宋_GB2312" w:hint="eastAsia"/>
            <w:i w:val="0"/>
            <w:iCs w:val="0"/>
            <w:sz w:val="24"/>
            <w:szCs w:val="24"/>
          </w:rPr>
          <w:t>一个核心</w:t>
        </w:r>
        <w:r>
          <w:rPr>
            <w:rFonts w:ascii="仿宋_GB2312" w:eastAsia="仿宋_GB2312" w:hAnsi="仿宋_GB2312" w:cs="仿宋_GB2312" w:hint="eastAsia"/>
            <w:i w:val="0"/>
            <w:iCs w:val="0"/>
            <w:sz w:val="24"/>
            <w:szCs w:val="24"/>
          </w:rPr>
          <w:tab/>
        </w:r>
        <w:r>
          <w:rPr>
            <w:rFonts w:ascii="仿宋_GB2312" w:eastAsia="仿宋_GB2312" w:hAnsi="仿宋_GB2312" w:cs="仿宋_GB2312" w:hint="eastAsia"/>
            <w:i w:val="0"/>
            <w:iCs w:val="0"/>
            <w:sz w:val="24"/>
            <w:szCs w:val="24"/>
          </w:rPr>
          <w:fldChar w:fldCharType="begin"/>
        </w:r>
        <w:r>
          <w:rPr>
            <w:rFonts w:ascii="仿宋_GB2312" w:eastAsia="仿宋_GB2312" w:hAnsi="仿宋_GB2312" w:cs="仿宋_GB2312" w:hint="eastAsia"/>
            <w:i w:val="0"/>
            <w:iCs w:val="0"/>
            <w:sz w:val="24"/>
            <w:szCs w:val="24"/>
          </w:rPr>
          <w:instrText xml:space="preserve"> PAGEREF _Toc54599264 \h </w:instrText>
        </w:r>
        <w:r>
          <w:rPr>
            <w:rFonts w:ascii="仿宋_GB2312" w:eastAsia="仿宋_GB2312" w:hAnsi="仿宋_GB2312" w:cs="仿宋_GB2312" w:hint="eastAsia"/>
            <w:i w:val="0"/>
            <w:iCs w:val="0"/>
            <w:sz w:val="24"/>
            <w:szCs w:val="24"/>
          </w:rPr>
        </w:r>
        <w:r>
          <w:rPr>
            <w:rFonts w:ascii="仿宋_GB2312" w:eastAsia="仿宋_GB2312" w:hAnsi="仿宋_GB2312" w:cs="仿宋_GB2312" w:hint="eastAsia"/>
            <w:i w:val="0"/>
            <w:iCs w:val="0"/>
            <w:sz w:val="24"/>
            <w:szCs w:val="24"/>
          </w:rPr>
          <w:fldChar w:fldCharType="separate"/>
        </w:r>
        <w:r>
          <w:rPr>
            <w:rFonts w:ascii="仿宋_GB2312" w:eastAsia="仿宋_GB2312" w:hAnsi="仿宋_GB2312" w:cs="仿宋_GB2312" w:hint="eastAsia"/>
            <w:i w:val="0"/>
            <w:iCs w:val="0"/>
            <w:sz w:val="24"/>
            <w:szCs w:val="24"/>
          </w:rPr>
          <w:t>7</w:t>
        </w:r>
        <w:r>
          <w:rPr>
            <w:rFonts w:ascii="仿宋_GB2312" w:eastAsia="仿宋_GB2312" w:hAnsi="仿宋_GB2312" w:cs="仿宋_GB2312" w:hint="eastAsia"/>
            <w:i w:val="0"/>
            <w:iCs w:val="0"/>
            <w:sz w:val="24"/>
            <w:szCs w:val="24"/>
          </w:rPr>
          <w:fldChar w:fldCharType="end"/>
        </w:r>
      </w:hyperlink>
    </w:p>
    <w:p w:rsidR="00C3363C" w:rsidRDefault="0082505F">
      <w:pPr>
        <w:pStyle w:val="TOC3"/>
        <w:tabs>
          <w:tab w:val="right" w:leader="dot" w:pos="8296"/>
        </w:tabs>
        <w:ind w:firstLine="480"/>
        <w:rPr>
          <w:rFonts w:ascii="仿宋_GB2312" w:eastAsia="仿宋_GB2312" w:hAnsi="仿宋_GB2312" w:cs="仿宋_GB2312"/>
          <w:i w:val="0"/>
          <w:iCs w:val="0"/>
          <w:sz w:val="24"/>
          <w:szCs w:val="24"/>
        </w:rPr>
      </w:pPr>
      <w:hyperlink w:anchor="_Toc54599265" w:history="1">
        <w:r>
          <w:rPr>
            <w:rStyle w:val="af"/>
            <w:rFonts w:ascii="仿宋_GB2312" w:eastAsia="仿宋_GB2312" w:hAnsi="仿宋_GB2312" w:cs="仿宋_GB2312" w:hint="eastAsia"/>
            <w:i w:val="0"/>
            <w:iCs w:val="0"/>
            <w:sz w:val="24"/>
            <w:szCs w:val="24"/>
          </w:rPr>
          <w:t>2.</w:t>
        </w:r>
        <w:r>
          <w:rPr>
            <w:rStyle w:val="af"/>
            <w:rFonts w:ascii="仿宋_GB2312" w:eastAsia="仿宋_GB2312" w:hAnsi="仿宋_GB2312" w:cs="仿宋_GB2312" w:hint="eastAsia"/>
            <w:i w:val="0"/>
            <w:iCs w:val="0"/>
            <w:sz w:val="24"/>
            <w:szCs w:val="24"/>
          </w:rPr>
          <w:t>三个对象</w:t>
        </w:r>
        <w:r>
          <w:rPr>
            <w:rFonts w:ascii="仿宋_GB2312" w:eastAsia="仿宋_GB2312" w:hAnsi="仿宋_GB2312" w:cs="仿宋_GB2312" w:hint="eastAsia"/>
            <w:i w:val="0"/>
            <w:iCs w:val="0"/>
            <w:sz w:val="24"/>
            <w:szCs w:val="24"/>
          </w:rPr>
          <w:tab/>
        </w:r>
        <w:r>
          <w:rPr>
            <w:rFonts w:ascii="仿宋_GB2312" w:eastAsia="仿宋_GB2312" w:hAnsi="仿宋_GB2312" w:cs="仿宋_GB2312" w:hint="eastAsia"/>
            <w:i w:val="0"/>
            <w:iCs w:val="0"/>
            <w:sz w:val="24"/>
            <w:szCs w:val="24"/>
          </w:rPr>
          <w:fldChar w:fldCharType="begin"/>
        </w:r>
        <w:r>
          <w:rPr>
            <w:rFonts w:ascii="仿宋_GB2312" w:eastAsia="仿宋_GB2312" w:hAnsi="仿宋_GB2312" w:cs="仿宋_GB2312" w:hint="eastAsia"/>
            <w:i w:val="0"/>
            <w:iCs w:val="0"/>
            <w:sz w:val="24"/>
            <w:szCs w:val="24"/>
          </w:rPr>
          <w:instrText xml:space="preserve"> PAGEREF _Toc54599265 \h </w:instrText>
        </w:r>
        <w:r>
          <w:rPr>
            <w:rFonts w:ascii="仿宋_GB2312" w:eastAsia="仿宋_GB2312" w:hAnsi="仿宋_GB2312" w:cs="仿宋_GB2312" w:hint="eastAsia"/>
            <w:i w:val="0"/>
            <w:iCs w:val="0"/>
            <w:sz w:val="24"/>
            <w:szCs w:val="24"/>
          </w:rPr>
        </w:r>
        <w:r>
          <w:rPr>
            <w:rFonts w:ascii="仿宋_GB2312" w:eastAsia="仿宋_GB2312" w:hAnsi="仿宋_GB2312" w:cs="仿宋_GB2312" w:hint="eastAsia"/>
            <w:i w:val="0"/>
            <w:iCs w:val="0"/>
            <w:sz w:val="24"/>
            <w:szCs w:val="24"/>
          </w:rPr>
          <w:fldChar w:fldCharType="separate"/>
        </w:r>
        <w:r>
          <w:rPr>
            <w:rFonts w:ascii="仿宋_GB2312" w:eastAsia="仿宋_GB2312" w:hAnsi="仿宋_GB2312" w:cs="仿宋_GB2312" w:hint="eastAsia"/>
            <w:i w:val="0"/>
            <w:iCs w:val="0"/>
            <w:sz w:val="24"/>
            <w:szCs w:val="24"/>
          </w:rPr>
          <w:t>8</w:t>
        </w:r>
        <w:r>
          <w:rPr>
            <w:rFonts w:ascii="仿宋_GB2312" w:eastAsia="仿宋_GB2312" w:hAnsi="仿宋_GB2312" w:cs="仿宋_GB2312" w:hint="eastAsia"/>
            <w:i w:val="0"/>
            <w:iCs w:val="0"/>
            <w:sz w:val="24"/>
            <w:szCs w:val="24"/>
          </w:rPr>
          <w:fldChar w:fldCharType="end"/>
        </w:r>
      </w:hyperlink>
    </w:p>
    <w:p w:rsidR="00C3363C" w:rsidRDefault="0082505F">
      <w:pPr>
        <w:pStyle w:val="TOC3"/>
        <w:tabs>
          <w:tab w:val="right" w:leader="dot" w:pos="8296"/>
        </w:tabs>
        <w:ind w:firstLine="480"/>
        <w:rPr>
          <w:rFonts w:ascii="仿宋_GB2312" w:eastAsia="仿宋_GB2312" w:hAnsi="仿宋_GB2312" w:cs="仿宋_GB2312"/>
          <w:i w:val="0"/>
          <w:iCs w:val="0"/>
          <w:sz w:val="24"/>
          <w:szCs w:val="24"/>
        </w:rPr>
      </w:pPr>
      <w:hyperlink w:anchor="_Toc54599266" w:history="1">
        <w:r>
          <w:rPr>
            <w:rStyle w:val="af"/>
            <w:rFonts w:ascii="仿宋_GB2312" w:eastAsia="仿宋_GB2312" w:hAnsi="仿宋_GB2312" w:cs="仿宋_GB2312" w:hint="eastAsia"/>
            <w:i w:val="0"/>
            <w:iCs w:val="0"/>
            <w:sz w:val="24"/>
            <w:szCs w:val="24"/>
          </w:rPr>
          <w:t>3.</w:t>
        </w:r>
        <w:r>
          <w:rPr>
            <w:rStyle w:val="af"/>
            <w:rFonts w:ascii="仿宋_GB2312" w:eastAsia="仿宋_GB2312" w:hAnsi="仿宋_GB2312" w:cs="仿宋_GB2312" w:hint="eastAsia"/>
            <w:i w:val="0"/>
            <w:iCs w:val="0"/>
            <w:sz w:val="24"/>
            <w:szCs w:val="24"/>
          </w:rPr>
          <w:t>六大环节</w:t>
        </w:r>
        <w:r>
          <w:rPr>
            <w:rFonts w:ascii="仿宋_GB2312" w:eastAsia="仿宋_GB2312" w:hAnsi="仿宋_GB2312" w:cs="仿宋_GB2312" w:hint="eastAsia"/>
            <w:i w:val="0"/>
            <w:iCs w:val="0"/>
            <w:sz w:val="24"/>
            <w:szCs w:val="24"/>
          </w:rPr>
          <w:tab/>
        </w:r>
        <w:r>
          <w:rPr>
            <w:rFonts w:ascii="仿宋_GB2312" w:eastAsia="仿宋_GB2312" w:hAnsi="仿宋_GB2312" w:cs="仿宋_GB2312" w:hint="eastAsia"/>
            <w:i w:val="0"/>
            <w:iCs w:val="0"/>
            <w:sz w:val="24"/>
            <w:szCs w:val="24"/>
          </w:rPr>
          <w:fldChar w:fldCharType="begin"/>
        </w:r>
        <w:r>
          <w:rPr>
            <w:rFonts w:ascii="仿宋_GB2312" w:eastAsia="仿宋_GB2312" w:hAnsi="仿宋_GB2312" w:cs="仿宋_GB2312" w:hint="eastAsia"/>
            <w:i w:val="0"/>
            <w:iCs w:val="0"/>
            <w:sz w:val="24"/>
            <w:szCs w:val="24"/>
          </w:rPr>
          <w:instrText xml:space="preserve"> PAGEREF _Toc54599266</w:instrText>
        </w:r>
        <w:r>
          <w:rPr>
            <w:rFonts w:ascii="仿宋_GB2312" w:eastAsia="仿宋_GB2312" w:hAnsi="仿宋_GB2312" w:cs="仿宋_GB2312" w:hint="eastAsia"/>
            <w:i w:val="0"/>
            <w:iCs w:val="0"/>
            <w:sz w:val="24"/>
            <w:szCs w:val="24"/>
          </w:rPr>
          <w:instrText xml:space="preserve"> \h </w:instrText>
        </w:r>
        <w:r>
          <w:rPr>
            <w:rFonts w:ascii="仿宋_GB2312" w:eastAsia="仿宋_GB2312" w:hAnsi="仿宋_GB2312" w:cs="仿宋_GB2312" w:hint="eastAsia"/>
            <w:i w:val="0"/>
            <w:iCs w:val="0"/>
            <w:sz w:val="24"/>
            <w:szCs w:val="24"/>
          </w:rPr>
        </w:r>
        <w:r>
          <w:rPr>
            <w:rFonts w:ascii="仿宋_GB2312" w:eastAsia="仿宋_GB2312" w:hAnsi="仿宋_GB2312" w:cs="仿宋_GB2312" w:hint="eastAsia"/>
            <w:i w:val="0"/>
            <w:iCs w:val="0"/>
            <w:sz w:val="24"/>
            <w:szCs w:val="24"/>
          </w:rPr>
          <w:fldChar w:fldCharType="separate"/>
        </w:r>
        <w:r>
          <w:rPr>
            <w:rFonts w:ascii="仿宋_GB2312" w:eastAsia="仿宋_GB2312" w:hAnsi="仿宋_GB2312" w:cs="仿宋_GB2312" w:hint="eastAsia"/>
            <w:i w:val="0"/>
            <w:iCs w:val="0"/>
            <w:sz w:val="24"/>
            <w:szCs w:val="24"/>
          </w:rPr>
          <w:t>9</w:t>
        </w:r>
        <w:r>
          <w:rPr>
            <w:rFonts w:ascii="仿宋_GB2312" w:eastAsia="仿宋_GB2312" w:hAnsi="仿宋_GB2312" w:cs="仿宋_GB2312" w:hint="eastAsia"/>
            <w:i w:val="0"/>
            <w:iCs w:val="0"/>
            <w:sz w:val="24"/>
            <w:szCs w:val="24"/>
          </w:rPr>
          <w:fldChar w:fldCharType="end"/>
        </w:r>
      </w:hyperlink>
    </w:p>
    <w:p w:rsidR="00C3363C" w:rsidRDefault="0082505F">
      <w:pPr>
        <w:pStyle w:val="TOC3"/>
        <w:tabs>
          <w:tab w:val="right" w:leader="dot" w:pos="8296"/>
        </w:tabs>
        <w:ind w:firstLine="480"/>
        <w:rPr>
          <w:rFonts w:ascii="仿宋_GB2312" w:eastAsia="仿宋_GB2312" w:hAnsi="仿宋_GB2312" w:cs="仿宋_GB2312"/>
          <w:i w:val="0"/>
          <w:iCs w:val="0"/>
          <w:sz w:val="24"/>
          <w:szCs w:val="24"/>
        </w:rPr>
      </w:pPr>
      <w:hyperlink w:anchor="_Toc54599267" w:history="1">
        <w:r>
          <w:rPr>
            <w:rStyle w:val="af"/>
            <w:rFonts w:ascii="仿宋_GB2312" w:eastAsia="仿宋_GB2312" w:hAnsi="仿宋_GB2312" w:cs="仿宋_GB2312" w:hint="eastAsia"/>
            <w:i w:val="0"/>
            <w:iCs w:val="0"/>
            <w:sz w:val="24"/>
            <w:szCs w:val="24"/>
          </w:rPr>
          <w:t>4.</w:t>
        </w:r>
        <w:r>
          <w:rPr>
            <w:rStyle w:val="af"/>
            <w:rFonts w:ascii="仿宋_GB2312" w:eastAsia="仿宋_GB2312" w:hAnsi="仿宋_GB2312" w:cs="仿宋_GB2312" w:hint="eastAsia"/>
            <w:i w:val="0"/>
            <w:iCs w:val="0"/>
            <w:sz w:val="24"/>
            <w:szCs w:val="24"/>
          </w:rPr>
          <w:t>四大保障</w:t>
        </w:r>
        <w:r>
          <w:rPr>
            <w:rFonts w:ascii="仿宋_GB2312" w:eastAsia="仿宋_GB2312" w:hAnsi="仿宋_GB2312" w:cs="仿宋_GB2312" w:hint="eastAsia"/>
            <w:i w:val="0"/>
            <w:iCs w:val="0"/>
            <w:sz w:val="24"/>
            <w:szCs w:val="24"/>
          </w:rPr>
          <w:tab/>
        </w:r>
        <w:r>
          <w:rPr>
            <w:rFonts w:ascii="仿宋_GB2312" w:eastAsia="仿宋_GB2312" w:hAnsi="仿宋_GB2312" w:cs="仿宋_GB2312" w:hint="eastAsia"/>
            <w:i w:val="0"/>
            <w:iCs w:val="0"/>
            <w:sz w:val="24"/>
            <w:szCs w:val="24"/>
          </w:rPr>
          <w:fldChar w:fldCharType="begin"/>
        </w:r>
        <w:r>
          <w:rPr>
            <w:rFonts w:ascii="仿宋_GB2312" w:eastAsia="仿宋_GB2312" w:hAnsi="仿宋_GB2312" w:cs="仿宋_GB2312" w:hint="eastAsia"/>
            <w:i w:val="0"/>
            <w:iCs w:val="0"/>
            <w:sz w:val="24"/>
            <w:szCs w:val="24"/>
          </w:rPr>
          <w:instrText xml:space="preserve"> PAGEREF _Toc54599267 \h </w:instrText>
        </w:r>
        <w:r>
          <w:rPr>
            <w:rFonts w:ascii="仿宋_GB2312" w:eastAsia="仿宋_GB2312" w:hAnsi="仿宋_GB2312" w:cs="仿宋_GB2312" w:hint="eastAsia"/>
            <w:i w:val="0"/>
            <w:iCs w:val="0"/>
            <w:sz w:val="24"/>
            <w:szCs w:val="24"/>
          </w:rPr>
        </w:r>
        <w:r>
          <w:rPr>
            <w:rFonts w:ascii="仿宋_GB2312" w:eastAsia="仿宋_GB2312" w:hAnsi="仿宋_GB2312" w:cs="仿宋_GB2312" w:hint="eastAsia"/>
            <w:i w:val="0"/>
            <w:iCs w:val="0"/>
            <w:sz w:val="24"/>
            <w:szCs w:val="24"/>
          </w:rPr>
          <w:fldChar w:fldCharType="separate"/>
        </w:r>
        <w:r>
          <w:rPr>
            <w:rFonts w:ascii="仿宋_GB2312" w:eastAsia="仿宋_GB2312" w:hAnsi="仿宋_GB2312" w:cs="仿宋_GB2312" w:hint="eastAsia"/>
            <w:i w:val="0"/>
            <w:iCs w:val="0"/>
            <w:sz w:val="24"/>
            <w:szCs w:val="24"/>
          </w:rPr>
          <w:t>19</w:t>
        </w:r>
        <w:r>
          <w:rPr>
            <w:rFonts w:ascii="仿宋_GB2312" w:eastAsia="仿宋_GB2312" w:hAnsi="仿宋_GB2312" w:cs="仿宋_GB2312" w:hint="eastAsia"/>
            <w:i w:val="0"/>
            <w:iCs w:val="0"/>
            <w:sz w:val="24"/>
            <w:szCs w:val="24"/>
          </w:rPr>
          <w:fldChar w:fldCharType="end"/>
        </w:r>
      </w:hyperlink>
    </w:p>
    <w:p w:rsidR="00C3363C" w:rsidRDefault="0082505F">
      <w:pPr>
        <w:pStyle w:val="TOC1"/>
        <w:ind w:firstLine="482"/>
        <w:rPr>
          <w:rFonts w:ascii="仿宋_GB2312" w:eastAsia="仿宋_GB2312" w:hAnsi="仿宋_GB2312" w:cs="仿宋_GB2312"/>
          <w:b w:val="0"/>
          <w:bCs w:val="0"/>
          <w:caps w:val="0"/>
          <w:sz w:val="24"/>
          <w:szCs w:val="24"/>
        </w:rPr>
      </w:pPr>
      <w:hyperlink w:anchor="_Toc54599268" w:history="1">
        <w:r>
          <w:rPr>
            <w:rStyle w:val="af"/>
            <w:rFonts w:ascii="仿宋_GB2312" w:eastAsia="仿宋_GB2312" w:hAnsi="仿宋_GB2312" w:cs="仿宋_GB2312" w:hint="eastAsia"/>
            <w:sz w:val="24"/>
            <w:szCs w:val="24"/>
          </w:rPr>
          <w:t>三</w:t>
        </w:r>
        <w:r>
          <w:rPr>
            <w:rStyle w:val="af"/>
            <w:rFonts w:ascii="仿宋_GB2312" w:eastAsia="仿宋_GB2312" w:hAnsi="仿宋_GB2312" w:cs="仿宋_GB2312" w:hint="eastAsia"/>
            <w:sz w:val="24"/>
            <w:szCs w:val="24"/>
          </w:rPr>
          <w:t xml:space="preserve"> </w:t>
        </w:r>
        <w:r>
          <w:rPr>
            <w:rStyle w:val="af"/>
            <w:rFonts w:ascii="仿宋_GB2312" w:eastAsia="仿宋_GB2312" w:hAnsi="仿宋_GB2312" w:cs="仿宋_GB2312" w:hint="eastAsia"/>
            <w:sz w:val="24"/>
            <w:szCs w:val="24"/>
          </w:rPr>
          <w:t>实施成效</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_Toc54599268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21</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69" w:history="1">
        <w:r>
          <w:rPr>
            <w:rStyle w:val="af"/>
            <w:rFonts w:ascii="仿宋_GB2312" w:eastAsia="仿宋_GB2312" w:hAnsi="仿宋_GB2312" w:cs="仿宋_GB2312" w:hint="eastAsia"/>
            <w:sz w:val="24"/>
            <w:szCs w:val="24"/>
          </w:rPr>
          <w:t>（一）供电服务质量稳步提升</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_Toc54599269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21</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70" w:history="1">
        <w:r>
          <w:rPr>
            <w:rStyle w:val="af"/>
            <w:rFonts w:ascii="仿宋_GB2312" w:eastAsia="仿宋_GB2312" w:hAnsi="仿宋_GB2312" w:cs="仿宋_GB2312" w:hint="eastAsia"/>
            <w:sz w:val="24"/>
            <w:szCs w:val="24"/>
          </w:rPr>
          <w:t>（二）公司经营效益显著提升</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_Toc54599270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22</w:t>
        </w:r>
        <w:r>
          <w:rPr>
            <w:rFonts w:ascii="仿宋_GB2312" w:eastAsia="仿宋_GB2312" w:hAnsi="仿宋_GB2312" w:cs="仿宋_GB2312" w:hint="eastAsia"/>
            <w:sz w:val="24"/>
            <w:szCs w:val="24"/>
          </w:rPr>
          <w:fldChar w:fldCharType="end"/>
        </w:r>
      </w:hyperlink>
    </w:p>
    <w:p w:rsidR="00C3363C" w:rsidRDefault="0082505F">
      <w:pPr>
        <w:pStyle w:val="TOC2"/>
        <w:tabs>
          <w:tab w:val="right" w:leader="dot" w:pos="8296"/>
        </w:tabs>
        <w:ind w:firstLine="480"/>
        <w:rPr>
          <w:rFonts w:ascii="仿宋_GB2312" w:eastAsia="仿宋_GB2312" w:hAnsi="仿宋_GB2312" w:cs="仿宋_GB2312"/>
          <w:smallCaps w:val="0"/>
          <w:sz w:val="24"/>
          <w:szCs w:val="24"/>
        </w:rPr>
      </w:pPr>
      <w:hyperlink w:anchor="_Toc54599271" w:history="1">
        <w:r>
          <w:rPr>
            <w:rStyle w:val="af"/>
            <w:rFonts w:ascii="仿宋_GB2312" w:eastAsia="仿宋_GB2312" w:hAnsi="仿宋_GB2312" w:cs="仿宋_GB2312" w:hint="eastAsia"/>
            <w:sz w:val="24"/>
            <w:szCs w:val="24"/>
          </w:rPr>
          <w:t>（三）公司软实力进一步提升</w:t>
        </w:r>
        <w:r>
          <w:rPr>
            <w:rFonts w:ascii="仿宋_GB2312" w:eastAsia="仿宋_GB2312" w:hAnsi="仿宋_GB2312" w:cs="仿宋_GB2312" w:hint="eastAsia"/>
            <w:sz w:val="24"/>
            <w:szCs w:val="24"/>
          </w:rPr>
          <w:tab/>
        </w: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PAGEREF _Toc54599271 \h </w:instrText>
        </w:r>
        <w:r>
          <w:rPr>
            <w:rFonts w:ascii="仿宋_GB2312" w:eastAsia="仿宋_GB2312" w:hAnsi="仿宋_GB2312" w:cs="仿宋_GB2312" w:hint="eastAsia"/>
            <w:sz w:val="24"/>
            <w:szCs w:val="24"/>
          </w:rPr>
        </w:r>
        <w:r>
          <w:rPr>
            <w:rFonts w:ascii="仿宋_GB2312" w:eastAsia="仿宋_GB2312" w:hAnsi="仿宋_GB2312" w:cs="仿宋_GB2312" w:hint="eastAsia"/>
            <w:sz w:val="24"/>
            <w:szCs w:val="24"/>
          </w:rPr>
          <w:fldChar w:fldCharType="separate"/>
        </w:r>
        <w:r>
          <w:rPr>
            <w:rFonts w:ascii="仿宋_GB2312" w:eastAsia="仿宋_GB2312" w:hAnsi="仿宋_GB2312" w:cs="仿宋_GB2312" w:hint="eastAsia"/>
            <w:sz w:val="24"/>
            <w:szCs w:val="24"/>
          </w:rPr>
          <w:t>22</w:t>
        </w:r>
        <w:r>
          <w:rPr>
            <w:rFonts w:ascii="仿宋_GB2312" w:eastAsia="仿宋_GB2312" w:hAnsi="仿宋_GB2312" w:cs="仿宋_GB2312" w:hint="eastAsia"/>
            <w:sz w:val="24"/>
            <w:szCs w:val="24"/>
          </w:rPr>
          <w:fldChar w:fldCharType="end"/>
        </w:r>
      </w:hyperlink>
    </w:p>
    <w:p w:rsidR="00C3363C" w:rsidRDefault="0082505F">
      <w:pPr>
        <w:spacing w:before="60" w:line="480" w:lineRule="exact"/>
        <w:ind w:firstLine="482"/>
        <w:rPr>
          <w:rFonts w:ascii="仿宋_GB2312" w:eastAsia="仿宋_GB2312" w:hAnsi="仿宋_GB2312" w:cs="仿宋_GB2312"/>
          <w:b/>
          <w:bCs/>
          <w:sz w:val="40"/>
          <w:szCs w:val="48"/>
        </w:rPr>
      </w:pPr>
      <w:r>
        <w:rPr>
          <w:rFonts w:ascii="仿宋_GB2312" w:eastAsia="仿宋_GB2312" w:hAnsi="仿宋_GB2312" w:cs="仿宋_GB2312" w:hint="eastAsia"/>
          <w:b/>
          <w:bCs/>
          <w:sz w:val="24"/>
        </w:rPr>
        <w:fldChar w:fldCharType="end"/>
      </w:r>
      <w:bookmarkStart w:id="1" w:name="_Toc20124_WPSOffice_Level1"/>
      <w:bookmarkStart w:id="2" w:name="_Toc28056_WPSOffice_Level1"/>
      <w:bookmarkStart w:id="3" w:name="_Toc15055_WPSOffice_Level1"/>
      <w:bookmarkStart w:id="4" w:name="_Toc5480_WPSOffice_Level1"/>
      <w:bookmarkStart w:id="5" w:name="_Toc32316_WPSOffice_Level1"/>
      <w:bookmarkStart w:id="6" w:name="_Toc28633_WPSOffice_Level1"/>
    </w:p>
    <w:p w:rsidR="00C3363C" w:rsidRDefault="0082505F">
      <w:pPr>
        <w:widowControl/>
        <w:spacing w:after="0" w:line="240" w:lineRule="auto"/>
        <w:ind w:firstLineChars="0" w:firstLine="0"/>
        <w:jc w:val="left"/>
        <w:rPr>
          <w:rFonts w:ascii="仿宋_GB2312" w:eastAsia="仿宋_GB2312" w:hAnsi="仿宋_GB2312" w:cs="仿宋_GB2312"/>
          <w:b/>
          <w:bCs/>
          <w:sz w:val="40"/>
          <w:szCs w:val="48"/>
        </w:rPr>
      </w:pPr>
      <w:r>
        <w:rPr>
          <w:rFonts w:ascii="仿宋_GB2312" w:eastAsia="仿宋_GB2312" w:hAnsi="仿宋_GB2312" w:cs="仿宋_GB2312" w:hint="eastAsia"/>
          <w:b/>
          <w:bCs/>
          <w:sz w:val="40"/>
          <w:szCs w:val="48"/>
        </w:rPr>
        <w:br w:type="page"/>
      </w:r>
    </w:p>
    <w:p w:rsidR="00C3363C" w:rsidRDefault="0082505F">
      <w:pPr>
        <w:spacing w:line="360" w:lineRule="auto"/>
        <w:ind w:firstLineChars="0" w:firstLine="0"/>
        <w:jc w:val="center"/>
        <w:rPr>
          <w:rFonts w:ascii="仿宋_GB2312" w:eastAsia="仿宋_GB2312" w:hAnsi="仿宋_GB2312" w:cs="仿宋_GB2312"/>
          <w:b/>
          <w:bCs/>
          <w:sz w:val="40"/>
          <w:szCs w:val="48"/>
        </w:rPr>
      </w:pPr>
      <w:r>
        <w:rPr>
          <w:rFonts w:ascii="仿宋_GB2312" w:eastAsia="仿宋_GB2312" w:hAnsi="仿宋_GB2312" w:cs="仿宋_GB2312" w:hint="eastAsia"/>
          <w:b/>
          <w:bCs/>
          <w:sz w:val="40"/>
          <w:szCs w:val="48"/>
        </w:rPr>
        <w:lastRenderedPageBreak/>
        <w:t>基于精益财务管控的基层供电所</w:t>
      </w:r>
      <w:bookmarkEnd w:id="1"/>
      <w:bookmarkEnd w:id="2"/>
      <w:bookmarkEnd w:id="3"/>
      <w:bookmarkEnd w:id="4"/>
      <w:bookmarkEnd w:id="5"/>
      <w:bookmarkEnd w:id="6"/>
      <w:r>
        <w:rPr>
          <w:rFonts w:ascii="仿宋_GB2312" w:eastAsia="仿宋_GB2312" w:hAnsi="仿宋_GB2312" w:cs="仿宋_GB2312" w:hint="eastAsia"/>
          <w:b/>
          <w:bCs/>
          <w:sz w:val="40"/>
          <w:szCs w:val="48"/>
        </w:rPr>
        <w:t>提质增效</w:t>
      </w:r>
    </w:p>
    <w:p w:rsidR="00C3363C" w:rsidRDefault="00C3363C">
      <w:pPr>
        <w:spacing w:line="360" w:lineRule="auto"/>
        <w:ind w:firstLine="803"/>
        <w:jc w:val="center"/>
        <w:rPr>
          <w:rFonts w:ascii="仿宋_GB2312" w:eastAsia="仿宋_GB2312" w:hAnsi="仿宋_GB2312" w:cs="仿宋_GB2312"/>
          <w:b/>
          <w:bCs/>
          <w:sz w:val="40"/>
          <w:szCs w:val="48"/>
        </w:rPr>
      </w:pPr>
    </w:p>
    <w:p w:rsidR="00C3363C" w:rsidRDefault="0082505F">
      <w:pPr>
        <w:pStyle w:val="1"/>
        <w:numPr>
          <w:ilvl w:val="0"/>
          <w:numId w:val="0"/>
        </w:numPr>
        <w:jc w:val="center"/>
        <w:rPr>
          <w:rFonts w:ascii="仿宋_GB2312" w:eastAsia="仿宋_GB2312" w:hAnsi="仿宋_GB2312" w:cs="仿宋_GB2312"/>
          <w:b/>
          <w:bCs/>
          <w:sz w:val="36"/>
          <w:szCs w:val="32"/>
        </w:rPr>
      </w:pPr>
      <w:bookmarkStart w:id="7" w:name="_Toc17029"/>
      <w:bookmarkStart w:id="8" w:name="_Toc30081_WPSOffice_Level1"/>
      <w:bookmarkStart w:id="9" w:name="_Toc54599256"/>
      <w:bookmarkStart w:id="10" w:name="_Toc495158204"/>
      <w:r>
        <w:rPr>
          <w:rFonts w:ascii="仿宋_GB2312" w:eastAsia="仿宋_GB2312" w:hAnsi="仿宋_GB2312" w:cs="仿宋_GB2312" w:hint="eastAsia"/>
          <w:b/>
          <w:bCs/>
          <w:sz w:val="36"/>
          <w:szCs w:val="32"/>
        </w:rPr>
        <w:t>前</w:t>
      </w:r>
      <w:r>
        <w:rPr>
          <w:rFonts w:ascii="仿宋_GB2312" w:eastAsia="仿宋_GB2312" w:hAnsi="仿宋_GB2312" w:cs="仿宋_GB2312" w:hint="eastAsia"/>
          <w:b/>
          <w:bCs/>
          <w:sz w:val="36"/>
          <w:szCs w:val="32"/>
        </w:rPr>
        <w:t xml:space="preserve">  </w:t>
      </w:r>
      <w:r>
        <w:rPr>
          <w:rFonts w:ascii="仿宋_GB2312" w:eastAsia="仿宋_GB2312" w:hAnsi="仿宋_GB2312" w:cs="仿宋_GB2312" w:hint="eastAsia"/>
          <w:b/>
          <w:bCs/>
          <w:sz w:val="36"/>
          <w:szCs w:val="32"/>
        </w:rPr>
        <w:t>言</w:t>
      </w:r>
      <w:bookmarkEnd w:id="7"/>
      <w:bookmarkEnd w:id="8"/>
      <w:bookmarkEnd w:id="9"/>
      <w:bookmarkEnd w:id="10"/>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国网孝感供电公司（以下简称“孝感公司”）成立于</w:t>
      </w:r>
      <w:r>
        <w:rPr>
          <w:rFonts w:ascii="仿宋_GB2312" w:eastAsia="仿宋_GB2312" w:hAnsi="仿宋_GB2312" w:cs="仿宋_GB2312" w:hint="eastAsia"/>
        </w:rPr>
        <w:t>1966</w:t>
      </w:r>
      <w:r>
        <w:rPr>
          <w:rFonts w:ascii="仿宋_GB2312" w:eastAsia="仿宋_GB2312" w:hAnsi="仿宋_GB2312" w:cs="仿宋_GB2312" w:hint="eastAsia"/>
        </w:rPr>
        <w:t>年，本部设</w:t>
      </w:r>
      <w:r>
        <w:rPr>
          <w:rFonts w:ascii="仿宋_GB2312" w:eastAsia="仿宋_GB2312" w:hAnsi="仿宋_GB2312" w:cs="仿宋_GB2312" w:hint="eastAsia"/>
        </w:rPr>
        <w:t>13</w:t>
      </w:r>
      <w:r>
        <w:rPr>
          <w:rFonts w:ascii="仿宋_GB2312" w:eastAsia="仿宋_GB2312" w:hAnsi="仿宋_GB2312" w:cs="仿宋_GB2312" w:hint="eastAsia"/>
        </w:rPr>
        <w:t>个职能部门，下辖</w:t>
      </w:r>
      <w:r>
        <w:rPr>
          <w:rFonts w:ascii="仿宋_GB2312" w:eastAsia="仿宋_GB2312" w:hAnsi="仿宋_GB2312" w:cs="仿宋_GB2312" w:hint="eastAsia"/>
        </w:rPr>
        <w:t>7</w:t>
      </w:r>
      <w:r>
        <w:rPr>
          <w:rFonts w:ascii="仿宋_GB2312" w:eastAsia="仿宋_GB2312" w:hAnsi="仿宋_GB2312" w:cs="仿宋_GB2312" w:hint="eastAsia"/>
        </w:rPr>
        <w:t>家县市区公司、</w:t>
      </w:r>
      <w:r>
        <w:rPr>
          <w:rFonts w:ascii="仿宋_GB2312" w:eastAsia="仿宋_GB2312" w:hAnsi="仿宋_GB2312" w:cs="仿宋_GB2312" w:hint="eastAsia"/>
        </w:rPr>
        <w:t>10</w:t>
      </w:r>
      <w:r>
        <w:rPr>
          <w:rFonts w:ascii="仿宋_GB2312" w:eastAsia="仿宋_GB2312" w:hAnsi="仿宋_GB2312" w:cs="仿宋_GB2312" w:hint="eastAsia"/>
        </w:rPr>
        <w:t>个支撑机构、</w:t>
      </w:r>
      <w:r>
        <w:rPr>
          <w:rFonts w:ascii="仿宋_GB2312" w:eastAsia="仿宋_GB2312" w:hAnsi="仿宋_GB2312" w:cs="仿宋_GB2312" w:hint="eastAsia"/>
        </w:rPr>
        <w:t>1</w:t>
      </w:r>
      <w:r>
        <w:rPr>
          <w:rFonts w:ascii="仿宋_GB2312" w:eastAsia="仿宋_GB2312" w:hAnsi="仿宋_GB2312" w:cs="仿宋_GB2312" w:hint="eastAsia"/>
        </w:rPr>
        <w:t>家省管产业单位平台公司，全口径用工</w:t>
      </w:r>
      <w:r>
        <w:rPr>
          <w:rFonts w:ascii="仿宋_GB2312" w:eastAsia="仿宋_GB2312" w:hAnsi="仿宋_GB2312" w:cs="仿宋_GB2312" w:hint="eastAsia"/>
        </w:rPr>
        <w:t>5231</w:t>
      </w:r>
      <w:r>
        <w:rPr>
          <w:rFonts w:ascii="仿宋_GB2312" w:eastAsia="仿宋_GB2312" w:hAnsi="仿宋_GB2312" w:cs="仿宋_GB2312" w:hint="eastAsia"/>
        </w:rPr>
        <w:t>人。截至</w:t>
      </w:r>
      <w:r>
        <w:rPr>
          <w:rFonts w:ascii="仿宋_GB2312" w:eastAsia="仿宋_GB2312" w:hAnsi="仿宋_GB2312" w:cs="仿宋_GB2312" w:hint="eastAsia"/>
        </w:rPr>
        <w:t>2020</w:t>
      </w:r>
      <w:r>
        <w:rPr>
          <w:rFonts w:ascii="仿宋_GB2312" w:eastAsia="仿宋_GB2312" w:hAnsi="仿宋_GB2312" w:cs="仿宋_GB2312" w:hint="eastAsia"/>
        </w:rPr>
        <w:t>年</w:t>
      </w:r>
      <w:r>
        <w:rPr>
          <w:rFonts w:ascii="仿宋_GB2312" w:eastAsia="仿宋_GB2312" w:hAnsi="仿宋_GB2312" w:cs="仿宋_GB2312" w:hint="eastAsia"/>
        </w:rPr>
        <w:t>6</w:t>
      </w:r>
      <w:r>
        <w:rPr>
          <w:rFonts w:ascii="仿宋_GB2312" w:eastAsia="仿宋_GB2312" w:hAnsi="仿宋_GB2312" w:cs="仿宋_GB2312" w:hint="eastAsia"/>
        </w:rPr>
        <w:t>月，孝感公司共下设</w:t>
      </w:r>
      <w:r>
        <w:rPr>
          <w:rFonts w:ascii="仿宋_GB2312" w:eastAsia="仿宋_GB2312" w:hAnsi="仿宋_GB2312" w:cs="仿宋_GB2312" w:hint="eastAsia"/>
        </w:rPr>
        <w:t>92</w:t>
      </w:r>
      <w:r>
        <w:rPr>
          <w:rFonts w:ascii="仿宋_GB2312" w:eastAsia="仿宋_GB2312" w:hAnsi="仿宋_GB2312" w:cs="仿宋_GB2312" w:hint="eastAsia"/>
        </w:rPr>
        <w:t>个供电所，其中</w:t>
      </w:r>
      <w:r>
        <w:rPr>
          <w:rFonts w:ascii="仿宋_GB2312" w:eastAsia="仿宋_GB2312" w:hAnsi="仿宋_GB2312" w:cs="仿宋_GB2312" w:hint="eastAsia"/>
        </w:rPr>
        <w:t>80</w:t>
      </w:r>
      <w:r>
        <w:rPr>
          <w:rFonts w:ascii="仿宋_GB2312" w:eastAsia="仿宋_GB2312" w:hAnsi="仿宋_GB2312" w:cs="仿宋_GB2312" w:hint="eastAsia"/>
        </w:rPr>
        <w:t>个乡镇供电所、</w:t>
      </w:r>
      <w:r>
        <w:rPr>
          <w:rFonts w:ascii="仿宋_GB2312" w:eastAsia="仿宋_GB2312" w:hAnsi="仿宋_GB2312" w:cs="仿宋_GB2312" w:hint="eastAsia"/>
        </w:rPr>
        <w:t>12</w:t>
      </w:r>
      <w:r>
        <w:rPr>
          <w:rFonts w:ascii="仿宋_GB2312" w:eastAsia="仿宋_GB2312" w:hAnsi="仿宋_GB2312" w:cs="仿宋_GB2312" w:hint="eastAsia"/>
        </w:rPr>
        <w:t>个城区供电所。孝感市地处湖北省东北部，风、光资源丰富，全市风电、光伏等新能源装机总量突破</w:t>
      </w:r>
      <w:r>
        <w:rPr>
          <w:rFonts w:ascii="仿宋_GB2312" w:eastAsia="仿宋_GB2312" w:hAnsi="仿宋_GB2312" w:cs="仿宋_GB2312" w:hint="eastAsia"/>
        </w:rPr>
        <w:t>100</w:t>
      </w:r>
      <w:r>
        <w:rPr>
          <w:rFonts w:ascii="仿宋_GB2312" w:eastAsia="仿宋_GB2312" w:hAnsi="仿宋_GB2312" w:cs="仿宋_GB2312" w:hint="eastAsia"/>
        </w:rPr>
        <w:t>万千瓦，规模居全省第二，占全省的</w:t>
      </w:r>
      <w:r>
        <w:rPr>
          <w:rFonts w:ascii="仿宋_GB2312" w:eastAsia="仿宋_GB2312" w:hAnsi="仿宋_GB2312" w:cs="仿宋_GB2312" w:hint="eastAsia"/>
        </w:rPr>
        <w:t>19.12%</w:t>
      </w:r>
      <w:r>
        <w:rPr>
          <w:rFonts w:ascii="仿宋_GB2312" w:eastAsia="仿宋_GB2312" w:hAnsi="仿宋_GB2312" w:cs="仿宋_GB2312" w:hint="eastAsia"/>
        </w:rPr>
        <w:t>。孝感公司在电网改革发展的浪潮中勇于争先，抓住机遇，先后荣获全国文明单位、全国精神文明建设先进单位、全国“五一”劳动奖状、全国模范职工之</w:t>
      </w:r>
      <w:r>
        <w:rPr>
          <w:rFonts w:ascii="仿宋_GB2312" w:eastAsia="仿宋_GB2312" w:hAnsi="仿宋_GB2312" w:cs="仿宋_GB2312" w:hint="eastAsia"/>
        </w:rPr>
        <w:t>家、全国一流供电企业、全国电力行业企业文化优秀成果奖、全国电力行业实施卓越绩效模式先进企业、国家电网公司文明单位、湖北省孝德建设示范点等殊荣。</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基层供电所是电网企业核心业务的基本单元，是服务和联系客户的前沿阵地，也是服务乡村振兴、助力脱贫攻坚、建设美丽乡村的要素单元之一，供电所的管理水平对电网企业具有重要的</w:t>
      </w:r>
      <w:r>
        <w:rPr>
          <w:rFonts w:ascii="仿宋_GB2312" w:eastAsia="仿宋_GB2312" w:hAnsi="仿宋_GB2312" w:cs="仿宋_GB2312" w:hint="eastAsia"/>
        </w:rPr>
        <w:t>发展</w:t>
      </w:r>
      <w:r>
        <w:rPr>
          <w:rFonts w:ascii="仿宋_GB2312" w:eastAsia="仿宋_GB2312" w:hAnsi="仿宋_GB2312" w:cs="仿宋_GB2312" w:hint="eastAsia"/>
        </w:rPr>
        <w:t>意义。孝感公司</w:t>
      </w:r>
      <w:r>
        <w:rPr>
          <w:rFonts w:ascii="仿宋_GB2312" w:eastAsia="仿宋_GB2312" w:hAnsi="仿宋_GB2312" w:cs="仿宋_GB2312" w:hint="eastAsia"/>
        </w:rPr>
        <w:t>紧跟</w:t>
      </w:r>
      <w:r>
        <w:rPr>
          <w:rFonts w:ascii="仿宋_GB2312" w:eastAsia="仿宋_GB2312" w:hAnsi="仿宋_GB2312" w:cs="仿宋_GB2312" w:hint="eastAsia"/>
        </w:rPr>
        <w:t>国网公司精益财务管控趋势，结合自身多维精益财务管控经验，创新做法，通过“一三六四”模式，将精益管理思想有</w:t>
      </w:r>
      <w:r>
        <w:rPr>
          <w:rFonts w:ascii="仿宋_GB2312" w:eastAsia="仿宋_GB2312" w:hAnsi="仿宋_GB2312" w:cs="仿宋_GB2312" w:hint="eastAsia"/>
        </w:rPr>
        <w:t>效</w:t>
      </w:r>
      <w:r>
        <w:rPr>
          <w:rFonts w:ascii="仿宋_GB2312" w:eastAsia="仿宋_GB2312" w:hAnsi="仿宋_GB2312" w:cs="仿宋_GB2312" w:hint="eastAsia"/>
        </w:rPr>
        <w:t>融入基层供电所，充分挖掘供电所的经营潜力和运营活力，辅助基层供电所提质增效。</w:t>
      </w:r>
    </w:p>
    <w:p w:rsidR="00C3363C" w:rsidRDefault="0082505F">
      <w:pPr>
        <w:pStyle w:val="1"/>
        <w:numPr>
          <w:ilvl w:val="0"/>
          <w:numId w:val="0"/>
        </w:numPr>
        <w:ind w:left="420" w:firstLineChars="100" w:firstLine="321"/>
        <w:rPr>
          <w:rFonts w:ascii="黑体" w:eastAsia="黑体" w:hAnsi="黑体" w:cs="黑体"/>
          <w:b/>
          <w:bCs/>
          <w:sz w:val="32"/>
          <w:szCs w:val="28"/>
        </w:rPr>
      </w:pPr>
      <w:bookmarkStart w:id="11" w:name="_Toc54599257"/>
      <w:bookmarkStart w:id="12" w:name="_Toc10140_WPSOffice_Level1"/>
      <w:r>
        <w:rPr>
          <w:rFonts w:ascii="黑体" w:eastAsia="黑体" w:hAnsi="黑体" w:cs="黑体" w:hint="eastAsia"/>
          <w:b/>
          <w:bCs/>
          <w:sz w:val="32"/>
          <w:szCs w:val="28"/>
        </w:rPr>
        <w:lastRenderedPageBreak/>
        <w:t>一</w:t>
      </w:r>
      <w:r>
        <w:rPr>
          <w:rFonts w:ascii="黑体" w:eastAsia="黑体" w:hAnsi="黑体" w:cs="黑体" w:hint="eastAsia"/>
          <w:b/>
          <w:bCs/>
          <w:sz w:val="32"/>
          <w:szCs w:val="28"/>
        </w:rPr>
        <w:t xml:space="preserve"> </w:t>
      </w:r>
      <w:r>
        <w:rPr>
          <w:rFonts w:ascii="黑体" w:eastAsia="黑体" w:hAnsi="黑体" w:cs="黑体" w:hint="eastAsia"/>
          <w:b/>
          <w:bCs/>
          <w:sz w:val="32"/>
          <w:szCs w:val="28"/>
        </w:rPr>
        <w:t>项目背景</w:t>
      </w:r>
      <w:bookmarkEnd w:id="11"/>
      <w:bookmarkEnd w:id="12"/>
    </w:p>
    <w:p w:rsidR="00C3363C" w:rsidRDefault="0082505F">
      <w:pPr>
        <w:pStyle w:val="2"/>
        <w:numPr>
          <w:ilvl w:val="0"/>
          <w:numId w:val="0"/>
        </w:numPr>
        <w:tabs>
          <w:tab w:val="clear" w:pos="1080"/>
        </w:tabs>
        <w:spacing w:beforeLines="0" w:before="0" w:afterLines="0" w:after="0" w:line="360" w:lineRule="auto"/>
        <w:ind w:leftChars="175" w:left="490"/>
        <w:rPr>
          <w:rFonts w:ascii="仿宋_GB2312" w:eastAsia="仿宋_GB2312" w:hAnsi="仿宋_GB2312" w:cs="仿宋_GB2312"/>
        </w:rPr>
      </w:pPr>
      <w:bookmarkStart w:id="13" w:name="_Toc30081_WPSOffice_Level2"/>
      <w:bookmarkStart w:id="14" w:name="_Toc54599258"/>
      <w:r>
        <w:rPr>
          <w:rFonts w:ascii="仿宋_GB2312" w:eastAsia="仿宋_GB2312" w:hAnsi="仿宋_GB2312" w:cs="仿宋_GB2312" w:hint="eastAsia"/>
        </w:rPr>
        <w:t>（一）应对内外部环境锐意改革的需要</w:t>
      </w:r>
      <w:bookmarkEnd w:id="13"/>
      <w:bookmarkEnd w:id="14"/>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受宏观经济下行叠加新冠肺炎疫情冲击影响，孝感公司售电量增速趋缓；随着电力体制改革特别是输配电价改革的持续深化，孝感公司售电均价连续走低；新版《输配电定价成本监审办法》颁布后，监管信息披露政策更加细致全面，对电网企业经营质效和管理体系提出了更高要求。经营形势日益严峻，需要孝感公司坚持高质量发展，构建提质增效全员责任链。</w:t>
      </w:r>
    </w:p>
    <w:p w:rsidR="00C3363C" w:rsidRDefault="0082505F">
      <w:pPr>
        <w:keepNext/>
        <w:keepLines/>
        <w:ind w:firstLine="560"/>
        <w:rPr>
          <w:rFonts w:ascii="仿宋_GB2312" w:eastAsia="仿宋_GB2312" w:hAnsi="仿宋_GB2312" w:cs="仿宋_GB2312"/>
        </w:rPr>
      </w:pPr>
      <w:r>
        <w:rPr>
          <w:rFonts w:ascii="仿宋_GB2312" w:eastAsia="仿宋_GB2312" w:hAnsi="仿宋_GB2312" w:cs="仿宋_GB2312" w:hint="eastAsia"/>
        </w:rPr>
        <w:t>2020</w:t>
      </w:r>
      <w:r>
        <w:rPr>
          <w:rFonts w:ascii="仿宋_GB2312" w:eastAsia="仿宋_GB2312" w:hAnsi="仿宋_GB2312" w:cs="仿宋_GB2312" w:hint="eastAsia"/>
        </w:rPr>
        <w:t>年</w:t>
      </w:r>
      <w:r>
        <w:rPr>
          <w:rFonts w:ascii="仿宋_GB2312" w:eastAsia="仿宋_GB2312" w:hAnsi="仿宋_GB2312" w:cs="仿宋_GB2312" w:hint="eastAsia"/>
        </w:rPr>
        <w:t>3</w:t>
      </w:r>
      <w:r>
        <w:rPr>
          <w:rFonts w:ascii="仿宋_GB2312" w:eastAsia="仿宋_GB2312" w:hAnsi="仿宋_GB2312" w:cs="仿宋_GB2312" w:hint="eastAsia"/>
        </w:rPr>
        <w:t>月</w:t>
      </w:r>
      <w:r>
        <w:rPr>
          <w:rFonts w:ascii="仿宋_GB2312" w:eastAsia="仿宋_GB2312" w:hAnsi="仿宋_GB2312" w:cs="仿宋_GB2312" w:hint="eastAsia"/>
        </w:rPr>
        <w:t>,</w:t>
      </w:r>
      <w:r>
        <w:rPr>
          <w:rFonts w:ascii="仿宋_GB2312" w:eastAsia="仿宋_GB2312" w:hAnsi="仿宋_GB2312" w:cs="仿宋_GB2312" w:hint="eastAsia"/>
        </w:rPr>
        <w:t>国家电网公司确立了“建设具有中国特色国际领先的能源互联网企业”的战略目标</w:t>
      </w:r>
      <w:r>
        <w:rPr>
          <w:rFonts w:ascii="仿宋_GB2312" w:eastAsia="仿宋_GB2312" w:hAnsi="仿宋_GB2312" w:cs="仿宋_GB2312" w:hint="eastAsia"/>
        </w:rPr>
        <w:t>,</w:t>
      </w:r>
      <w:r>
        <w:rPr>
          <w:rFonts w:ascii="仿宋_GB2312" w:eastAsia="仿宋_GB2312" w:hAnsi="仿宋_GB2312" w:cs="仿宋_GB2312" w:hint="eastAsia"/>
        </w:rPr>
        <w:t>这彰显了国网公司打造百年老店、实现基业长青的坚定决</w:t>
      </w:r>
      <w:r>
        <w:rPr>
          <w:rFonts w:ascii="仿宋_GB2312" w:eastAsia="仿宋_GB2312" w:hAnsi="仿宋_GB2312" w:cs="仿宋_GB2312" w:hint="eastAsia"/>
        </w:rPr>
        <w:t>心。要实现国际领先，其中重要的方面就是“经营实力领先”，孝感公司坚决贯彻落实毛伟明董事长有关要求，全力以赴打好提质增效“组合拳”，奋勇争先当好战略落地“排头兵”，锐意改革，以多维精益财务管控与服务提升基层供电所经营质效。</w:t>
      </w:r>
    </w:p>
    <w:p w:rsidR="00C3363C" w:rsidRDefault="0082505F">
      <w:pPr>
        <w:pStyle w:val="2"/>
        <w:keepNext/>
        <w:keepLines/>
        <w:numPr>
          <w:ilvl w:val="0"/>
          <w:numId w:val="0"/>
        </w:numPr>
        <w:tabs>
          <w:tab w:val="clear" w:pos="1080"/>
        </w:tabs>
        <w:spacing w:beforeLines="0" w:before="0" w:afterLines="0" w:after="0" w:line="360" w:lineRule="auto"/>
        <w:ind w:left="562"/>
        <w:rPr>
          <w:rFonts w:ascii="仿宋_GB2312" w:eastAsia="仿宋_GB2312" w:hAnsi="仿宋_GB2312" w:cs="仿宋_GB2312"/>
        </w:rPr>
      </w:pPr>
      <w:bookmarkStart w:id="15" w:name="_Toc10140_WPSOffice_Level2"/>
      <w:bookmarkStart w:id="16" w:name="_Toc54599259"/>
      <w:r>
        <w:rPr>
          <w:rFonts w:ascii="仿宋_GB2312" w:eastAsia="仿宋_GB2312" w:hAnsi="仿宋_GB2312" w:cs="仿宋_GB2312" w:hint="eastAsia"/>
        </w:rPr>
        <w:t>（二）转变公司管理模式务实创新的需要</w:t>
      </w:r>
      <w:bookmarkEnd w:id="15"/>
      <w:bookmarkEnd w:id="16"/>
    </w:p>
    <w:p w:rsidR="00C3363C" w:rsidRDefault="0082505F">
      <w:pPr>
        <w:keepNext/>
        <w:keepLines/>
        <w:spacing w:after="0"/>
        <w:ind w:firstLine="560"/>
        <w:rPr>
          <w:rFonts w:ascii="仿宋_GB2312" w:eastAsia="仿宋_GB2312" w:hAnsi="仿宋_GB2312" w:cs="仿宋_GB2312"/>
        </w:rPr>
      </w:pPr>
      <w:r>
        <w:rPr>
          <w:rFonts w:ascii="仿宋_GB2312" w:eastAsia="仿宋_GB2312" w:hAnsi="仿宋_GB2312" w:cs="仿宋_GB2312" w:hint="eastAsia"/>
        </w:rPr>
        <w:t>新形势带来新机遇与新挑战，顺势而为、主动适应政府监管，推行多维精益管理体系变革是国网公司创建世界一流企业的必然要求，是国网公司优化经营管理策略的重要支撑，也是国网公司创新变革的重要举措。供电所的创新变革是国网公司创新变革的基础和决定性因素。</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精益管理是现代管理的必然要求，企业需要将经营活动中产生的经济效益和责任分工精细化，尽可能做到所有经营活动都要有经济效</w:t>
      </w:r>
      <w:r>
        <w:rPr>
          <w:rFonts w:ascii="仿宋_GB2312" w:eastAsia="仿宋_GB2312" w:hAnsi="仿宋_GB2312" w:cs="仿宋_GB2312" w:hint="eastAsia"/>
        </w:rPr>
        <w:lastRenderedPageBreak/>
        <w:t>益，所有的经济效益都可追溯到既定的责任单元，即生产</w:t>
      </w:r>
      <w:r>
        <w:rPr>
          <w:rFonts w:ascii="仿宋_GB2312" w:eastAsia="仿宋_GB2312" w:hAnsi="仿宋_GB2312" w:cs="仿宋_GB2312" w:hint="eastAsia"/>
        </w:rPr>
        <w:t>经营</w:t>
      </w:r>
      <w:r>
        <w:rPr>
          <w:rFonts w:ascii="仿宋_GB2312" w:eastAsia="仿宋_GB2312" w:hAnsi="仿宋_GB2312" w:cs="仿宋_GB2312" w:hint="eastAsia"/>
        </w:rPr>
        <w:t>与财务高度融合的管理模式。多维精益财务管控顺应了孝感公司创新发展的需求，满足了供电所供电管理需求，充</w:t>
      </w:r>
      <w:r>
        <w:rPr>
          <w:rFonts w:ascii="仿宋_GB2312" w:eastAsia="仿宋_GB2312" w:hAnsi="仿宋_GB2312" w:cs="仿宋_GB2312" w:hint="eastAsia"/>
        </w:rPr>
        <w:t>分发挥了财务在应对复杂形势挑战中的专业价值，促进了企业资源优化配置，使企业持续、稳定、健康地发展。</w:t>
      </w:r>
    </w:p>
    <w:p w:rsidR="00C3363C" w:rsidRDefault="0082505F">
      <w:pPr>
        <w:pStyle w:val="2"/>
        <w:numPr>
          <w:ilvl w:val="0"/>
          <w:numId w:val="0"/>
        </w:numPr>
        <w:tabs>
          <w:tab w:val="clear" w:pos="1080"/>
        </w:tabs>
        <w:spacing w:beforeLines="0" w:before="0" w:afterLines="0" w:after="0" w:line="360" w:lineRule="auto"/>
        <w:ind w:leftChars="175" w:left="490"/>
        <w:rPr>
          <w:rFonts w:ascii="仿宋_GB2312" w:eastAsia="仿宋_GB2312" w:hAnsi="仿宋_GB2312" w:cs="仿宋_GB2312"/>
          <w:bCs/>
        </w:rPr>
      </w:pPr>
      <w:bookmarkStart w:id="17" w:name="_Toc19975_WPSOffice_Level2"/>
      <w:bookmarkStart w:id="18" w:name="_Toc54599260"/>
      <w:r>
        <w:rPr>
          <w:rFonts w:ascii="仿宋_GB2312" w:eastAsia="仿宋_GB2312" w:hAnsi="仿宋_GB2312" w:cs="仿宋_GB2312" w:hint="eastAsia"/>
          <w:bCs/>
        </w:rPr>
        <w:t>（三）促进基层供电所提质增效的需要</w:t>
      </w:r>
      <w:bookmarkEnd w:id="17"/>
      <w:bookmarkEnd w:id="18"/>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供电所是电网企业最基层的供电单位，既</w:t>
      </w:r>
      <w:r>
        <w:rPr>
          <w:rFonts w:ascii="仿宋_GB2312" w:eastAsia="仿宋_GB2312" w:hAnsi="仿宋_GB2312" w:cs="仿宋_GB2312" w:hint="eastAsia"/>
        </w:rPr>
        <w:t>是生产一线，也是管理起点。供电所提质增效主要是指提升供电所管理和服务质量，提升供电所售电收入和经营利润，以满足经济效益和社会效益的双重需要。</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在本项目实施之前，基层供电所存在经营压力传导不够、盈利能力持续提升乏力、业财协同不足、内控执行不力等问题和难点。</w:t>
      </w:r>
    </w:p>
    <w:p w:rsidR="00C3363C" w:rsidRDefault="0082505F">
      <w:pPr>
        <w:spacing w:after="0"/>
        <w:ind w:firstLine="560"/>
        <w:rPr>
          <w:rFonts w:ascii="仿宋_GB2312" w:eastAsia="仿宋_GB2312" w:hAnsi="仿宋_GB2312" w:cs="仿宋_GB2312"/>
          <w:b/>
          <w:bCs/>
          <w:sz w:val="32"/>
          <w:szCs w:val="28"/>
        </w:rPr>
      </w:pPr>
      <w:r>
        <w:rPr>
          <w:rFonts w:ascii="仿宋_GB2312" w:eastAsia="仿宋_GB2312" w:hAnsi="仿宋_GB2312" w:cs="仿宋_GB2312" w:hint="eastAsia"/>
        </w:rPr>
        <w:t>通过“一三六四”管理方式的变革，可以实现供电所全价值链的经营管理精益化，推进价值管理精准到每一个员工、每一台设备、每一个客户、每一项工作，将绩效考核指标细化到供电所，将经营压力传导到供电所，提升基层队伍和相关人员履职能力，创新工作和管理手段，提高工作质量，全力支撑供电所管理决策和提质增效。</w:t>
      </w:r>
      <w:bookmarkStart w:id="19" w:name="_Toc19975_WPSOffice_Level1"/>
      <w:bookmarkStart w:id="20" w:name="_Toc54599261"/>
    </w:p>
    <w:p w:rsidR="00C3363C" w:rsidRDefault="0082505F">
      <w:pPr>
        <w:pStyle w:val="1"/>
        <w:numPr>
          <w:ilvl w:val="0"/>
          <w:numId w:val="0"/>
        </w:numPr>
        <w:spacing w:beforeLines="50" w:before="156" w:after="0"/>
        <w:ind w:firstLineChars="200" w:firstLine="643"/>
        <w:rPr>
          <w:rFonts w:ascii="黑体" w:eastAsia="黑体" w:hAnsi="黑体" w:cs="黑体"/>
          <w:b/>
          <w:bCs/>
          <w:sz w:val="32"/>
          <w:szCs w:val="28"/>
        </w:rPr>
      </w:pPr>
      <w:r>
        <w:rPr>
          <w:rFonts w:ascii="黑体" w:eastAsia="黑体" w:hAnsi="黑体" w:cs="黑体" w:hint="eastAsia"/>
          <w:b/>
          <w:bCs/>
          <w:sz w:val="32"/>
          <w:szCs w:val="28"/>
        </w:rPr>
        <w:t>二</w:t>
      </w:r>
      <w:r>
        <w:rPr>
          <w:rFonts w:ascii="黑体" w:eastAsia="黑体" w:hAnsi="黑体" w:cs="黑体" w:hint="eastAsia"/>
          <w:b/>
          <w:bCs/>
          <w:sz w:val="32"/>
          <w:szCs w:val="28"/>
        </w:rPr>
        <w:t xml:space="preserve"> </w:t>
      </w:r>
      <w:r>
        <w:rPr>
          <w:rFonts w:ascii="黑体" w:eastAsia="黑体" w:hAnsi="黑体" w:cs="黑体" w:hint="eastAsia"/>
          <w:b/>
          <w:bCs/>
          <w:sz w:val="32"/>
          <w:szCs w:val="28"/>
        </w:rPr>
        <w:t>内涵</w:t>
      </w:r>
      <w:bookmarkStart w:id="21" w:name="_Toc22013_WPSOffice_Level2"/>
      <w:bookmarkStart w:id="22" w:name="_Toc31227"/>
      <w:bookmarkEnd w:id="19"/>
      <w:r>
        <w:rPr>
          <w:rFonts w:ascii="黑体" w:eastAsia="黑体" w:hAnsi="黑体" w:cs="黑体" w:hint="eastAsia"/>
          <w:b/>
          <w:bCs/>
          <w:sz w:val="32"/>
          <w:szCs w:val="28"/>
        </w:rPr>
        <w:t>与主要做法</w:t>
      </w:r>
      <w:bookmarkEnd w:id="20"/>
      <w:bookmarkEnd w:id="21"/>
      <w:bookmarkEnd w:id="22"/>
    </w:p>
    <w:p w:rsidR="00C3363C" w:rsidRDefault="0082505F">
      <w:pPr>
        <w:pStyle w:val="2"/>
        <w:numPr>
          <w:ilvl w:val="0"/>
          <w:numId w:val="0"/>
        </w:numPr>
        <w:spacing w:beforeLines="0" w:before="0" w:afterLines="0" w:after="0"/>
        <w:ind w:firstLineChars="200" w:firstLine="562"/>
        <w:rPr>
          <w:rFonts w:ascii="仿宋_GB2312" w:eastAsia="仿宋_GB2312" w:hAnsi="仿宋_GB2312" w:cs="仿宋_GB2312"/>
        </w:rPr>
      </w:pPr>
      <w:bookmarkStart w:id="23" w:name="_Toc54599262"/>
      <w:bookmarkStart w:id="24" w:name="_Toc495158210"/>
      <w:r>
        <w:rPr>
          <w:rFonts w:ascii="仿宋_GB2312" w:eastAsia="仿宋_GB2312" w:hAnsi="仿宋_GB2312" w:cs="仿宋_GB2312" w:hint="eastAsia"/>
        </w:rPr>
        <w:t>（一）内涵</w:t>
      </w:r>
      <w:bookmarkEnd w:id="23"/>
    </w:p>
    <w:p w:rsidR="00C3363C" w:rsidRDefault="0082505F">
      <w:pPr>
        <w:spacing w:after="0"/>
        <w:ind w:firstLine="560"/>
        <w:rPr>
          <w:rFonts w:ascii="仿宋_GB2312" w:eastAsia="仿宋_GB2312" w:hAnsi="仿宋_GB2312" w:cs="仿宋_GB2312"/>
          <w:b/>
        </w:rPr>
      </w:pPr>
      <w:r>
        <w:rPr>
          <w:rFonts w:ascii="仿宋_GB2312" w:eastAsia="仿宋_GB2312" w:hAnsi="仿宋_GB2312" w:cs="仿宋_GB2312" w:hint="eastAsia"/>
        </w:rPr>
        <w:t>孝感公司供电所精益财务管理，是以“提质增效”为出发点，将财务管理中成本管理</w:t>
      </w:r>
      <w:r>
        <w:rPr>
          <w:rFonts w:ascii="仿宋_GB2312" w:eastAsia="仿宋_GB2312" w:hAnsi="仿宋_GB2312" w:cs="仿宋_GB2312" w:hint="eastAsia"/>
        </w:rPr>
        <w:t>、投资管理理念与供电所自身发展特点相结合，在供电所经营管理过程中，发挥内部优势，有效运用资源，进行管理优化，实现经济和社会效益双赢的管理模式。</w:t>
      </w:r>
    </w:p>
    <w:p w:rsidR="00C3363C" w:rsidRDefault="0082505F">
      <w:pPr>
        <w:ind w:firstLine="560"/>
        <w:rPr>
          <w:rFonts w:ascii="仿宋_GB2312" w:eastAsia="仿宋_GB2312" w:hAnsi="仿宋_GB2312" w:cs="仿宋_GB2312"/>
          <w:b/>
        </w:rPr>
      </w:pPr>
      <w:r>
        <w:rPr>
          <w:rFonts w:ascii="仿宋_GB2312" w:eastAsia="仿宋_GB2312" w:hAnsi="仿宋_GB2312" w:cs="仿宋_GB2312" w:hint="eastAsia"/>
        </w:rPr>
        <w:t>项目以提高供电所服务质量和管理水平，提升经营效益和公司实</w:t>
      </w:r>
      <w:r>
        <w:rPr>
          <w:rFonts w:ascii="仿宋_GB2312" w:eastAsia="仿宋_GB2312" w:hAnsi="仿宋_GB2312" w:cs="仿宋_GB2312" w:hint="eastAsia"/>
        </w:rPr>
        <w:lastRenderedPageBreak/>
        <w:t>力为目的，建立“业、财、管”深度融合的提质增效体系。体系聚焦供电服务质量、经营效益和公司软实力三个对象，打通制定计划、项目实行、深入分析、常态检查、管理优化、亮相评比六个环节，同时落实组织、制度、平台和机制四大保障，探索“一三六四”基层供电所提质增效模式。</w:t>
      </w:r>
    </w:p>
    <w:p w:rsidR="00C3363C" w:rsidRDefault="0082505F">
      <w:pPr>
        <w:spacing w:after="0" w:line="360" w:lineRule="auto"/>
        <w:ind w:firstLine="560"/>
        <w:rPr>
          <w:rFonts w:ascii="仿宋_GB2312" w:eastAsia="仿宋_GB2312" w:hAnsi="仿宋_GB2312" w:cs="仿宋_GB2312"/>
          <w:b/>
        </w:rPr>
      </w:pPr>
      <w:r>
        <w:rPr>
          <w:rFonts w:ascii="仿宋_GB2312" w:eastAsia="仿宋_GB2312" w:hAnsi="仿宋_GB2312" w:cs="仿宋_GB2312" w:hint="eastAsia"/>
        </w:rPr>
        <w:t>以孝感公司最小经营单元价值贡献评价作为依据，深入查找“</w:t>
      </w:r>
      <w:r>
        <w:rPr>
          <w:rFonts w:ascii="仿宋_GB2312" w:eastAsia="仿宋_GB2312" w:hAnsi="仿宋_GB2312" w:cs="仿宋_GB2312" w:hint="eastAsia"/>
        </w:rPr>
        <w:t>指标洼地”背后的经营管理短板，专注</w:t>
      </w:r>
      <w:r>
        <w:rPr>
          <w:rFonts w:ascii="仿宋_GB2312" w:eastAsia="仿宋_GB2312" w:hAnsi="仿宋_GB2312" w:cs="仿宋_GB2312" w:hint="eastAsia"/>
          <w:b/>
          <w:bCs/>
        </w:rPr>
        <w:t>“</w:t>
      </w:r>
      <w:r>
        <w:rPr>
          <w:rFonts w:ascii="仿宋_GB2312" w:eastAsia="仿宋_GB2312" w:hAnsi="仿宋_GB2312" w:cs="仿宋_GB2312" w:hint="eastAsia"/>
          <w:b/>
        </w:rPr>
        <w:t>控本、提质、增效”</w:t>
      </w:r>
      <w:r>
        <w:rPr>
          <w:rFonts w:ascii="仿宋_GB2312" w:eastAsia="仿宋_GB2312" w:hAnsi="仿宋_GB2312" w:cs="仿宋_GB2312" w:hint="eastAsia"/>
        </w:rPr>
        <w:t>，促进基层供电所经营效益和发展质量持续提升。</w:t>
      </w:r>
    </w:p>
    <w:p w:rsidR="00C3363C" w:rsidRDefault="0082505F">
      <w:pPr>
        <w:pStyle w:val="2"/>
        <w:numPr>
          <w:ilvl w:val="0"/>
          <w:numId w:val="0"/>
        </w:numPr>
        <w:tabs>
          <w:tab w:val="clear" w:pos="1080"/>
        </w:tabs>
        <w:snapToGrid w:val="0"/>
        <w:spacing w:beforeLines="0" w:before="0" w:afterLines="0" w:after="0" w:line="360" w:lineRule="auto"/>
        <w:ind w:firstLineChars="200" w:firstLine="562"/>
        <w:rPr>
          <w:rFonts w:ascii="仿宋_GB2312" w:eastAsia="仿宋_GB2312" w:hAnsi="仿宋_GB2312" w:cs="仿宋_GB2312"/>
        </w:rPr>
      </w:pPr>
      <w:bookmarkStart w:id="25" w:name="_Toc54599263"/>
      <w:bookmarkEnd w:id="24"/>
      <w:r>
        <w:rPr>
          <w:rFonts w:ascii="仿宋_GB2312" w:eastAsia="仿宋_GB2312" w:hAnsi="仿宋_GB2312" w:cs="仿宋_GB2312" w:hint="eastAsia"/>
        </w:rPr>
        <w:t>（二）主要做法</w:t>
      </w:r>
      <w:bookmarkEnd w:id="25"/>
    </w:p>
    <w:p w:rsidR="00C3363C" w:rsidRDefault="0082505F">
      <w:pPr>
        <w:spacing w:after="0" w:line="360" w:lineRule="auto"/>
        <w:ind w:firstLine="560"/>
        <w:rPr>
          <w:rFonts w:ascii="仿宋_GB2312" w:eastAsia="仿宋_GB2312" w:hAnsi="仿宋_GB2312" w:cs="仿宋_GB2312"/>
          <w:b/>
        </w:rPr>
      </w:pPr>
      <w:r>
        <w:rPr>
          <w:rFonts w:ascii="仿宋_GB2312" w:eastAsia="仿宋_GB2312" w:hAnsi="仿宋_GB2312" w:cs="仿宋_GB2312" w:hint="eastAsia"/>
        </w:rPr>
        <w:t>主要做法可以概括为：建立</w:t>
      </w:r>
      <w:r>
        <w:rPr>
          <w:rFonts w:ascii="仿宋_GB2312" w:eastAsia="仿宋_GB2312" w:hAnsi="仿宋_GB2312" w:cs="仿宋_GB2312" w:hint="eastAsia"/>
          <w:b/>
          <w:bCs/>
        </w:rPr>
        <w:t>“一个核心”</w:t>
      </w:r>
      <w:r>
        <w:rPr>
          <w:rFonts w:ascii="仿宋_GB2312" w:eastAsia="仿宋_GB2312" w:hAnsi="仿宋_GB2312" w:cs="仿宋_GB2312" w:hint="eastAsia"/>
        </w:rPr>
        <w:t>、聚焦</w:t>
      </w:r>
      <w:r>
        <w:rPr>
          <w:rFonts w:ascii="仿宋_GB2312" w:eastAsia="仿宋_GB2312" w:hAnsi="仿宋_GB2312" w:cs="仿宋_GB2312" w:hint="eastAsia"/>
          <w:b/>
          <w:bCs/>
        </w:rPr>
        <w:t>“三个对象”</w:t>
      </w:r>
      <w:r>
        <w:rPr>
          <w:rFonts w:ascii="仿宋_GB2312" w:eastAsia="仿宋_GB2312" w:hAnsi="仿宋_GB2312" w:cs="仿宋_GB2312" w:hint="eastAsia"/>
        </w:rPr>
        <w:t>、打通</w:t>
      </w:r>
      <w:r>
        <w:rPr>
          <w:rFonts w:ascii="仿宋_GB2312" w:eastAsia="仿宋_GB2312" w:hAnsi="仿宋_GB2312" w:cs="仿宋_GB2312" w:hint="eastAsia"/>
          <w:b/>
          <w:bCs/>
        </w:rPr>
        <w:t>“六大环节”</w:t>
      </w:r>
      <w:r>
        <w:rPr>
          <w:rFonts w:ascii="仿宋_GB2312" w:eastAsia="仿宋_GB2312" w:hAnsi="仿宋_GB2312" w:cs="仿宋_GB2312" w:hint="eastAsia"/>
        </w:rPr>
        <w:t>，实施</w:t>
      </w:r>
      <w:r>
        <w:rPr>
          <w:rFonts w:ascii="仿宋_GB2312" w:eastAsia="仿宋_GB2312" w:hAnsi="仿宋_GB2312" w:cs="仿宋_GB2312" w:hint="eastAsia"/>
          <w:b/>
          <w:bCs/>
        </w:rPr>
        <w:t>“四大保障”</w:t>
      </w:r>
      <w:r>
        <w:rPr>
          <w:rFonts w:ascii="仿宋_GB2312" w:eastAsia="仿宋_GB2312" w:hAnsi="仿宋_GB2312" w:cs="仿宋_GB2312" w:hint="eastAsia"/>
        </w:rPr>
        <w:t>。</w:t>
      </w:r>
    </w:p>
    <w:p w:rsidR="00C3363C" w:rsidRDefault="0082505F">
      <w:pPr>
        <w:ind w:firstLine="562"/>
        <w:rPr>
          <w:rFonts w:ascii="仿宋_GB2312" w:eastAsia="仿宋_GB2312" w:hAnsi="仿宋_GB2312" w:cs="仿宋_GB2312"/>
        </w:rPr>
      </w:pPr>
      <w:r>
        <w:rPr>
          <w:rFonts w:ascii="仿宋_GB2312" w:eastAsia="仿宋_GB2312" w:hAnsi="仿宋_GB2312" w:cs="仿宋_GB2312" w:hint="eastAsia"/>
          <w:b/>
          <w:bCs/>
        </w:rPr>
        <w:t>一个核心</w:t>
      </w:r>
      <w:r>
        <w:rPr>
          <w:rFonts w:ascii="仿宋_GB2312" w:eastAsia="仿宋_GB2312" w:hAnsi="仿宋_GB2312" w:cs="仿宋_GB2312" w:hint="eastAsia"/>
        </w:rPr>
        <w:t>：建立“业、财、管”深度融合的提质增效体系。</w:t>
      </w:r>
    </w:p>
    <w:p w:rsidR="00C3363C" w:rsidRDefault="0082505F">
      <w:pPr>
        <w:ind w:firstLine="562"/>
        <w:rPr>
          <w:rFonts w:ascii="仿宋_GB2312" w:eastAsia="仿宋_GB2312" w:hAnsi="仿宋_GB2312" w:cs="仿宋_GB2312"/>
        </w:rPr>
      </w:pPr>
      <w:r>
        <w:rPr>
          <w:rFonts w:ascii="仿宋_GB2312" w:eastAsia="仿宋_GB2312" w:hAnsi="仿宋_GB2312" w:cs="仿宋_GB2312" w:hint="eastAsia"/>
          <w:b/>
          <w:bCs/>
        </w:rPr>
        <w:t>三个对象</w:t>
      </w:r>
      <w:r>
        <w:rPr>
          <w:rFonts w:ascii="仿宋_GB2312" w:eastAsia="仿宋_GB2312" w:hAnsi="仿宋_GB2312" w:cs="仿宋_GB2312" w:hint="eastAsia"/>
        </w:rPr>
        <w:t>：供电服务质量、经营效益和公司软实力。</w:t>
      </w:r>
    </w:p>
    <w:p w:rsidR="00C3363C" w:rsidRDefault="0082505F">
      <w:pPr>
        <w:ind w:firstLine="562"/>
        <w:rPr>
          <w:rFonts w:ascii="仿宋_GB2312" w:eastAsia="仿宋_GB2312" w:hAnsi="仿宋_GB2312" w:cs="仿宋_GB2312"/>
        </w:rPr>
      </w:pPr>
      <w:r>
        <w:rPr>
          <w:rFonts w:ascii="仿宋_GB2312" w:eastAsia="仿宋_GB2312" w:hAnsi="仿宋_GB2312" w:cs="仿宋_GB2312" w:hint="eastAsia"/>
          <w:b/>
          <w:bCs/>
        </w:rPr>
        <w:t>六大环节：</w:t>
      </w:r>
      <w:r>
        <w:rPr>
          <w:rFonts w:ascii="仿宋_GB2312" w:eastAsia="仿宋_GB2312" w:hAnsi="仿宋_GB2312" w:cs="仿宋_GB2312" w:hint="eastAsia"/>
        </w:rPr>
        <w:t>制定计划，明确项目开展方向；项目实行，在实践中探索管理新方法</w:t>
      </w:r>
      <w:r>
        <w:rPr>
          <w:rFonts w:ascii="仿宋_GB2312" w:eastAsia="仿宋_GB2312" w:hAnsi="仿宋_GB2312" w:cs="仿宋_GB2312" w:hint="eastAsia"/>
        </w:rPr>
        <w:t xml:space="preserve"> </w:t>
      </w:r>
      <w:r>
        <w:rPr>
          <w:rFonts w:ascii="仿宋_GB2312" w:eastAsia="仿宋_GB2312" w:hAnsi="仿宋_GB2312" w:cs="仿宋_GB2312" w:hint="eastAsia"/>
        </w:rPr>
        <w:t>；深入分析，多方面具体分析考核指标；常态检查，突击队发现协调解决问题；管理优化，多措并举改进供电所管理；亮相评比，利用管理平台全方位展现工作成果。</w:t>
      </w:r>
    </w:p>
    <w:p w:rsidR="00C3363C" w:rsidRDefault="0082505F">
      <w:pPr>
        <w:ind w:firstLine="562"/>
        <w:rPr>
          <w:rFonts w:ascii="仿宋_GB2312" w:eastAsia="仿宋_GB2312" w:hAnsi="仿宋_GB2312" w:cs="仿宋_GB2312"/>
        </w:rPr>
      </w:pPr>
      <w:r>
        <w:rPr>
          <w:rFonts w:ascii="仿宋_GB2312" w:eastAsia="仿宋_GB2312" w:hAnsi="仿宋_GB2312" w:cs="仿宋_GB2312" w:hint="eastAsia"/>
          <w:b/>
          <w:bCs/>
        </w:rPr>
        <w:t>四大保障：</w:t>
      </w:r>
      <w:r>
        <w:rPr>
          <w:rFonts w:ascii="仿宋_GB2312" w:eastAsia="仿宋_GB2312" w:hAnsi="仿宋_GB2312" w:cs="仿宋_GB2312" w:hint="eastAsia"/>
        </w:rPr>
        <w:t>分层组建组织体系，落实组织保障；规范制定各类方案，落实制度保障；创新打造管理平台，落实平台保障；加强项目过程管控，落实机制保障。</w:t>
      </w:r>
    </w:p>
    <w:p w:rsidR="00C3363C" w:rsidRPr="00800569" w:rsidRDefault="00800569">
      <w:pPr>
        <w:spacing w:line="360" w:lineRule="auto"/>
        <w:ind w:firstLine="560"/>
        <w:rPr>
          <w:rFonts w:ascii="仿宋_GB2312" w:eastAsia="仿宋_GB2312" w:hAnsi="仿宋_GB2312" w:cs="仿宋_GB2312"/>
          <w:szCs w:val="32"/>
        </w:rPr>
      </w:pPr>
      <w:r>
        <w:rPr>
          <w:rFonts w:ascii="仿宋_GB2312" w:eastAsia="仿宋_GB2312" w:hAnsi="仿宋_GB2312" w:cs="仿宋_GB2312"/>
          <w:noProof/>
          <w:szCs w:val="32"/>
        </w:rPr>
        <w:lastRenderedPageBreak/>
        <w:drawing>
          <wp:inline distT="0" distB="0" distL="0" distR="0">
            <wp:extent cx="5274310" cy="30981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5274310" cy="3098165"/>
                    </a:xfrm>
                    <a:prstGeom prst="rect">
                      <a:avLst/>
                    </a:prstGeom>
                  </pic:spPr>
                </pic:pic>
              </a:graphicData>
            </a:graphic>
          </wp:inline>
        </w:drawing>
      </w:r>
    </w:p>
    <w:p w:rsidR="00C3363C" w:rsidRDefault="0082505F">
      <w:pPr>
        <w:spacing w:line="360" w:lineRule="auto"/>
        <w:ind w:firstLine="560"/>
        <w:jc w:val="center"/>
        <w:rPr>
          <w:rFonts w:ascii="仿宋_GB2312" w:eastAsia="仿宋_GB2312" w:hAnsi="仿宋_GB2312" w:cs="仿宋_GB2312"/>
          <w:szCs w:val="32"/>
        </w:rPr>
      </w:pPr>
      <w:r>
        <w:rPr>
          <w:rFonts w:ascii="仿宋_GB2312" w:eastAsia="仿宋_GB2312" w:hAnsi="仿宋_GB2312" w:cs="仿宋_GB2312" w:hint="eastAsia"/>
          <w:szCs w:val="32"/>
        </w:rPr>
        <w:t>图</w:t>
      </w:r>
      <w:r>
        <w:rPr>
          <w:rFonts w:ascii="仿宋_GB2312" w:eastAsia="仿宋_GB2312" w:hAnsi="仿宋_GB2312" w:cs="仿宋_GB2312" w:hint="eastAsia"/>
          <w:szCs w:val="32"/>
        </w:rPr>
        <w:t>1.</w:t>
      </w:r>
      <w:r>
        <w:rPr>
          <w:rFonts w:ascii="仿宋_GB2312" w:eastAsia="仿宋_GB2312" w:hAnsi="仿宋_GB2312" w:cs="仿宋_GB2312" w:hint="eastAsia"/>
          <w:szCs w:val="32"/>
        </w:rPr>
        <w:t>主要做法系统图</w:t>
      </w:r>
    </w:p>
    <w:p w:rsidR="00C3363C" w:rsidRDefault="0082505F">
      <w:pPr>
        <w:pStyle w:val="3"/>
        <w:numPr>
          <w:ilvl w:val="0"/>
          <w:numId w:val="0"/>
        </w:numPr>
        <w:ind w:firstLineChars="200" w:firstLine="562"/>
        <w:rPr>
          <w:rFonts w:ascii="仿宋_GB2312" w:eastAsia="仿宋_GB2312" w:hAnsi="仿宋_GB2312" w:cs="仿宋_GB2312"/>
          <w:b/>
          <w:bCs/>
        </w:rPr>
      </w:pPr>
      <w:bookmarkStart w:id="26" w:name="_Toc54599264"/>
      <w:r>
        <w:rPr>
          <w:rFonts w:ascii="仿宋_GB2312" w:eastAsia="仿宋_GB2312" w:hAnsi="仿宋_GB2312" w:cs="仿宋_GB2312" w:hint="eastAsia"/>
          <w:b/>
          <w:bCs/>
        </w:rPr>
        <w:t>1.</w:t>
      </w:r>
      <w:r>
        <w:rPr>
          <w:rFonts w:ascii="仿宋_GB2312" w:eastAsia="仿宋_GB2312" w:hAnsi="仿宋_GB2312" w:cs="仿宋_GB2312" w:hint="eastAsia"/>
          <w:b/>
          <w:bCs/>
        </w:rPr>
        <w:t>一个核心</w:t>
      </w:r>
      <w:bookmarkEnd w:id="26"/>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业务是企业创造价值的环节，是企业经营活动的核心。精益财务管控是将财务与业务深度融合，让更多的业务信息通过财务数据的形式展现出来。管理是企业经营的落脚点，业务效益的提升是管理的目的，财务信息则是制定管理措施的重要依据。基于对业、财、管关系的梳理，建立了“业、财、管”深度融合的经营提质增效体系。</w:t>
      </w:r>
    </w:p>
    <w:p w:rsidR="00C3363C" w:rsidRDefault="0082505F">
      <w:pPr>
        <w:spacing w:line="360" w:lineRule="auto"/>
        <w:ind w:firstLine="560"/>
        <w:rPr>
          <w:rFonts w:ascii="仿宋_GB2312" w:eastAsia="仿宋_GB2312" w:hAnsi="仿宋_GB2312" w:cs="仿宋_GB2312"/>
          <w:szCs w:val="32"/>
        </w:rPr>
      </w:pPr>
      <w:r>
        <w:rPr>
          <w:rFonts w:ascii="仿宋_GB2312" w:eastAsia="仿宋_GB2312" w:hAnsi="仿宋_GB2312" w:cs="仿宋_GB2312" w:hint="eastAsia"/>
          <w:noProof/>
          <w:szCs w:val="32"/>
        </w:rPr>
        <w:drawing>
          <wp:inline distT="0" distB="0" distL="0" distR="0">
            <wp:extent cx="4254500" cy="1960245"/>
            <wp:effectExtent l="0" t="0" r="1270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54500" cy="1960245"/>
                    </a:xfrm>
                    <a:prstGeom prst="rect">
                      <a:avLst/>
                    </a:prstGeom>
                  </pic:spPr>
                </pic:pic>
              </a:graphicData>
            </a:graphic>
          </wp:inline>
        </w:drawing>
      </w:r>
    </w:p>
    <w:p w:rsidR="00C3363C" w:rsidRDefault="0082505F">
      <w:pPr>
        <w:ind w:firstLineChars="400" w:firstLine="1120"/>
        <w:rPr>
          <w:rFonts w:ascii="仿宋_GB2312" w:eastAsia="仿宋_GB2312" w:hAnsi="仿宋_GB2312" w:cs="仿宋_GB2312"/>
          <w:b/>
        </w:rPr>
      </w:pPr>
      <w:r>
        <w:rPr>
          <w:rFonts w:ascii="仿宋_GB2312" w:eastAsia="仿宋_GB2312" w:hAnsi="仿宋_GB2312" w:cs="仿宋_GB2312" w:hint="eastAsia"/>
        </w:rPr>
        <w:t>图</w:t>
      </w:r>
      <w:r>
        <w:rPr>
          <w:rFonts w:ascii="仿宋_GB2312" w:eastAsia="仿宋_GB2312" w:hAnsi="仿宋_GB2312" w:cs="仿宋_GB2312" w:hint="eastAsia"/>
        </w:rPr>
        <w:t>2</w:t>
      </w:r>
      <w:r>
        <w:rPr>
          <w:rFonts w:ascii="仿宋_GB2312" w:eastAsia="仿宋_GB2312" w:hAnsi="仿宋_GB2312" w:cs="仿宋_GB2312" w:hint="eastAsia"/>
        </w:rPr>
        <w:t>：“业、财、管”深度融合提质增效关系图</w:t>
      </w:r>
    </w:p>
    <w:p w:rsidR="00C3363C" w:rsidRDefault="0082505F">
      <w:pPr>
        <w:pStyle w:val="3"/>
        <w:numPr>
          <w:ilvl w:val="0"/>
          <w:numId w:val="0"/>
        </w:numPr>
        <w:spacing w:afterLines="50" w:after="156"/>
        <w:ind w:firstLineChars="200" w:firstLine="562"/>
        <w:rPr>
          <w:rFonts w:ascii="仿宋_GB2312" w:eastAsia="仿宋_GB2312" w:hAnsi="仿宋_GB2312" w:cs="仿宋_GB2312"/>
          <w:b/>
          <w:bCs/>
        </w:rPr>
      </w:pPr>
      <w:bookmarkStart w:id="27" w:name="_Toc54599265"/>
      <w:r>
        <w:rPr>
          <w:rFonts w:ascii="仿宋_GB2312" w:eastAsia="仿宋_GB2312" w:hAnsi="仿宋_GB2312" w:cs="仿宋_GB2312" w:hint="eastAsia"/>
          <w:b/>
          <w:bCs/>
        </w:rPr>
        <w:lastRenderedPageBreak/>
        <w:t>2.</w:t>
      </w:r>
      <w:r>
        <w:rPr>
          <w:rFonts w:ascii="仿宋_GB2312" w:eastAsia="仿宋_GB2312" w:hAnsi="仿宋_GB2312" w:cs="仿宋_GB2312" w:hint="eastAsia"/>
          <w:b/>
          <w:bCs/>
        </w:rPr>
        <w:t>三个对象</w:t>
      </w:r>
      <w:bookmarkEnd w:id="27"/>
    </w:p>
    <w:p w:rsidR="00C3363C" w:rsidRDefault="0082505F">
      <w:pPr>
        <w:pStyle w:val="4"/>
        <w:spacing w:beforeLines="0" w:before="0" w:afterLines="50" w:after="156"/>
        <w:ind w:firstLine="562"/>
        <w:rPr>
          <w:rFonts w:ascii="仿宋_GB2312" w:eastAsia="仿宋_GB2312" w:hAnsi="仿宋_GB2312" w:cs="仿宋_GB2312"/>
          <w:szCs w:val="24"/>
        </w:rPr>
      </w:pPr>
      <w:r>
        <w:rPr>
          <w:rFonts w:ascii="仿宋_GB2312" w:eastAsia="仿宋_GB2312" w:hAnsi="仿宋_GB2312" w:cs="仿宋_GB2312" w:hint="eastAsia"/>
          <w:szCs w:val="24"/>
        </w:rPr>
        <w:t>(1)</w:t>
      </w:r>
      <w:r>
        <w:rPr>
          <w:rFonts w:ascii="仿宋_GB2312" w:eastAsia="仿宋_GB2312" w:hAnsi="仿宋_GB2312" w:cs="仿宋_GB2312" w:hint="eastAsia"/>
          <w:szCs w:val="24"/>
        </w:rPr>
        <w:t>供电服务质量</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提升供电服务质量历来是孝感公司重点工作内容。供电服务质量主要包括产品质量和配套的供电服务质量。孝感公司一方面注重提升产品质量，通过预算</w:t>
      </w:r>
      <w:r>
        <w:rPr>
          <w:rFonts w:ascii="仿宋_GB2312" w:eastAsia="仿宋_GB2312" w:hAnsi="仿宋_GB2312" w:cs="仿宋_GB2312" w:hint="eastAsia"/>
          <w:lang w:bidi="ar"/>
        </w:rPr>
        <w:t>管控</w:t>
      </w:r>
      <w:r>
        <w:rPr>
          <w:rFonts w:ascii="仿宋_GB2312" w:eastAsia="仿宋_GB2312" w:hAnsi="仿宋_GB2312" w:cs="仿宋_GB2312" w:hint="eastAsia"/>
        </w:rPr>
        <w:t>、成本管理等精益财务手段优化资金的使用，重点解决“低电压投资”、“满足新增负荷需求”、“设备过载”等方面的问题；一方面着眼于提升供电服务质量水平，通过减少办电环节，提升“获得电力指数”，创新采用互联网技术，实现用户诉求的直达。</w:t>
      </w:r>
    </w:p>
    <w:p w:rsidR="00C3363C" w:rsidRDefault="0082505F">
      <w:pPr>
        <w:pStyle w:val="4"/>
        <w:spacing w:beforeLines="0" w:before="0" w:after="0"/>
        <w:ind w:firstLine="562"/>
        <w:rPr>
          <w:rFonts w:ascii="仿宋_GB2312" w:eastAsia="仿宋_GB2312" w:hAnsi="仿宋_GB2312" w:cs="仿宋_GB2312"/>
        </w:rPr>
      </w:pPr>
      <w:r>
        <w:rPr>
          <w:rFonts w:ascii="仿宋_GB2312" w:eastAsia="仿宋_GB2312" w:hAnsi="仿宋_GB2312" w:cs="仿宋_GB2312" w:hint="eastAsia"/>
        </w:rPr>
        <w:t>(2)</w:t>
      </w:r>
      <w:r>
        <w:rPr>
          <w:rFonts w:ascii="仿宋_GB2312" w:eastAsia="仿宋_GB2312" w:hAnsi="仿宋_GB2312" w:cs="仿宋_GB2312" w:hint="eastAsia"/>
        </w:rPr>
        <w:t>经营效益</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随着输配电价改革深化，电网企业比以往承担了更大的压力，提升经营效益的重要性更加显著。经营效益反应于财务数据中，精益财务管控致力于将</w:t>
      </w:r>
      <w:r>
        <w:rPr>
          <w:rFonts w:ascii="仿宋_GB2312" w:eastAsia="仿宋_GB2312" w:hAnsi="仿宋_GB2312" w:cs="仿宋_GB2312" w:hint="eastAsia"/>
        </w:rPr>
        <w:t>业务中的各个环节充分的体现于财务信息之中，基于对财务数据的分析，通过精益财务管控与精益化的管理，改善经营短板，实现成本控制与效益提升。孝感公司着力于增收和控本两个方向，增收上注重提升售电收入，通过发现市场需求，推进综合能源的新市场，提升服务水平稳固已有市场等方式拓展电力市场，并加强电费回收管理，同时通过网格化线损管理、集中采购、规范采购等方式降低经营成本费用。</w:t>
      </w:r>
    </w:p>
    <w:p w:rsidR="00C3363C" w:rsidRDefault="0082505F">
      <w:pPr>
        <w:spacing w:after="0"/>
        <w:ind w:firstLine="562"/>
        <w:rPr>
          <w:rFonts w:ascii="仿宋_GB2312" w:eastAsia="仿宋_GB2312" w:hAnsi="仿宋_GB2312" w:cs="仿宋_GB2312"/>
          <w:b/>
          <w:bCs/>
        </w:rPr>
      </w:pPr>
      <w:r>
        <w:rPr>
          <w:rFonts w:ascii="仿宋_GB2312" w:eastAsia="仿宋_GB2312" w:hAnsi="仿宋_GB2312" w:cs="仿宋_GB2312" w:hint="eastAsia"/>
          <w:b/>
          <w:bCs/>
        </w:rPr>
        <w:t>(3)</w:t>
      </w:r>
      <w:r>
        <w:rPr>
          <w:rFonts w:ascii="仿宋_GB2312" w:eastAsia="仿宋_GB2312" w:hAnsi="仿宋_GB2312" w:cs="仿宋_GB2312" w:hint="eastAsia"/>
          <w:b/>
          <w:bCs/>
        </w:rPr>
        <w:t>公司软实力</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在市场化竞争越来越激烈的今天，软实力无疑是公司在竞争中脱颖而出的一个重要因素。软实力一般包括管理模式、制度、员工队伍素质、企业文化</w:t>
      </w:r>
      <w:r>
        <w:rPr>
          <w:rFonts w:ascii="仿宋_GB2312" w:eastAsia="仿宋_GB2312" w:hAnsi="仿宋_GB2312" w:cs="仿宋_GB2312" w:hint="eastAsia"/>
        </w:rPr>
        <w:t>、品牌社会效益等方面。在项目开展中，孝感公司注</w:t>
      </w:r>
      <w:r>
        <w:rPr>
          <w:rFonts w:ascii="仿宋_GB2312" w:eastAsia="仿宋_GB2312" w:hAnsi="仿宋_GB2312" w:cs="仿宋_GB2312" w:hint="eastAsia"/>
        </w:rPr>
        <w:lastRenderedPageBreak/>
        <w:t>重加强顶层设计，并结合项目开展，形成一系列管理模式制度创新；并通过竞赛、培训等方式进一步提升队伍素质；公司注重对于提质增效理念的宣传，并落实绩效联动制度，在公司形成了踊跃争先、奋力拼搏的企业文化；在项目开展中，孝感公司担当起国企的社会责任，在推进电网高质量发展，对利益相关方负责，绿色发展，自觉接受政府、社会监督等方面作出表率，社会效益良好，形成品牌效应。</w:t>
      </w:r>
    </w:p>
    <w:p w:rsidR="00C3363C" w:rsidRDefault="0082505F">
      <w:pPr>
        <w:pStyle w:val="3"/>
        <w:numPr>
          <w:ilvl w:val="0"/>
          <w:numId w:val="0"/>
        </w:numPr>
        <w:ind w:firstLineChars="200" w:firstLine="562"/>
        <w:rPr>
          <w:rFonts w:ascii="仿宋_GB2312" w:eastAsia="仿宋_GB2312" w:hAnsi="仿宋_GB2312" w:cs="仿宋_GB2312"/>
          <w:b/>
          <w:bCs/>
        </w:rPr>
      </w:pPr>
      <w:bookmarkStart w:id="28" w:name="_Toc8315_WPSOffice_Level2"/>
      <w:bookmarkStart w:id="29" w:name="_Toc54599266"/>
      <w:r>
        <w:rPr>
          <w:rFonts w:ascii="仿宋_GB2312" w:eastAsia="仿宋_GB2312" w:hAnsi="仿宋_GB2312" w:cs="仿宋_GB2312" w:hint="eastAsia"/>
          <w:b/>
          <w:bCs/>
        </w:rPr>
        <w:t>3.</w:t>
      </w:r>
      <w:r>
        <w:rPr>
          <w:rFonts w:ascii="仿宋_GB2312" w:eastAsia="仿宋_GB2312" w:hAnsi="仿宋_GB2312" w:cs="仿宋_GB2312" w:hint="eastAsia"/>
          <w:b/>
          <w:bCs/>
        </w:rPr>
        <w:t>六大环节</w:t>
      </w:r>
      <w:bookmarkEnd w:id="28"/>
      <w:bookmarkEnd w:id="29"/>
    </w:p>
    <w:p w:rsidR="00C3363C" w:rsidRDefault="0082505F">
      <w:pPr>
        <w:spacing w:line="360" w:lineRule="auto"/>
        <w:ind w:firstLine="560"/>
        <w:jc w:val="center"/>
        <w:rPr>
          <w:rFonts w:ascii="仿宋_GB2312" w:eastAsia="仿宋_GB2312" w:hAnsi="仿宋_GB2312" w:cs="仿宋_GB2312"/>
        </w:rPr>
      </w:pPr>
      <w:r>
        <w:rPr>
          <w:rFonts w:ascii="仿宋_GB2312" w:eastAsia="仿宋_GB2312" w:hAnsi="仿宋_GB2312" w:cs="仿宋_GB2312" w:hint="eastAsia"/>
          <w:noProof/>
        </w:rPr>
        <w:drawing>
          <wp:inline distT="0" distB="0" distL="114300" distR="114300">
            <wp:extent cx="5033010" cy="3126740"/>
            <wp:effectExtent l="0" t="38100" r="0" b="7366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C3363C" w:rsidRDefault="0082505F">
      <w:pPr>
        <w:ind w:firstLineChars="400" w:firstLine="1120"/>
        <w:jc w:val="center"/>
        <w:rPr>
          <w:rFonts w:ascii="仿宋_GB2312" w:eastAsia="仿宋_GB2312" w:hAnsi="仿宋_GB2312" w:cs="仿宋_GB2312"/>
        </w:rPr>
      </w:pPr>
      <w:r>
        <w:rPr>
          <w:rFonts w:ascii="仿宋_GB2312" w:eastAsia="仿宋_GB2312" w:hAnsi="仿宋_GB2312" w:cs="仿宋_GB2312" w:hint="eastAsia"/>
        </w:rPr>
        <w:t>图</w:t>
      </w:r>
      <w:r>
        <w:rPr>
          <w:rFonts w:ascii="仿宋_GB2312" w:eastAsia="仿宋_GB2312" w:hAnsi="仿宋_GB2312" w:cs="仿宋_GB2312" w:hint="eastAsia"/>
        </w:rPr>
        <w:t xml:space="preserve">3. </w:t>
      </w:r>
      <w:r>
        <w:rPr>
          <w:rFonts w:ascii="仿宋_GB2312" w:eastAsia="仿宋_GB2312" w:hAnsi="仿宋_GB2312" w:cs="仿宋_GB2312" w:hint="eastAsia"/>
        </w:rPr>
        <w:t>项目环节进程图</w:t>
      </w:r>
    </w:p>
    <w:p w:rsidR="00C3363C" w:rsidRDefault="0082505F">
      <w:pPr>
        <w:pStyle w:val="4"/>
        <w:spacing w:before="312"/>
        <w:ind w:firstLine="562"/>
        <w:rPr>
          <w:rFonts w:ascii="仿宋_GB2312" w:eastAsia="仿宋_GB2312" w:hAnsi="仿宋_GB2312" w:cs="仿宋_GB2312"/>
        </w:rPr>
      </w:pPr>
      <w:bookmarkStart w:id="30" w:name="_Toc22013_WPSOffice_Level3"/>
      <w:r>
        <w:rPr>
          <w:rFonts w:ascii="仿宋_GB2312" w:eastAsia="仿宋_GB2312" w:hAnsi="仿宋_GB2312" w:cs="仿宋_GB2312" w:hint="eastAsia"/>
        </w:rPr>
        <w:t>(1)</w:t>
      </w:r>
      <w:r>
        <w:rPr>
          <w:rFonts w:ascii="仿宋_GB2312" w:eastAsia="仿宋_GB2312" w:hAnsi="仿宋_GB2312" w:cs="仿宋_GB2312" w:hint="eastAsia"/>
        </w:rPr>
        <w:t>制定计划：</w:t>
      </w:r>
      <w:bookmarkEnd w:id="30"/>
      <w:r>
        <w:rPr>
          <w:rFonts w:ascii="仿宋_GB2312" w:eastAsia="仿宋_GB2312" w:hAnsi="仿宋_GB2312" w:cs="仿宋_GB2312" w:hint="eastAsia"/>
        </w:rPr>
        <w:t>明确项目开展方向</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顺应电价改革和国网精益管理的需要，孝感公司充分赋能、赋权基层供电所，激发供电所队伍经营管理热情，将供电所打造成为“三级供电单位”。项目以多部门联动为组织形式；以提高供电所服务质量和管理水平，提升公司经营效益和软实力为目的。</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lastRenderedPageBreak/>
        <w:t>项目以提升供电可靠率、百万客户投诉率为主要服务质量指标，以收入利润增长率、经营贡献度、线损率、独立法人模拟测算指标主要效益指标；以人员培训考核合格率、优质制度文件新增为公司主要软实力评价指标。定量</w:t>
      </w:r>
      <w:r>
        <w:rPr>
          <w:rFonts w:ascii="仿宋_GB2312" w:eastAsia="仿宋_GB2312" w:hAnsi="仿宋_GB2312" w:cs="仿宋_GB2312" w:hint="eastAsia"/>
        </w:rPr>
        <w:t>定性</w:t>
      </w:r>
      <w:r>
        <w:rPr>
          <w:rFonts w:ascii="仿宋_GB2312" w:eastAsia="仿宋_GB2312" w:hAnsi="仿宋_GB2312" w:cs="仿宋_GB2312" w:hint="eastAsia"/>
        </w:rPr>
        <w:t>考核最终管理成效关键指标，助力供电所筑牢基础管理，规范安全管理，提升运维能力，优化服务模</w:t>
      </w:r>
      <w:r>
        <w:rPr>
          <w:rFonts w:ascii="仿宋_GB2312" w:eastAsia="仿宋_GB2312" w:hAnsi="仿宋_GB2312" w:cs="仿宋_GB2312" w:hint="eastAsia"/>
        </w:rPr>
        <w:t>式，贯通信息传递。</w:t>
      </w:r>
    </w:p>
    <w:p w:rsidR="00C3363C" w:rsidRDefault="0082505F">
      <w:pPr>
        <w:pStyle w:val="4"/>
        <w:spacing w:before="312"/>
        <w:ind w:firstLine="562"/>
        <w:rPr>
          <w:rFonts w:ascii="仿宋_GB2312" w:eastAsia="仿宋_GB2312" w:hAnsi="仿宋_GB2312" w:cs="仿宋_GB2312"/>
        </w:rPr>
      </w:pPr>
      <w:bookmarkStart w:id="31" w:name="_Toc30759_WPSOffice_Level3"/>
      <w:r>
        <w:rPr>
          <w:rFonts w:ascii="仿宋_GB2312" w:eastAsia="仿宋_GB2312" w:hAnsi="仿宋_GB2312" w:cs="仿宋_GB2312" w:hint="eastAsia"/>
        </w:rPr>
        <w:t>(2)</w:t>
      </w:r>
      <w:r>
        <w:rPr>
          <w:rFonts w:ascii="仿宋_GB2312" w:eastAsia="仿宋_GB2312" w:hAnsi="仿宋_GB2312" w:cs="仿宋_GB2312" w:hint="eastAsia"/>
        </w:rPr>
        <w:t>项目实行：</w:t>
      </w:r>
      <w:bookmarkEnd w:id="31"/>
      <w:r>
        <w:rPr>
          <w:rFonts w:ascii="仿宋_GB2312" w:eastAsia="仿宋_GB2312" w:hAnsi="仿宋_GB2312" w:cs="仿宋_GB2312" w:hint="eastAsia"/>
        </w:rPr>
        <w:t>在实践中探索管理新方法</w:t>
      </w:r>
      <w:r>
        <w:rPr>
          <w:rFonts w:ascii="仿宋_GB2312" w:eastAsia="仿宋_GB2312" w:hAnsi="仿宋_GB2312" w:cs="仿宋_GB2312" w:hint="eastAsia"/>
        </w:rPr>
        <w:t xml:space="preserve"> </w:t>
      </w:r>
    </w:p>
    <w:p w:rsidR="00C3363C" w:rsidRDefault="0082505F">
      <w:pPr>
        <w:spacing w:after="0"/>
        <w:ind w:firstLine="560"/>
        <w:rPr>
          <w:rFonts w:ascii="仿宋_GB2312" w:eastAsia="仿宋_GB2312" w:hAnsi="仿宋_GB2312" w:cs="仿宋_GB2312"/>
        </w:rPr>
      </w:pPr>
      <w:bookmarkStart w:id="32" w:name="_Toc8315_WPSOffice_Level3"/>
      <w:r>
        <w:rPr>
          <w:rFonts w:ascii="仿宋_GB2312" w:eastAsia="仿宋_GB2312" w:hAnsi="仿宋_GB2312" w:cs="仿宋_GB2312" w:hint="eastAsia"/>
        </w:rPr>
        <w:t>孝感公司立足自身实际，综合考虑乡镇供电所经济发展情况、售电量、服务人口、投入产出比等因素，在实践中探索出供电所管理创新新方法。管理做法如下：</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rPr>
        <w:t>①</w:t>
      </w:r>
      <w:r>
        <w:rPr>
          <w:rFonts w:ascii="仿宋_GB2312" w:eastAsia="仿宋_GB2312" w:hAnsi="仿宋_GB2312" w:cs="仿宋_GB2312" w:hint="eastAsia"/>
        </w:rPr>
        <w:t>开展供电所管理提升年系列活动</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2019</w:t>
      </w:r>
      <w:r>
        <w:rPr>
          <w:rFonts w:ascii="仿宋_GB2312" w:eastAsia="仿宋_GB2312" w:hAnsi="仿宋_GB2312" w:cs="仿宋_GB2312" w:hint="eastAsia"/>
        </w:rPr>
        <w:t>年，国网公司下达《国家电网有限公司关于印发“全能型”乡镇供电所完善提升</w:t>
      </w:r>
      <w:r>
        <w:rPr>
          <w:rFonts w:ascii="仿宋_GB2312" w:eastAsia="仿宋_GB2312" w:hAnsi="仿宋_GB2312" w:cs="仿宋_GB2312" w:hint="eastAsia"/>
        </w:rPr>
        <w:t>2019-2020</w:t>
      </w:r>
      <w:r>
        <w:rPr>
          <w:rFonts w:ascii="仿宋_GB2312" w:eastAsia="仿宋_GB2312" w:hAnsi="仿宋_GB2312" w:cs="仿宋_GB2312" w:hint="eastAsia"/>
        </w:rPr>
        <w:t>年行动计划的通知》，孝感公司借此契机，将</w:t>
      </w:r>
      <w:r>
        <w:rPr>
          <w:rFonts w:ascii="仿宋_GB2312" w:eastAsia="仿宋_GB2312" w:hAnsi="仿宋_GB2312" w:cs="仿宋_GB2312" w:hint="eastAsia"/>
        </w:rPr>
        <w:t>2019</w:t>
      </w:r>
      <w:r>
        <w:rPr>
          <w:rFonts w:ascii="仿宋_GB2312" w:eastAsia="仿宋_GB2312" w:hAnsi="仿宋_GB2312" w:cs="仿宋_GB2312" w:hint="eastAsia"/>
        </w:rPr>
        <w:t>年作为供电所管理提升年，全面开展供电所提升年系列活动。公司多部门联动，从组织、监督、服务、后勤与管理五个角度出发，以人力资源优化为先</w:t>
      </w:r>
      <w:r>
        <w:rPr>
          <w:rFonts w:ascii="仿宋_GB2312" w:eastAsia="仿宋_GB2312" w:hAnsi="仿宋_GB2312" w:cs="仿宋_GB2312" w:hint="eastAsia"/>
        </w:rPr>
        <w:t>导，以梳理供电所制度标准为抓手，以加强部门专业管理为有效手段，以提升供电所基础条件为依托，以“一所一预算”为保障，全方位促进基层供电所提质增效。</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优化人力资源引导，提升经营管理效益。供电所成立所委会，施行决策民主公开，重要事项必须经过所委会集体决策；优化供电所空间布局，按照</w:t>
      </w:r>
      <w:r>
        <w:rPr>
          <w:rFonts w:ascii="仿宋_GB2312" w:eastAsia="仿宋_GB2312" w:hAnsi="仿宋_GB2312" w:cs="仿宋_GB2312" w:hint="eastAsia"/>
        </w:rPr>
        <w:t xml:space="preserve"> </w:t>
      </w:r>
      <w:r>
        <w:rPr>
          <w:rFonts w:ascii="仿宋_GB2312" w:eastAsia="仿宋_GB2312" w:hAnsi="仿宋_GB2312" w:cs="仿宋_GB2312" w:hint="eastAsia"/>
        </w:rPr>
        <w:t>“一乡一所”的原则，</w:t>
      </w:r>
      <w:r>
        <w:rPr>
          <w:rFonts w:ascii="仿宋_GB2312" w:eastAsia="仿宋_GB2312" w:hAnsi="仿宋_GB2312" w:cs="仿宋_GB2312" w:hint="eastAsia"/>
        </w:rPr>
        <w:t>2019</w:t>
      </w:r>
      <w:r>
        <w:rPr>
          <w:rFonts w:ascii="仿宋_GB2312" w:eastAsia="仿宋_GB2312" w:hAnsi="仿宋_GB2312" w:cs="仿宋_GB2312" w:hint="eastAsia"/>
        </w:rPr>
        <w:t>年完成汉川、孝昌地区供电所拆分，新设汉川里潭供电所、孝昌开发区供电所；将供电所内设班组设置权限下放到县公司，完善内外勤班组设置；试点推行全业务</w:t>
      </w:r>
      <w:r>
        <w:rPr>
          <w:rFonts w:ascii="仿宋_GB2312" w:eastAsia="仿宋_GB2312" w:hAnsi="仿宋_GB2312" w:cs="仿宋_GB2312" w:hint="eastAsia"/>
        </w:rPr>
        <w:lastRenderedPageBreak/>
        <w:t>委托，完成孝昌季店、云梦吴铺两个“四全”供电所建立，全业务委托的供</w:t>
      </w:r>
      <w:r>
        <w:rPr>
          <w:rFonts w:ascii="仿宋_GB2312" w:eastAsia="仿宋_GB2312" w:hAnsi="仿宋_GB2312" w:cs="仿宋_GB2312" w:hint="eastAsia"/>
        </w:rPr>
        <w:t>电所负责人实行聘任制和任期制，试点推行绩效等级评定工作，以绩效管理为抓手，以经营效益为指标，逐步提升供电服务管理水平，</w:t>
      </w:r>
      <w:r>
        <w:rPr>
          <w:rFonts w:ascii="仿宋_GB2312" w:eastAsia="仿宋_GB2312" w:hAnsi="仿宋_GB2312" w:cs="仿宋_GB2312" w:hint="eastAsia"/>
        </w:rPr>
        <w:t>2019</w:t>
      </w:r>
      <w:r>
        <w:rPr>
          <w:rFonts w:ascii="仿宋_GB2312" w:eastAsia="仿宋_GB2312" w:hAnsi="仿宋_GB2312" w:cs="仿宋_GB2312" w:hint="eastAsia"/>
        </w:rPr>
        <w:t>年试点单位人均绩效工资增幅达</w:t>
      </w:r>
      <w:r>
        <w:rPr>
          <w:rFonts w:ascii="仿宋_GB2312" w:eastAsia="仿宋_GB2312" w:hAnsi="仿宋_GB2312" w:cs="仿宋_GB2312" w:hint="eastAsia"/>
        </w:rPr>
        <w:t>42%</w:t>
      </w:r>
      <w:r>
        <w:rPr>
          <w:rFonts w:ascii="仿宋_GB2312" w:eastAsia="仿宋_GB2312" w:hAnsi="仿宋_GB2312" w:cs="仿宋_GB2312" w:hint="eastAsia"/>
        </w:rPr>
        <w:t>。</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梳理供电所制度标准，规范岗位职责和业务流程。针对供电所的岗位设置，制定相应的安全管控“一岗一清单”，编制安全风险管控指导卡；修订供电所专业工作标准，建立营配业务融合与专业标准有机衔接的专业标准体系；修订细化供电所财务管控标准，规范费用报销及加强资金安全过程管理，完成供电所费用开支台账统一模板编制，强化供电所兼职报账员和台账管理，完成两期报账员培训</w:t>
      </w:r>
      <w:r>
        <w:rPr>
          <w:rFonts w:ascii="仿宋_GB2312" w:eastAsia="仿宋_GB2312" w:hAnsi="仿宋_GB2312" w:cs="仿宋_GB2312" w:hint="eastAsia"/>
        </w:rPr>
        <w:t>共计</w:t>
      </w:r>
      <w:r>
        <w:rPr>
          <w:rFonts w:ascii="仿宋_GB2312" w:eastAsia="仿宋_GB2312" w:hAnsi="仿宋_GB2312" w:cs="仿宋_GB2312" w:hint="eastAsia"/>
        </w:rPr>
        <w:t>184</w:t>
      </w:r>
      <w:r>
        <w:rPr>
          <w:rFonts w:ascii="仿宋_GB2312" w:eastAsia="仿宋_GB2312" w:hAnsi="仿宋_GB2312" w:cs="仿宋_GB2312" w:hint="eastAsia"/>
        </w:rPr>
        <w:t>人次。</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改善供电所基础条件，提升服务质量和员工幸福感。公司按照标准化的要求，对供电所生产用车、工器具、备品备件等需求进行统计，加大供电所基础设施投入；下达专项预算共计</w:t>
      </w:r>
      <w:r>
        <w:rPr>
          <w:rFonts w:ascii="仿宋_GB2312" w:eastAsia="仿宋_GB2312" w:hAnsi="仿宋_GB2312" w:cs="仿宋_GB2312" w:hint="eastAsia"/>
        </w:rPr>
        <w:t>2590</w:t>
      </w:r>
      <w:r>
        <w:rPr>
          <w:rFonts w:ascii="仿宋_GB2312" w:eastAsia="仿宋_GB2312" w:hAnsi="仿宋_GB2312" w:cs="仿宋_GB2312" w:hint="eastAsia"/>
        </w:rPr>
        <w:t>万元，集中用于</w:t>
      </w:r>
      <w:r>
        <w:rPr>
          <w:rFonts w:ascii="仿宋_GB2312" w:eastAsia="仿宋_GB2312" w:hAnsi="仿宋_GB2312" w:cs="仿宋_GB2312" w:hint="eastAsia"/>
        </w:rPr>
        <w:t>65</w:t>
      </w:r>
      <w:r>
        <w:rPr>
          <w:rFonts w:ascii="仿宋_GB2312" w:eastAsia="仿宋_GB2312" w:hAnsi="仿宋_GB2312" w:cs="仿宋_GB2312" w:hint="eastAsia"/>
        </w:rPr>
        <w:t>个乡镇供电所“暖心工程</w:t>
      </w:r>
      <w:r>
        <w:rPr>
          <w:rFonts w:ascii="仿宋_GB2312" w:eastAsia="仿宋_GB2312" w:hAnsi="仿宋_GB2312" w:cs="仿宋_GB2312" w:hint="eastAsia"/>
        </w:rPr>
        <w:t>.</w:t>
      </w:r>
      <w:r>
        <w:rPr>
          <w:rFonts w:ascii="仿宋_GB2312" w:eastAsia="仿宋_GB2312" w:hAnsi="仿宋_GB2312" w:cs="仿宋_GB2312" w:hint="eastAsia"/>
        </w:rPr>
        <w:t>温馨家园”项目，改善供电所生活住宿条件，增强一线员工的获得感和幸福感；在供电所收费柜台设置视频监控设备，为每个供电所配备保险箱、防盗窗等防护设施，有效防范供电所资金安全风险。</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加强部门专业管控，实现多方联动管理。安监部组织签订安全知责履责承诺书，促使员工知晓安全履责失职风险，并开展供电</w:t>
      </w:r>
      <w:r>
        <w:rPr>
          <w:rFonts w:ascii="仿宋_GB2312" w:eastAsia="仿宋_GB2312" w:hAnsi="仿宋_GB2312" w:cs="仿宋_GB2312" w:hint="eastAsia"/>
        </w:rPr>
        <w:t>所安全管理“回头看”专项行动提升供电所安全管控水平；运检部开展运检指标提升专项行动，严控设备运行安全、落实配电设备精益管理、规范停电审批；营销部夯实营销基础管理，落实基础信息“零差错”，</w:t>
      </w:r>
      <w:r>
        <w:rPr>
          <w:rFonts w:ascii="仿宋_GB2312" w:eastAsia="仿宋_GB2312" w:hAnsi="仿宋_GB2312" w:cs="仿宋_GB2312" w:hint="eastAsia"/>
        </w:rPr>
        <w:lastRenderedPageBreak/>
        <w:t>“服务、通知、报告、督导”四到位。</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实行“一所一预算”，保障供电所合理开支需求。公司</w:t>
      </w:r>
      <w:r>
        <w:rPr>
          <w:rFonts w:ascii="仿宋_GB2312" w:eastAsia="仿宋_GB2312" w:hAnsi="仿宋_GB2312" w:cs="仿宋_GB2312" w:hint="eastAsia"/>
        </w:rPr>
        <w:t>2019</w:t>
      </w:r>
      <w:r>
        <w:rPr>
          <w:rFonts w:ascii="仿宋_GB2312" w:eastAsia="仿宋_GB2312" w:hAnsi="仿宋_GB2312" w:cs="仿宋_GB2312" w:hint="eastAsia"/>
        </w:rPr>
        <w:t>年起着力推行供电所“一所一预算”。“一所一预算”涵盖供电所全部日常支出，主要包括日常检修运维成本、其他运营费用（办公费、差旅费、车辆使用费、清洁卫生费、绿化费、水费、房屋零星维修费等）和专项成本。公司</w:t>
      </w:r>
      <w:r>
        <w:rPr>
          <w:rFonts w:ascii="仿宋_GB2312" w:eastAsia="仿宋_GB2312" w:hAnsi="仿宋_GB2312" w:cs="仿宋_GB2312" w:hint="eastAsia"/>
          <w:color w:val="333333"/>
          <w:kern w:val="0"/>
        </w:rPr>
        <w:t>根据供电所资产规模、用工人数、用户数、政策因素等基础数据，实施标准成本编制，</w:t>
      </w:r>
      <w:r>
        <w:rPr>
          <w:rFonts w:ascii="仿宋_GB2312" w:eastAsia="仿宋_GB2312" w:hAnsi="仿宋_GB2312" w:cs="仿宋_GB2312" w:hint="eastAsia"/>
        </w:rPr>
        <w:t>坚持成本向基层、生产一线倾斜，保障重点急需项目投入并</w:t>
      </w:r>
      <w:r>
        <w:rPr>
          <w:rFonts w:ascii="仿宋_GB2312" w:eastAsia="仿宋_GB2312" w:hAnsi="仿宋_GB2312" w:cs="仿宋_GB2312" w:hint="eastAsia"/>
          <w:color w:val="333333"/>
          <w:kern w:val="0"/>
        </w:rPr>
        <w:t>严控招待费、福利费等单项预算指标。</w:t>
      </w:r>
      <w:r>
        <w:rPr>
          <w:rFonts w:ascii="仿宋_GB2312" w:eastAsia="仿宋_GB2312" w:hAnsi="仿宋_GB2312" w:cs="仿宋_GB2312" w:hint="eastAsia"/>
        </w:rPr>
        <w:t>2019</w:t>
      </w:r>
      <w:r>
        <w:rPr>
          <w:rFonts w:ascii="仿宋_GB2312" w:eastAsia="仿宋_GB2312" w:hAnsi="仿宋_GB2312" w:cs="仿宋_GB2312" w:hint="eastAsia"/>
        </w:rPr>
        <w:t>年公司所属</w:t>
      </w:r>
      <w:r>
        <w:rPr>
          <w:rFonts w:ascii="仿宋_GB2312" w:eastAsia="仿宋_GB2312" w:hAnsi="仿宋_GB2312" w:cs="仿宋_GB2312" w:hint="eastAsia"/>
        </w:rPr>
        <w:t>7</w:t>
      </w:r>
      <w:r>
        <w:rPr>
          <w:rFonts w:ascii="仿宋_GB2312" w:eastAsia="仿宋_GB2312" w:hAnsi="仿宋_GB2312" w:cs="仿宋_GB2312" w:hint="eastAsia"/>
        </w:rPr>
        <w:t>家县市公司“一所一预算”合计下达</w:t>
      </w:r>
      <w:r>
        <w:rPr>
          <w:rFonts w:ascii="仿宋_GB2312" w:eastAsia="仿宋_GB2312" w:hAnsi="仿宋_GB2312" w:cs="仿宋_GB2312" w:hint="eastAsia"/>
        </w:rPr>
        <w:t>2136.34</w:t>
      </w:r>
      <w:r>
        <w:rPr>
          <w:rFonts w:ascii="仿宋_GB2312" w:eastAsia="仿宋_GB2312" w:hAnsi="仿宋_GB2312" w:cs="仿宋_GB2312" w:hint="eastAsia"/>
        </w:rPr>
        <w:t>万元，相比</w:t>
      </w:r>
      <w:r>
        <w:rPr>
          <w:rFonts w:ascii="仿宋_GB2312" w:eastAsia="仿宋_GB2312" w:hAnsi="仿宋_GB2312" w:cs="仿宋_GB2312" w:hint="eastAsia"/>
        </w:rPr>
        <w:t>2018</w:t>
      </w:r>
      <w:r>
        <w:rPr>
          <w:rFonts w:ascii="仿宋_GB2312" w:eastAsia="仿宋_GB2312" w:hAnsi="仿宋_GB2312" w:cs="仿宋_GB2312" w:hint="eastAsia"/>
        </w:rPr>
        <w:t>年增幅</w:t>
      </w:r>
      <w:r>
        <w:rPr>
          <w:rFonts w:ascii="仿宋_GB2312" w:eastAsia="仿宋_GB2312" w:hAnsi="仿宋_GB2312" w:cs="仿宋_GB2312" w:hint="eastAsia"/>
        </w:rPr>
        <w:t>37.6%</w:t>
      </w:r>
      <w:r>
        <w:rPr>
          <w:rFonts w:ascii="仿宋_GB2312" w:eastAsia="仿宋_GB2312" w:hAnsi="仿宋_GB2312" w:cs="仿宋_GB2312" w:hint="eastAsia"/>
        </w:rPr>
        <w:t>。“一所一预算”明确了供电所的预算管理职责和管控范围，充分考虑到并满足了供电所的实际需求，具有良好的现实意义。</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结合以上五个方面做法，公司所属供电所在经营效益、服务质量、管理效率上都较之前有明显提升。</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rPr>
        <w:t>②</w:t>
      </w:r>
      <w:r>
        <w:rPr>
          <w:rFonts w:ascii="仿宋_GB2312" w:eastAsia="仿宋_GB2312" w:hAnsi="仿宋_GB2312" w:cs="仿宋_GB2312" w:hint="eastAsia"/>
        </w:rPr>
        <w:t>实施供电所独立法人模拟测算</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在量化供电所经营效</w:t>
      </w:r>
      <w:r>
        <w:rPr>
          <w:rFonts w:ascii="仿宋_GB2312" w:eastAsia="仿宋_GB2312" w:hAnsi="仿宋_GB2312" w:cs="仿宋_GB2312" w:hint="eastAsia"/>
        </w:rPr>
        <w:t>益方面，公司创新性地建立了供电所法人独立模拟测算机制。以供电所实际经营收支为基础，以提升经营效益为考核原则，将购电成本、县市公司本部公共管理成本等分摊到各供电所，模拟形成供电所完整的经营收支链条，对本不是“法人”的供电所，以“独立法人”方式进行管理和考核。鼓励各供电所通过加强内部管理，划小测算单位，将指标进行层层分解，逐级落实，强化考核，激发全体员工提质增效的积极性，实现公司精益管理，促使经营效益最大化。</w:t>
      </w:r>
    </w:p>
    <w:p w:rsidR="00C3363C" w:rsidRDefault="0082505F">
      <w:pPr>
        <w:ind w:firstLine="560"/>
        <w:rPr>
          <w:rFonts w:ascii="仿宋_GB2312" w:eastAsia="仿宋_GB2312" w:hAnsi="仿宋_GB2312" w:cs="仿宋_GB2312"/>
          <w:b/>
          <w:bCs/>
        </w:rPr>
      </w:pPr>
      <w:r>
        <w:rPr>
          <w:rFonts w:ascii="仿宋_GB2312" w:eastAsia="仿宋_GB2312" w:hAnsi="仿宋_GB2312" w:cs="仿宋_GB2312" w:hint="eastAsia"/>
        </w:rPr>
        <w:lastRenderedPageBreak/>
        <w:t>独立法人模拟测算项目在实施过程中，首先厘清了各供电所财务基本情况，建立了独立财务测算体系；其次，构建了</w:t>
      </w:r>
      <w:r>
        <w:rPr>
          <w:rFonts w:ascii="仿宋_GB2312" w:eastAsia="仿宋_GB2312" w:hAnsi="仿宋_GB2312" w:cs="仿宋_GB2312" w:hint="eastAsia"/>
        </w:rPr>
        <w:t>与主要业务相关联的</w:t>
      </w:r>
      <w:r>
        <w:rPr>
          <w:rFonts w:ascii="仿宋_GB2312" w:eastAsia="仿宋_GB2312" w:hAnsi="仿宋_GB2312" w:cs="仿宋_GB2312" w:hint="eastAsia"/>
        </w:rPr>
        <w:t>2</w:t>
      </w:r>
      <w:r>
        <w:rPr>
          <w:rFonts w:ascii="仿宋_GB2312" w:eastAsia="仿宋_GB2312" w:hAnsi="仿宋_GB2312" w:cs="仿宋_GB2312" w:hint="eastAsia"/>
        </w:rPr>
        <w:t>类</w:t>
      </w:r>
      <w:r>
        <w:rPr>
          <w:rFonts w:ascii="仿宋_GB2312" w:eastAsia="仿宋_GB2312" w:hAnsi="仿宋_GB2312" w:cs="仿宋_GB2312" w:hint="eastAsia"/>
        </w:rPr>
        <w:t>4</w:t>
      </w:r>
      <w:r>
        <w:rPr>
          <w:rFonts w:ascii="仿宋_GB2312" w:eastAsia="仿宋_GB2312" w:hAnsi="仿宋_GB2312" w:cs="仿宋_GB2312" w:hint="eastAsia"/>
        </w:rPr>
        <w:t>个具体指标，建立了“供电所独立法人模拟测算”指标体系。指标体系从模拟内部利润和模拟投资效能两个角度出发，模拟内部利润包含三项具体指标：模拟内部利润完成率、模拟内部利润增长率、模拟内部利润贡献率；模拟投资效能指标则以供电所配电资产为基础，测算各供电所的实际资产收入水平。从供电所层面来说，独立法人模拟测算给供电所提供了一个横向对比分析、找差距、抓整改、促提升的平台，有利于激励各供电所提质增效工作的开展；从公司层面来看，独立法人模拟测算为孝感公司提供了真实详尽的基层供电所的经营效益数据，为</w:t>
      </w:r>
      <w:r>
        <w:rPr>
          <w:rFonts w:ascii="仿宋_GB2312" w:eastAsia="仿宋_GB2312" w:hAnsi="仿宋_GB2312" w:cs="仿宋_GB2312" w:hint="eastAsia"/>
        </w:rPr>
        <w:t>公司经营管理、政策制定等提供了有力的支撑。</w:t>
      </w:r>
      <w:bookmarkEnd w:id="32"/>
    </w:p>
    <w:p w:rsidR="00C3363C" w:rsidRDefault="0082505F">
      <w:pPr>
        <w:overflowPunct w:val="0"/>
        <w:autoSpaceDE w:val="0"/>
        <w:autoSpaceDN w:val="0"/>
        <w:adjustRightInd w:val="0"/>
        <w:snapToGrid w:val="0"/>
        <w:spacing w:line="360" w:lineRule="auto"/>
        <w:ind w:firstLine="560"/>
        <w:jc w:val="center"/>
        <w:rPr>
          <w:rFonts w:ascii="仿宋_GB2312" w:eastAsia="仿宋_GB2312" w:hAnsi="仿宋_GB2312" w:cs="仿宋_GB2312"/>
          <w:szCs w:val="32"/>
        </w:rPr>
      </w:pPr>
      <w:r>
        <w:rPr>
          <w:rFonts w:ascii="仿宋_GB2312" w:eastAsia="仿宋_GB2312" w:hAnsi="仿宋_GB2312" w:cs="仿宋_GB2312" w:hint="eastAsia"/>
          <w:noProof/>
          <w:szCs w:val="32"/>
        </w:rPr>
        <w:drawing>
          <wp:inline distT="0" distB="0" distL="114300" distR="114300">
            <wp:extent cx="3536950" cy="2311400"/>
            <wp:effectExtent l="12700" t="0" r="31750" b="0"/>
            <wp:docPr id="12" name="图示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C3363C" w:rsidRDefault="0082505F">
      <w:pPr>
        <w:overflowPunct w:val="0"/>
        <w:autoSpaceDE w:val="0"/>
        <w:autoSpaceDN w:val="0"/>
        <w:adjustRightInd w:val="0"/>
        <w:snapToGrid w:val="0"/>
        <w:spacing w:line="360" w:lineRule="auto"/>
        <w:ind w:firstLine="560"/>
        <w:jc w:val="center"/>
        <w:rPr>
          <w:rFonts w:ascii="仿宋_GB2312" w:eastAsia="仿宋_GB2312" w:hAnsi="仿宋_GB2312" w:cs="仿宋_GB2312"/>
        </w:rPr>
      </w:pPr>
      <w:r>
        <w:rPr>
          <w:rFonts w:ascii="仿宋_GB2312" w:eastAsia="仿宋_GB2312" w:hAnsi="仿宋_GB2312" w:cs="仿宋_GB2312" w:hint="eastAsia"/>
        </w:rPr>
        <w:t>图</w:t>
      </w:r>
      <w:r>
        <w:rPr>
          <w:rFonts w:ascii="仿宋_GB2312" w:eastAsia="仿宋_GB2312" w:hAnsi="仿宋_GB2312" w:cs="仿宋_GB2312" w:hint="eastAsia"/>
        </w:rPr>
        <w:t>4.</w:t>
      </w:r>
      <w:r>
        <w:rPr>
          <w:rFonts w:ascii="仿宋_GB2312" w:eastAsia="仿宋_GB2312" w:hAnsi="仿宋_GB2312" w:cs="仿宋_GB2312" w:hint="eastAsia"/>
        </w:rPr>
        <w:t>模拟法人独立测算图</w:t>
      </w:r>
    </w:p>
    <w:p w:rsidR="00C3363C" w:rsidRDefault="0082505F">
      <w:pPr>
        <w:pStyle w:val="4"/>
        <w:spacing w:before="312"/>
        <w:ind w:firstLine="562"/>
        <w:rPr>
          <w:rFonts w:ascii="仿宋_GB2312" w:eastAsia="仿宋_GB2312" w:hAnsi="仿宋_GB2312" w:cs="仿宋_GB2312"/>
        </w:rPr>
      </w:pPr>
      <w:r>
        <w:rPr>
          <w:rFonts w:ascii="仿宋_GB2312" w:eastAsia="仿宋_GB2312" w:hAnsi="仿宋_GB2312" w:cs="仿宋_GB2312" w:hint="eastAsia"/>
        </w:rPr>
        <w:t>(3)</w:t>
      </w:r>
      <w:r>
        <w:rPr>
          <w:rFonts w:ascii="仿宋_GB2312" w:eastAsia="仿宋_GB2312" w:hAnsi="仿宋_GB2312" w:cs="仿宋_GB2312" w:hint="eastAsia"/>
        </w:rPr>
        <w:t>深入分析：多方面具体分析考核指标</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为验证项目实行的工作成效，孝感公司主要从供电服务质量、经营效益、公司软实力</w:t>
      </w:r>
      <w:r>
        <w:rPr>
          <w:rFonts w:ascii="仿宋_GB2312" w:eastAsia="仿宋_GB2312" w:hAnsi="仿宋_GB2312" w:cs="仿宋_GB2312" w:hint="eastAsia"/>
        </w:rPr>
        <w:t>中人员素质提升</w:t>
      </w:r>
      <w:r>
        <w:rPr>
          <w:rFonts w:ascii="仿宋_GB2312" w:eastAsia="仿宋_GB2312" w:hAnsi="仿宋_GB2312" w:cs="仿宋_GB2312" w:hint="eastAsia"/>
        </w:rPr>
        <w:t>三方面进行定量分析。</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rPr>
        <w:t>①</w:t>
      </w:r>
      <w:r>
        <w:rPr>
          <w:rFonts w:ascii="仿宋_GB2312" w:eastAsia="仿宋_GB2312" w:hAnsi="仿宋_GB2312" w:cs="仿宋_GB2312" w:hint="eastAsia"/>
        </w:rPr>
        <w:t>供电服务质量指标分析</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lastRenderedPageBreak/>
        <w:t>供电所作为公司收入来源的基础和直面客户的基层单元，供电质量的可靠性、营商环境的优化和服务质量的提升至关重要。</w:t>
      </w:r>
      <w:r>
        <w:rPr>
          <w:rFonts w:ascii="仿宋_GB2312" w:eastAsia="仿宋_GB2312" w:hAnsi="仿宋_GB2312" w:cs="仿宋_GB2312" w:hint="eastAsia"/>
        </w:rPr>
        <w:t>2019</w:t>
      </w:r>
      <w:r>
        <w:rPr>
          <w:rFonts w:ascii="仿宋_GB2312" w:eastAsia="仿宋_GB2312" w:hAnsi="仿宋_GB2312" w:cs="仿宋_GB2312" w:hint="eastAsia"/>
        </w:rPr>
        <w:t>年孝感公司投诉率同比下降</w:t>
      </w:r>
      <w:r>
        <w:rPr>
          <w:rFonts w:ascii="仿宋_GB2312" w:eastAsia="仿宋_GB2312" w:hAnsi="仿宋_GB2312" w:cs="仿宋_GB2312" w:hint="eastAsia"/>
        </w:rPr>
        <w:t>49.57%</w:t>
      </w:r>
      <w:r>
        <w:rPr>
          <w:rFonts w:ascii="仿宋_GB2312" w:eastAsia="仿宋_GB2312" w:hAnsi="仿宋_GB2312" w:cs="仿宋_GB2312" w:hint="eastAsia"/>
        </w:rPr>
        <w:t>，投诉率降低一是由于公司积极走访调研客户用电需求，主动帮助客户解决用电难题，让客户真正体验到便捷的供电服务，二是</w:t>
      </w:r>
      <w:r>
        <w:rPr>
          <w:rFonts w:ascii="仿宋_GB2312" w:eastAsia="仿宋_GB2312" w:hAnsi="仿宋_GB2312" w:cs="仿宋_GB2312" w:hint="eastAsia"/>
        </w:rPr>
        <w:t>由于加大供电所基础设施的投入，提高员工生活质量，从而促进工作效率的提升，增加客户满意度。</w:t>
      </w:r>
      <w:r>
        <w:rPr>
          <w:rFonts w:ascii="仿宋_GB2312" w:eastAsia="仿宋_GB2312" w:hAnsi="仿宋_GB2312" w:cs="仿宋_GB2312" w:hint="eastAsia"/>
        </w:rPr>
        <w:t>2016-2019</w:t>
      </w:r>
      <w:r>
        <w:rPr>
          <w:rFonts w:ascii="仿宋_GB2312" w:eastAsia="仿宋_GB2312" w:hAnsi="仿宋_GB2312" w:cs="仿宋_GB2312" w:hint="eastAsia"/>
        </w:rPr>
        <w:t>年孝感市供电可靠率上升至</w:t>
      </w:r>
      <w:r>
        <w:rPr>
          <w:rFonts w:ascii="仿宋_GB2312" w:eastAsia="仿宋_GB2312" w:hAnsi="仿宋_GB2312" w:cs="仿宋_GB2312" w:hint="eastAsia"/>
        </w:rPr>
        <w:t>99.8228%</w:t>
      </w:r>
      <w:r>
        <w:rPr>
          <w:rFonts w:ascii="仿宋_GB2312" w:eastAsia="仿宋_GB2312" w:hAnsi="仿宋_GB2312" w:cs="仿宋_GB2312" w:hint="eastAsia"/>
        </w:rPr>
        <w:t>，增长主要是通过近三年配网改造力度加强，孝感市配网装备水平不断提升，网架结构逐步优化，电网运行水平也得以优化，以此促进供电可靠性水平的逐步提升。</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rPr>
        <w:t>②</w:t>
      </w:r>
      <w:r>
        <w:rPr>
          <w:rFonts w:ascii="仿宋_GB2312" w:eastAsia="仿宋_GB2312" w:hAnsi="仿宋_GB2312" w:cs="仿宋_GB2312" w:hint="eastAsia"/>
        </w:rPr>
        <w:t>经营效益指标分析</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 xml:space="preserve"> </w:t>
      </w:r>
      <w:r>
        <w:rPr>
          <w:rFonts w:ascii="仿宋_GB2312" w:eastAsia="仿宋_GB2312" w:hAnsi="仿宋_GB2312" w:cs="仿宋_GB2312" w:hint="eastAsia"/>
        </w:rPr>
        <w:t>孝感公司多措并举增供扩销，紧盯电费回收率，确保颗粒归仓，与此同时，创新供电所管理做法，梳理制度流程，规范财务管控标准，实行“一所一预算”，合理分配成本费用，缩减不必要的开支，提高资源配置的有效性，提</w:t>
      </w:r>
      <w:r>
        <w:rPr>
          <w:rFonts w:ascii="仿宋_GB2312" w:eastAsia="仿宋_GB2312" w:hAnsi="仿宋_GB2312" w:cs="仿宋_GB2312" w:hint="eastAsia"/>
        </w:rPr>
        <w:t>升公司经营效益。</w:t>
      </w:r>
      <w:r>
        <w:rPr>
          <w:rFonts w:ascii="仿宋_GB2312" w:eastAsia="仿宋_GB2312" w:hAnsi="仿宋_GB2312" w:cs="仿宋_GB2312" w:hint="eastAsia"/>
        </w:rPr>
        <w:t>2019</w:t>
      </w:r>
      <w:r>
        <w:rPr>
          <w:rFonts w:ascii="仿宋_GB2312" w:eastAsia="仿宋_GB2312" w:hAnsi="仿宋_GB2312" w:cs="仿宋_GB2312" w:hint="eastAsia"/>
        </w:rPr>
        <w:t>年孝感公司收入利润增长幅度较大，排名较去年有所提升，线损成本合理压降。供电所独立法人模拟测算投资效能指标中，</w:t>
      </w:r>
      <w:r>
        <w:rPr>
          <w:rFonts w:ascii="仿宋_GB2312" w:eastAsia="仿宋_GB2312" w:hAnsi="仿宋_GB2312" w:cs="仿宋_GB2312" w:hint="eastAsia"/>
        </w:rPr>
        <w:t>2019</w:t>
      </w:r>
      <w:r>
        <w:rPr>
          <w:rFonts w:ascii="仿宋_GB2312" w:eastAsia="仿宋_GB2312" w:hAnsi="仿宋_GB2312" w:cs="仿宋_GB2312" w:hint="eastAsia"/>
        </w:rPr>
        <w:t>年供电所每万元资产价值收入相比</w:t>
      </w:r>
      <w:r>
        <w:rPr>
          <w:rFonts w:ascii="仿宋_GB2312" w:eastAsia="仿宋_GB2312" w:hAnsi="仿宋_GB2312" w:cs="仿宋_GB2312" w:hint="eastAsia"/>
        </w:rPr>
        <w:t>2017</w:t>
      </w:r>
      <w:r>
        <w:rPr>
          <w:rFonts w:ascii="仿宋_GB2312" w:eastAsia="仿宋_GB2312" w:hAnsi="仿宋_GB2312" w:cs="仿宋_GB2312" w:hint="eastAsia"/>
        </w:rPr>
        <w:t>年增幅</w:t>
      </w:r>
      <w:r>
        <w:rPr>
          <w:rFonts w:ascii="仿宋_GB2312" w:eastAsia="仿宋_GB2312" w:hAnsi="仿宋_GB2312" w:cs="仿宋_GB2312" w:hint="eastAsia"/>
        </w:rPr>
        <w:t>11.11%</w:t>
      </w:r>
      <w:r>
        <w:rPr>
          <w:rFonts w:ascii="仿宋_GB2312" w:eastAsia="仿宋_GB2312" w:hAnsi="仿宋_GB2312" w:cs="仿宋_GB2312" w:hint="eastAsia"/>
        </w:rPr>
        <w:t>，配电线路及设备收入比逐年提高，三年平均配电线路及设备收入比为</w:t>
      </w:r>
      <w:r>
        <w:rPr>
          <w:rFonts w:ascii="仿宋_GB2312" w:eastAsia="仿宋_GB2312" w:hAnsi="仿宋_GB2312" w:cs="仿宋_GB2312" w:hint="eastAsia"/>
        </w:rPr>
        <w:t>0.86</w:t>
      </w:r>
      <w:r>
        <w:rPr>
          <w:rFonts w:ascii="仿宋_GB2312" w:eastAsia="仿宋_GB2312" w:hAnsi="仿宋_GB2312" w:cs="仿宋_GB2312" w:hint="eastAsia"/>
        </w:rPr>
        <w:t>，</w:t>
      </w:r>
      <w:r>
        <w:rPr>
          <w:rFonts w:ascii="仿宋_GB2312" w:eastAsia="仿宋_GB2312" w:hAnsi="仿宋_GB2312" w:cs="仿宋_GB2312" w:hint="eastAsia"/>
        </w:rPr>
        <w:t>9</w:t>
      </w:r>
      <w:r>
        <w:rPr>
          <w:rFonts w:ascii="仿宋_GB2312" w:eastAsia="仿宋_GB2312" w:hAnsi="仿宋_GB2312" w:cs="仿宋_GB2312" w:hint="eastAsia"/>
        </w:rPr>
        <w:t>个所超出平均水平；</w:t>
      </w:r>
      <w:r>
        <w:rPr>
          <w:rFonts w:ascii="仿宋_GB2312" w:eastAsia="仿宋_GB2312" w:hAnsi="仿宋_GB2312" w:cs="仿宋_GB2312" w:hint="eastAsia"/>
        </w:rPr>
        <w:t>2019</w:t>
      </w:r>
      <w:r>
        <w:rPr>
          <w:rFonts w:ascii="仿宋_GB2312" w:eastAsia="仿宋_GB2312" w:hAnsi="仿宋_GB2312" w:cs="仿宋_GB2312" w:hint="eastAsia"/>
        </w:rPr>
        <w:t>年供电所模拟内部利润贡献率为</w:t>
      </w:r>
      <w:r>
        <w:rPr>
          <w:rFonts w:ascii="仿宋_GB2312" w:eastAsia="仿宋_GB2312" w:hAnsi="仿宋_GB2312" w:cs="仿宋_GB2312" w:hint="eastAsia"/>
        </w:rPr>
        <w:t>27.38%</w:t>
      </w:r>
      <w:r>
        <w:rPr>
          <w:rFonts w:ascii="仿宋_GB2312" w:eastAsia="仿宋_GB2312" w:hAnsi="仿宋_GB2312" w:cs="仿宋_GB2312" w:hint="eastAsia"/>
        </w:rPr>
        <w:t>，其中仅有汉川、孝南、云梦模拟内部利润贡献率为正，有</w:t>
      </w:r>
      <w:r>
        <w:rPr>
          <w:rFonts w:ascii="仿宋_GB2312" w:eastAsia="仿宋_GB2312" w:hAnsi="仿宋_GB2312" w:cs="仿宋_GB2312" w:hint="eastAsia"/>
        </w:rPr>
        <w:t>24</w:t>
      </w:r>
      <w:r>
        <w:rPr>
          <w:rFonts w:ascii="仿宋_GB2312" w:eastAsia="仿宋_GB2312" w:hAnsi="仿宋_GB2312" w:cs="仿宋_GB2312" w:hint="eastAsia"/>
        </w:rPr>
        <w:t>个供电所经营贡献率为正数，孝南公司的东山头、毛陈供电所以及汉川公司的开发区、马口所供电所经营效益较好。在</w:t>
      </w:r>
      <w:r>
        <w:rPr>
          <w:rFonts w:ascii="仿宋_GB2312" w:eastAsia="仿宋_GB2312" w:hAnsi="仿宋_GB2312" w:cs="仿宋_GB2312" w:hint="eastAsia"/>
        </w:rPr>
        <w:t>2020</w:t>
      </w:r>
      <w:r>
        <w:rPr>
          <w:rFonts w:ascii="仿宋_GB2312" w:eastAsia="仿宋_GB2312" w:hAnsi="仿宋_GB2312" w:cs="仿宋_GB2312" w:hint="eastAsia"/>
        </w:rPr>
        <w:t>年预算分</w:t>
      </w:r>
      <w:r>
        <w:rPr>
          <w:rFonts w:ascii="仿宋_GB2312" w:eastAsia="仿宋_GB2312" w:hAnsi="仿宋_GB2312" w:cs="仿宋_GB2312" w:hint="eastAsia"/>
        </w:rPr>
        <w:t>配时对经营效益好的供电所有所倾斜。</w:t>
      </w:r>
    </w:p>
    <w:p w:rsidR="00C3363C" w:rsidRDefault="0082505F">
      <w:pPr>
        <w:spacing w:after="0"/>
        <w:ind w:firstLine="560"/>
        <w:rPr>
          <w:rFonts w:ascii="Calibri" w:eastAsia="仿宋_GB2312" w:hAnsi="Calibri" w:cs="Calibri"/>
        </w:rPr>
      </w:pPr>
      <w:r>
        <w:rPr>
          <w:rFonts w:ascii="仿宋_GB2312" w:eastAsia="仿宋_GB2312" w:hAnsi="仿宋_GB2312" w:cs="仿宋_GB2312"/>
        </w:rPr>
        <w:t>③</w:t>
      </w:r>
      <w:r>
        <w:rPr>
          <w:rFonts w:ascii="仿宋_GB2312" w:eastAsia="仿宋_GB2312" w:hAnsi="仿宋_GB2312" w:cs="仿宋_GB2312" w:hint="eastAsia"/>
        </w:rPr>
        <w:t>人员素</w:t>
      </w:r>
      <w:r>
        <w:rPr>
          <w:rFonts w:ascii="Calibri" w:eastAsia="仿宋_GB2312" w:hAnsi="Calibri" w:cs="Calibri" w:hint="eastAsia"/>
        </w:rPr>
        <w:t>质提升指标分析</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lastRenderedPageBreak/>
        <w:t>为提高供电所员工的专业素质和业务能力，公司常态化开展各类培训，线上线下相结合，并针对培训内容设置考核，定期公布考核结果，供电所之间横向比较，激发员工自主学习的能动性，塑造良好的比学赶超氛围。公司以“人员培训考核合格率”作为定量分析供电所员工素质提升的指标，</w:t>
      </w:r>
      <w:r>
        <w:rPr>
          <w:rFonts w:ascii="仿宋_GB2312" w:eastAsia="仿宋_GB2312" w:hAnsi="仿宋_GB2312" w:cs="仿宋_GB2312" w:hint="eastAsia"/>
        </w:rPr>
        <w:t>2020</w:t>
      </w:r>
      <w:r>
        <w:rPr>
          <w:rFonts w:ascii="仿宋_GB2312" w:eastAsia="仿宋_GB2312" w:hAnsi="仿宋_GB2312" w:cs="仿宋_GB2312" w:hint="eastAsia"/>
        </w:rPr>
        <w:t>年孝感公司供电所人员“人员培训考核合格率”达</w:t>
      </w:r>
      <w:r>
        <w:rPr>
          <w:rFonts w:ascii="仿宋_GB2312" w:eastAsia="仿宋_GB2312" w:hAnsi="仿宋_GB2312" w:cs="仿宋_GB2312" w:hint="eastAsia"/>
        </w:rPr>
        <w:t>100%</w:t>
      </w:r>
      <w:r>
        <w:rPr>
          <w:rFonts w:ascii="仿宋_GB2312" w:eastAsia="仿宋_GB2312" w:hAnsi="仿宋_GB2312" w:cs="仿宋_GB2312" w:hint="eastAsia"/>
        </w:rPr>
        <w:t>，全员积极参与，在工作的同时将培训知识与实践相结合，能力素质得到有效提升。</w:t>
      </w:r>
    </w:p>
    <w:p w:rsidR="00C3363C" w:rsidRDefault="0082505F">
      <w:pPr>
        <w:spacing w:after="0"/>
        <w:ind w:firstLine="562"/>
        <w:rPr>
          <w:rFonts w:ascii="仿宋_GB2312" w:eastAsia="仿宋_GB2312" w:hAnsi="仿宋_GB2312" w:cs="仿宋_GB2312"/>
          <w:b/>
          <w:bCs/>
        </w:rPr>
      </w:pPr>
      <w:bookmarkStart w:id="33" w:name="_Toc1085_WPSOffice_Level3"/>
      <w:r>
        <w:rPr>
          <w:rFonts w:ascii="仿宋_GB2312" w:eastAsia="仿宋_GB2312" w:hAnsi="仿宋_GB2312" w:cs="仿宋_GB2312" w:hint="eastAsia"/>
          <w:b/>
          <w:bCs/>
        </w:rPr>
        <w:t>(4)</w:t>
      </w:r>
      <w:r>
        <w:rPr>
          <w:rFonts w:ascii="仿宋_GB2312" w:eastAsia="仿宋_GB2312" w:hAnsi="仿宋_GB2312" w:cs="仿宋_GB2312" w:hint="eastAsia"/>
          <w:b/>
          <w:bCs/>
        </w:rPr>
        <w:t>常态检查：突击队</w:t>
      </w:r>
      <w:bookmarkEnd w:id="33"/>
      <w:r>
        <w:rPr>
          <w:rFonts w:ascii="仿宋_GB2312" w:eastAsia="仿宋_GB2312" w:hAnsi="仿宋_GB2312" w:cs="仿宋_GB2312" w:hint="eastAsia"/>
          <w:b/>
          <w:bCs/>
        </w:rPr>
        <w:t>发现协调解决问题</w:t>
      </w:r>
    </w:p>
    <w:p w:rsidR="00C3363C" w:rsidRDefault="00C3363C">
      <w:pPr>
        <w:ind w:firstLineChars="0" w:firstLine="0"/>
      </w:pPr>
    </w:p>
    <w:p w:rsidR="00C3363C" w:rsidRDefault="0082505F">
      <w:pPr>
        <w:overflowPunct w:val="0"/>
        <w:autoSpaceDE w:val="0"/>
        <w:autoSpaceDN w:val="0"/>
        <w:adjustRightInd w:val="0"/>
        <w:snapToGrid w:val="0"/>
        <w:spacing w:line="360" w:lineRule="auto"/>
        <w:ind w:firstLine="560"/>
        <w:jc w:val="left"/>
        <w:rPr>
          <w:rFonts w:ascii="仿宋_GB2312" w:eastAsia="仿宋_GB2312" w:hAnsi="仿宋_GB2312" w:cs="仿宋_GB2312"/>
          <w:szCs w:val="32"/>
        </w:rPr>
      </w:pPr>
      <w:r>
        <w:rPr>
          <w:rFonts w:ascii="仿宋_GB2312" w:eastAsia="仿宋_GB2312" w:hAnsi="仿宋_GB2312" w:cs="仿宋_GB2312" w:hint="eastAsia"/>
          <w:noProof/>
          <w:szCs w:val="32"/>
        </w:rPr>
        <w:drawing>
          <wp:inline distT="0" distB="0" distL="114300" distR="114300">
            <wp:extent cx="4851400" cy="3206750"/>
            <wp:effectExtent l="25400" t="12700" r="63500" b="19050"/>
            <wp:docPr id="14" name="图示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C3363C" w:rsidRDefault="0082505F">
      <w:pPr>
        <w:overflowPunct w:val="0"/>
        <w:autoSpaceDE w:val="0"/>
        <w:autoSpaceDN w:val="0"/>
        <w:adjustRightInd w:val="0"/>
        <w:snapToGrid w:val="0"/>
        <w:spacing w:line="360" w:lineRule="auto"/>
        <w:ind w:firstLine="560"/>
        <w:jc w:val="center"/>
        <w:rPr>
          <w:rFonts w:ascii="仿宋_GB2312" w:eastAsia="仿宋_GB2312" w:hAnsi="仿宋_GB2312" w:cs="仿宋_GB2312"/>
        </w:rPr>
      </w:pPr>
      <w:r>
        <w:rPr>
          <w:rFonts w:ascii="仿宋_GB2312" w:eastAsia="仿宋_GB2312" w:hAnsi="仿宋_GB2312" w:cs="仿宋_GB2312" w:hint="eastAsia"/>
        </w:rPr>
        <w:t>图</w:t>
      </w:r>
      <w:r>
        <w:rPr>
          <w:rFonts w:ascii="仿宋_GB2312" w:eastAsia="仿宋_GB2312" w:hAnsi="仿宋_GB2312" w:cs="仿宋_GB2312" w:hint="eastAsia"/>
        </w:rPr>
        <w:t>5.</w:t>
      </w:r>
      <w:r>
        <w:rPr>
          <w:rFonts w:ascii="仿宋_GB2312" w:eastAsia="仿宋_GB2312" w:hAnsi="仿宋_GB2312" w:cs="仿宋_GB2312" w:hint="eastAsia"/>
        </w:rPr>
        <w:t>突击队工作方案图</w:t>
      </w:r>
    </w:p>
    <w:p w:rsidR="00C3363C" w:rsidRDefault="0082505F">
      <w:pPr>
        <w:ind w:firstLine="560"/>
        <w:rPr>
          <w:rFonts w:ascii="仿宋_GB2312" w:eastAsia="仿宋_GB2312" w:hAnsi="仿宋_GB2312" w:cs="仿宋_GB2312"/>
        </w:rPr>
      </w:pPr>
      <w:bookmarkStart w:id="34" w:name="_Toc26226_WPSOffice_Level3"/>
      <w:r>
        <w:rPr>
          <w:rFonts w:ascii="仿宋_GB2312" w:eastAsia="仿宋_GB2312" w:hAnsi="仿宋_GB2312" w:cs="仿宋_GB2312" w:hint="eastAsia"/>
        </w:rPr>
        <w:t>基于基层供电所提质增效关键指标分析，孝感公司挑选相关部门业务骨干组成了提质增效突击队，到基层供电所实地检查，发现问题并协调解决问题。</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lastRenderedPageBreak/>
        <w:t>突击队由财务资产部门牵头，办公室、党委组织部（人力资源部）、党委党建部（党委宣传部、工会、团委）、集体企业管理办公室等部门人员组成。突击队建立了任务清单和责任清单，涵盖</w:t>
      </w:r>
      <w:r>
        <w:rPr>
          <w:rFonts w:ascii="仿宋_GB2312" w:eastAsia="仿宋_GB2312" w:hAnsi="仿宋_GB2312" w:cs="仿宋_GB2312" w:hint="eastAsia"/>
        </w:rPr>
        <w:t>24</w:t>
      </w:r>
      <w:r>
        <w:rPr>
          <w:rFonts w:ascii="仿宋_GB2312" w:eastAsia="仿宋_GB2312" w:hAnsi="仿宋_GB2312" w:cs="仿宋_GB2312" w:hint="eastAsia"/>
        </w:rPr>
        <w:t>项重点任务和</w:t>
      </w:r>
      <w:r>
        <w:rPr>
          <w:rFonts w:ascii="仿宋_GB2312" w:eastAsia="仿宋_GB2312" w:hAnsi="仿宋_GB2312" w:cs="仿宋_GB2312" w:hint="eastAsia"/>
        </w:rPr>
        <w:t>70</w:t>
      </w:r>
      <w:r>
        <w:rPr>
          <w:rFonts w:ascii="仿宋_GB2312" w:eastAsia="仿宋_GB2312" w:hAnsi="仿宋_GB2312" w:cs="仿宋_GB2312" w:hint="eastAsia"/>
        </w:rPr>
        <w:t>条具体措施，对供电所进行</w:t>
      </w:r>
      <w:r>
        <w:rPr>
          <w:rFonts w:ascii="仿宋_GB2312" w:eastAsia="仿宋_GB2312" w:hAnsi="仿宋_GB2312" w:cs="仿宋_GB2312" w:hint="eastAsia"/>
        </w:rPr>
        <w:t>12</w:t>
      </w:r>
      <w:r>
        <w:rPr>
          <w:rFonts w:ascii="仿宋_GB2312" w:eastAsia="仿宋_GB2312" w:hAnsi="仿宋_GB2312" w:cs="仿宋_GB2312" w:hint="eastAsia"/>
        </w:rPr>
        <w:t>余次现场督导和宣传交流，提炼工作亮点和成效、开展成效评估，完成省、市公司制定的提质增效工作任务和细化措施。</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突击队形成了完善的工作机制，五大机制层层推进，以实现公</w:t>
      </w:r>
      <w:r>
        <w:rPr>
          <w:rFonts w:ascii="仿宋_GB2312" w:eastAsia="仿宋_GB2312" w:hAnsi="仿宋_GB2312" w:cs="仿宋_GB2312" w:hint="eastAsia"/>
        </w:rPr>
        <w:t>司和电网发展质效双提升。一是会议制度，突击队定期召开周例会和季度工作推进会，总结汇报工作开展情况，协调解决工作问题，并针对各专业部门工作进展情况适时召开专题会议。二是通报机制，每周、每月定期通报各所的工作进展和各项指标完成情况，对供电所进行横向比较。三是调研督导机制，对指标排名连续落后、改进效果不明显、工作进度滞后的责任主体进行工作督导。四是“党建</w:t>
      </w:r>
      <w:r>
        <w:rPr>
          <w:rFonts w:ascii="仿宋_GB2312" w:eastAsia="仿宋_GB2312" w:hAnsi="仿宋_GB2312" w:cs="仿宋_GB2312" w:hint="eastAsia"/>
        </w:rPr>
        <w:t>+</w:t>
      </w:r>
      <w:r>
        <w:rPr>
          <w:rFonts w:ascii="仿宋_GB2312" w:eastAsia="仿宋_GB2312" w:hAnsi="仿宋_GB2312" w:cs="仿宋_GB2312" w:hint="eastAsia"/>
        </w:rPr>
        <w:t>提质增效”融合机制，推进党建工作和提质增效工作同向聚合、相融并进。五是评价机制，实行“积分制”，打破“平均主义”，将乡镇供电所负责人薪酬与供电所业绩、指标挂钩，</w:t>
      </w:r>
      <w:r>
        <w:rPr>
          <w:rFonts w:ascii="仿宋_GB2312" w:eastAsia="仿宋_GB2312" w:hAnsi="仿宋_GB2312" w:cs="仿宋_GB2312" w:hint="eastAsia"/>
        </w:rPr>
        <w:t>通过绩效激励的方式，营造全公司提质增效的业务氛围。</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通过广泛宣传动员、征集合理化建议、协调监督提质增效工作、总结评估成效等工作举措，让检查常态化、让管理精细化、让经验成果化。以激励与批评并行，促进基层供电质效提升。</w:t>
      </w:r>
    </w:p>
    <w:p w:rsidR="00C3363C" w:rsidRDefault="0082505F">
      <w:pPr>
        <w:spacing w:after="0"/>
        <w:ind w:firstLine="562"/>
        <w:rPr>
          <w:rFonts w:ascii="仿宋_GB2312" w:eastAsia="仿宋_GB2312" w:hAnsi="仿宋_GB2312" w:cs="仿宋_GB2312"/>
          <w:b/>
          <w:bCs/>
        </w:rPr>
      </w:pPr>
      <w:bookmarkStart w:id="35" w:name="_Toc26411_WPSOffice_Level3"/>
      <w:r>
        <w:rPr>
          <w:rFonts w:ascii="仿宋_GB2312" w:eastAsia="仿宋_GB2312" w:hAnsi="仿宋_GB2312" w:cs="仿宋_GB2312" w:hint="eastAsia"/>
          <w:b/>
          <w:bCs/>
        </w:rPr>
        <w:t>(5)</w:t>
      </w:r>
      <w:r>
        <w:rPr>
          <w:rFonts w:ascii="仿宋_GB2312" w:eastAsia="仿宋_GB2312" w:hAnsi="仿宋_GB2312" w:cs="仿宋_GB2312" w:hint="eastAsia"/>
          <w:b/>
          <w:bCs/>
        </w:rPr>
        <w:t>管理优化：多措并举改进供电所管理</w:t>
      </w:r>
      <w:bookmarkEnd w:id="35"/>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基于项目数据分析和常态化检查结果，公司采取了多种措施对供电所管理进行优化，最终建立三种改进机制：自查自纠的“闭环”改</w:t>
      </w:r>
      <w:r>
        <w:rPr>
          <w:rFonts w:ascii="仿宋_GB2312" w:eastAsia="仿宋_GB2312" w:hAnsi="仿宋_GB2312" w:cs="仿宋_GB2312" w:hint="eastAsia"/>
        </w:rPr>
        <w:lastRenderedPageBreak/>
        <w:t>进、互帮互助的共同提升和经验沉淀的长效机制。</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rPr>
        <w:t>①</w:t>
      </w:r>
      <w:r>
        <w:rPr>
          <w:rFonts w:ascii="仿宋_GB2312" w:eastAsia="仿宋_GB2312" w:hAnsi="仿宋_GB2312" w:cs="仿宋_GB2312" w:hint="eastAsia"/>
        </w:rPr>
        <w:t>分析短板的“闭环”改进机制</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闭环改进机制是各县公司和基层供电所在公司目前管理做法的基础上</w:t>
      </w:r>
      <w:r>
        <w:rPr>
          <w:rFonts w:ascii="仿宋_GB2312" w:eastAsia="仿宋_GB2312" w:hAnsi="仿宋_GB2312" w:cs="仿宋_GB2312" w:hint="eastAsia"/>
        </w:rPr>
        <w:t>,</w:t>
      </w:r>
      <w:r>
        <w:rPr>
          <w:rFonts w:ascii="仿宋_GB2312" w:eastAsia="仿宋_GB2312" w:hAnsi="仿宋_GB2312" w:cs="仿宋_GB2312" w:hint="eastAsia"/>
        </w:rPr>
        <w:t>通</w:t>
      </w:r>
      <w:r>
        <w:rPr>
          <w:rFonts w:ascii="仿宋_GB2312" w:eastAsia="仿宋_GB2312" w:hAnsi="仿宋_GB2312" w:cs="仿宋_GB2312" w:hint="eastAsia"/>
        </w:rPr>
        <w:t>过自查自纠分析短板的方式进行经营管理优化机制。机制开展分为县公司和供电所两级主体，按照“县对所、所对台区”的方式进行。机制实施分三步进行，第一步，县公司和供电所根据提升年系列活动成果和独立法人模拟测算指标结果，对其下属机构的经营效益进行分析；第二步，县公司和供电所根据自身的短板找到相应的标杆机构的标杆做法，对照标杆找差距。第三步，县公司和供电所根据其与标杆的差距研究解决办法。县公司重点研究在管理方式、管理手段、技术投入、资金投入等方面的不足，供电所重点查找业务环节管控、管理要求落实方面的短板。</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机制实施要求</w:t>
      </w:r>
      <w:r>
        <w:rPr>
          <w:rFonts w:ascii="仿宋_GB2312" w:eastAsia="仿宋_GB2312" w:hAnsi="仿宋_GB2312" w:cs="仿宋_GB2312" w:hint="eastAsia"/>
        </w:rPr>
        <w:t>县公司和供电所根据效益指标差距梳理经营短板，并形成《经营短板问题台账》。公司汇总各部门专业问题</w:t>
      </w:r>
      <w:r>
        <w:rPr>
          <w:rFonts w:ascii="仿宋_GB2312" w:eastAsia="仿宋_GB2312" w:hAnsi="仿宋_GB2312" w:cs="仿宋_GB2312" w:hint="eastAsia"/>
        </w:rPr>
        <w:t>126</w:t>
      </w:r>
      <w:r>
        <w:rPr>
          <w:rFonts w:ascii="仿宋_GB2312" w:eastAsia="仿宋_GB2312" w:hAnsi="仿宋_GB2312" w:cs="仿宋_GB2312" w:hint="eastAsia"/>
        </w:rPr>
        <w:t>条，逐一查明短板形成原因，厘清责任主体并统一进行整改，实行问题“闭环销号”。公司各级单位就经营短板与问题整改进程与上级公司相关专业部门保持沟通，通过“上下联动”的方式跨过整改深水区。</w:t>
      </w:r>
    </w:p>
    <w:p w:rsidR="00C3363C" w:rsidRDefault="0082505F">
      <w:pPr>
        <w:spacing w:after="0"/>
        <w:ind w:left="560" w:firstLineChars="0" w:firstLine="0"/>
        <w:rPr>
          <w:rFonts w:ascii="仿宋_GB2312" w:eastAsia="仿宋_GB2312" w:hAnsi="仿宋_GB2312" w:cs="仿宋_GB2312"/>
        </w:rPr>
      </w:pPr>
      <w:r>
        <w:rPr>
          <w:rFonts w:ascii="仿宋_GB2312" w:eastAsia="仿宋_GB2312" w:hAnsi="仿宋_GB2312" w:cs="仿宋_GB2312"/>
        </w:rPr>
        <w:t>②</w:t>
      </w:r>
      <w:r>
        <w:rPr>
          <w:rFonts w:ascii="仿宋_GB2312" w:eastAsia="仿宋_GB2312" w:hAnsi="仿宋_GB2312" w:cs="仿宋_GB2312" w:hint="eastAsia"/>
        </w:rPr>
        <w:t>交流帮扶的共同提升机制</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共同提升机制是建立在信息互通、经验共享上的管理优化机制。机制开展分为市公司和县公司两级主体，按照“市对县、县对所”的方式进行。市县公司要加强与下属机构沟通，对下属机构的经营效益、团队建设、服务与管理质量</w:t>
      </w:r>
      <w:r>
        <w:rPr>
          <w:rFonts w:ascii="仿宋_GB2312" w:eastAsia="仿宋_GB2312" w:hAnsi="仿宋_GB2312" w:cs="仿宋_GB2312" w:hint="eastAsia"/>
        </w:rPr>
        <w:t>等基本情况进行梳理分析，并找到下属机构的薄弱环节，建立定点、定向的帮扶机制，促进落后县、所尽快补</w:t>
      </w:r>
      <w:r>
        <w:rPr>
          <w:rFonts w:ascii="仿宋_GB2312" w:eastAsia="仿宋_GB2312" w:hAnsi="仿宋_GB2312" w:cs="仿宋_GB2312" w:hint="eastAsia"/>
        </w:rPr>
        <w:lastRenderedPageBreak/>
        <w:t>齐短板，改进提升。</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首先，县公司职能部室到供电所开展“结对子”活动，</w:t>
      </w:r>
      <w:r>
        <w:rPr>
          <w:rFonts w:ascii="仿宋_GB2312" w:eastAsia="仿宋_GB2312" w:hAnsi="仿宋_GB2312" w:cs="仿宋_GB2312" w:hint="eastAsia"/>
        </w:rPr>
        <w:t>2019</w:t>
      </w:r>
      <w:r>
        <w:rPr>
          <w:rFonts w:ascii="仿宋_GB2312" w:eastAsia="仿宋_GB2312" w:hAnsi="仿宋_GB2312" w:cs="仿宋_GB2312" w:hint="eastAsia"/>
        </w:rPr>
        <w:t>年各县公司成立以总经理为组长的供电所突击队，不定期到供电所开展座谈、督导活动；其次，在先进单位和落后单位之间开展“互助帮扶”行动，如云梦义堂所将试点“四全”供电所典型做法带到大悟丰店所，推进“义堂模式”；最后，借助内网专栏、专业座谈、宣传报道、现场调研等形式，根据评价指标选取代表单位孝南东山头所，进行专题经验分享，互鉴典型做法，共同破解难</w:t>
      </w:r>
      <w:r>
        <w:rPr>
          <w:rFonts w:ascii="仿宋_GB2312" w:eastAsia="仿宋_GB2312" w:hAnsi="仿宋_GB2312" w:cs="仿宋_GB2312" w:hint="eastAsia"/>
        </w:rPr>
        <w:t>题，实现“一体化”管理提升。</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rPr>
        <w:t>③</w:t>
      </w:r>
      <w:r>
        <w:rPr>
          <w:rFonts w:ascii="仿宋_GB2312" w:eastAsia="仿宋_GB2312" w:hAnsi="仿宋_GB2312" w:cs="仿宋_GB2312" w:hint="eastAsia"/>
        </w:rPr>
        <w:t>成果运用的长效机制</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积极推广应用“供电所提质增效”工作成果。一是将项目开展后的效果、项目资源使用状况、项目实施后仍未解决的</w:t>
      </w:r>
      <w:r>
        <w:rPr>
          <w:rFonts w:ascii="仿宋_GB2312" w:eastAsia="仿宋_GB2312" w:hAnsi="仿宋_GB2312" w:cs="仿宋_GB2312" w:hint="eastAsia"/>
        </w:rPr>
        <w:t>37</w:t>
      </w:r>
      <w:r>
        <w:rPr>
          <w:rFonts w:ascii="仿宋_GB2312" w:eastAsia="仿宋_GB2312" w:hAnsi="仿宋_GB2312" w:cs="仿宋_GB2312" w:hint="eastAsia"/>
        </w:rPr>
        <w:t>条问题等进行汇总，对项目的成果进行分析和评估，全面总结工作经验和管理成效，提炼典型经验、做法，转化为典型案例，申报管理创新成果等；二是每年根据各单位项目开展情况和成效评估，通过经验分享会、心得座谈会、专栏报道等多种方式，在孝感公司范围内进行宣传和推广，沉淀管理经验；三是搭建成果转化应用平台，从机制、保障、效率等方面提升成果推广能力，通过一定的程序，将项</w:t>
      </w:r>
      <w:r>
        <w:rPr>
          <w:rFonts w:ascii="仿宋_GB2312" w:eastAsia="仿宋_GB2312" w:hAnsi="仿宋_GB2312" w:cs="仿宋_GB2312" w:hint="eastAsia"/>
        </w:rPr>
        <w:t>目的典型经验升级为孝感公司的操作程序或制度标准，融入管理机制。</w:t>
      </w:r>
    </w:p>
    <w:p w:rsidR="00C3363C" w:rsidRDefault="0082505F">
      <w:pPr>
        <w:ind w:firstLine="562"/>
        <w:rPr>
          <w:rFonts w:ascii="仿宋_GB2312" w:eastAsia="仿宋_GB2312" w:hAnsi="仿宋_GB2312" w:cs="仿宋_GB2312"/>
          <w:b/>
          <w:bCs/>
        </w:rPr>
      </w:pPr>
      <w:r>
        <w:rPr>
          <w:rFonts w:ascii="仿宋_GB2312" w:eastAsia="仿宋_GB2312" w:hAnsi="仿宋_GB2312" w:cs="仿宋_GB2312" w:hint="eastAsia"/>
          <w:b/>
          <w:bCs/>
        </w:rPr>
        <w:t>（</w:t>
      </w:r>
      <w:r>
        <w:rPr>
          <w:rFonts w:ascii="仿宋_GB2312" w:eastAsia="仿宋_GB2312" w:hAnsi="仿宋_GB2312" w:cs="仿宋_GB2312" w:hint="eastAsia"/>
          <w:b/>
          <w:bCs/>
        </w:rPr>
        <w:t>6</w:t>
      </w:r>
      <w:r>
        <w:rPr>
          <w:rFonts w:ascii="仿宋_GB2312" w:eastAsia="仿宋_GB2312" w:hAnsi="仿宋_GB2312" w:cs="仿宋_GB2312" w:hint="eastAsia"/>
          <w:b/>
          <w:bCs/>
        </w:rPr>
        <w:t>）亮相评比：利用管理平台</w:t>
      </w:r>
      <w:bookmarkEnd w:id="34"/>
      <w:r>
        <w:rPr>
          <w:rFonts w:ascii="仿宋_GB2312" w:eastAsia="仿宋_GB2312" w:hAnsi="仿宋_GB2312" w:cs="仿宋_GB2312" w:hint="eastAsia"/>
          <w:b/>
          <w:bCs/>
        </w:rPr>
        <w:t>全方位展现工作成果</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孝感公司以</w:t>
      </w:r>
      <w:r>
        <w:rPr>
          <w:rFonts w:ascii="仿宋_GB2312" w:eastAsia="仿宋_GB2312" w:hAnsi="仿宋_GB2312" w:cs="仿宋_GB2312" w:hint="eastAsia"/>
        </w:rPr>
        <w:t>92</w:t>
      </w:r>
      <w:r>
        <w:rPr>
          <w:rFonts w:ascii="仿宋_GB2312" w:eastAsia="仿宋_GB2312" w:hAnsi="仿宋_GB2312" w:cs="仿宋_GB2312" w:hint="eastAsia"/>
        </w:rPr>
        <w:t>个基层供电所为主要对象，根据供电所年售电量、公用配电台区数量、服务客户数、供电所服务面积及地形等因素，将供电所分为城区、特大、</w:t>
      </w:r>
      <w:r>
        <w:rPr>
          <w:rFonts w:ascii="仿宋_GB2312" w:eastAsia="仿宋_GB2312" w:hAnsi="仿宋_GB2312" w:cs="仿宋_GB2312" w:hint="eastAsia"/>
        </w:rPr>
        <w:t>A</w:t>
      </w:r>
      <w:r>
        <w:rPr>
          <w:rFonts w:ascii="仿宋_GB2312" w:eastAsia="仿宋_GB2312" w:hAnsi="仿宋_GB2312" w:cs="仿宋_GB2312" w:hint="eastAsia"/>
        </w:rPr>
        <w:t>、</w:t>
      </w:r>
      <w:r>
        <w:rPr>
          <w:rFonts w:ascii="仿宋_GB2312" w:eastAsia="仿宋_GB2312" w:hAnsi="仿宋_GB2312" w:cs="仿宋_GB2312" w:hint="eastAsia"/>
        </w:rPr>
        <w:t>B</w:t>
      </w:r>
      <w:r>
        <w:rPr>
          <w:rFonts w:ascii="仿宋_GB2312" w:eastAsia="仿宋_GB2312" w:hAnsi="仿宋_GB2312" w:cs="仿宋_GB2312" w:hint="eastAsia"/>
        </w:rPr>
        <w:t>、</w:t>
      </w:r>
      <w:r>
        <w:rPr>
          <w:rFonts w:ascii="仿宋_GB2312" w:eastAsia="仿宋_GB2312" w:hAnsi="仿宋_GB2312" w:cs="仿宋_GB2312" w:hint="eastAsia"/>
        </w:rPr>
        <w:t>C</w:t>
      </w:r>
      <w:r>
        <w:rPr>
          <w:rFonts w:ascii="仿宋_GB2312" w:eastAsia="仿宋_GB2312" w:hAnsi="仿宋_GB2312" w:cs="仿宋_GB2312" w:hint="eastAsia"/>
        </w:rPr>
        <w:t>、</w:t>
      </w:r>
      <w:r>
        <w:rPr>
          <w:rFonts w:ascii="仿宋_GB2312" w:eastAsia="仿宋_GB2312" w:hAnsi="仿宋_GB2312" w:cs="仿宋_GB2312" w:hint="eastAsia"/>
        </w:rPr>
        <w:t>D</w:t>
      </w:r>
      <w:r>
        <w:rPr>
          <w:rFonts w:ascii="仿宋_GB2312" w:eastAsia="仿宋_GB2312" w:hAnsi="仿宋_GB2312" w:cs="仿宋_GB2312" w:hint="eastAsia"/>
        </w:rPr>
        <w:t>共六类进行差异化评比，搭建比成效、比潜力、比贡献的评价管理平台，评价管理平台运行遵循“常</w:t>
      </w:r>
      <w:r>
        <w:rPr>
          <w:rFonts w:ascii="仿宋_GB2312" w:eastAsia="仿宋_GB2312" w:hAnsi="仿宋_GB2312" w:cs="仿宋_GB2312" w:hint="eastAsia"/>
        </w:rPr>
        <w:lastRenderedPageBreak/>
        <w:t>态开展、动态比较、持续改进”原则，通过差异化评价，评比结果更好优化计划的制定和实施，形成六个环节完整闭环。</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在具体实施上，首先，专业部门每年对</w:t>
      </w:r>
      <w:r>
        <w:rPr>
          <w:rFonts w:ascii="仿宋_GB2312" w:eastAsia="仿宋_GB2312" w:hAnsi="仿宋_GB2312" w:cs="仿宋_GB2312" w:hint="eastAsia"/>
        </w:rPr>
        <w:t>92</w:t>
      </w:r>
      <w:r>
        <w:rPr>
          <w:rFonts w:ascii="仿宋_GB2312" w:eastAsia="仿宋_GB2312" w:hAnsi="仿宋_GB2312" w:cs="仿宋_GB2312" w:hint="eastAsia"/>
        </w:rPr>
        <w:t>个供电所管理关键指标进行梳理汇总，对指标具体分析，通过评价管理平台发布分析结果，掌握每个供电所的业务运行情况，为上级公司制定</w:t>
      </w:r>
      <w:r>
        <w:rPr>
          <w:rFonts w:ascii="仿宋_GB2312" w:eastAsia="仿宋_GB2312" w:hAnsi="仿宋_GB2312" w:cs="仿宋_GB2312" w:hint="eastAsia"/>
        </w:rPr>
        <w:t>管理措施以及指导基层供电所改进提供坚实的数据基础；其次，通过评价管理平台，通报发布各供电所提质增效指标完成情况及排名结果，形成“比学赶超”的竞争学习氛围；最后，组织各县公司轮流编写供电所提质增效总结，通过评价管理平台分享高质量总结</w:t>
      </w:r>
      <w:r>
        <w:rPr>
          <w:rFonts w:ascii="仿宋_GB2312" w:eastAsia="仿宋_GB2312" w:hAnsi="仿宋_GB2312" w:cs="仿宋_GB2312" w:hint="eastAsia"/>
        </w:rPr>
        <w:t>3</w:t>
      </w:r>
      <w:r>
        <w:rPr>
          <w:rFonts w:ascii="仿宋_GB2312" w:eastAsia="仿宋_GB2312" w:hAnsi="仿宋_GB2312" w:cs="仿宋_GB2312" w:hint="eastAsia"/>
        </w:rPr>
        <w:t>篇，分别从“增收、降本、提质”三个维度全面展示工作成效，促进各县公司的经验交流，引导各单位向标杆学习，在县所之间相互对照、相互学习，促进共同进步，同时也可将上级公司的经营管理压力传递到县公司以及基层供电所，将基层供电所的业务信息通过县市公司汇总到上级公司，实现三级主体在经营理念和</w:t>
      </w:r>
      <w:r>
        <w:rPr>
          <w:rFonts w:ascii="仿宋_GB2312" w:eastAsia="仿宋_GB2312" w:hAnsi="仿宋_GB2312" w:cs="仿宋_GB2312" w:hint="eastAsia"/>
        </w:rPr>
        <w:t>业务信息的互通。</w:t>
      </w:r>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评价管理平台不仅是各供电所展现业务效益的平台，也是各供电所交流经验，共同提升的平台。平台将长期服务于基层供电所效益的提升，并根据实际运行情况不断调整指标参数以及运行方式。</w:t>
      </w:r>
    </w:p>
    <w:p w:rsidR="00C3363C" w:rsidRDefault="0082505F">
      <w:pPr>
        <w:pStyle w:val="3"/>
        <w:numPr>
          <w:ilvl w:val="0"/>
          <w:numId w:val="0"/>
        </w:numPr>
        <w:spacing w:afterLines="50" w:after="156"/>
        <w:ind w:firstLineChars="200" w:firstLine="562"/>
        <w:rPr>
          <w:rFonts w:ascii="仿宋_GB2312" w:eastAsia="仿宋_GB2312" w:hAnsi="仿宋_GB2312" w:cs="仿宋_GB2312"/>
          <w:b/>
          <w:bCs/>
        </w:rPr>
      </w:pPr>
      <w:bookmarkStart w:id="36" w:name="_Toc54599267"/>
      <w:bookmarkStart w:id="37" w:name="_Toc1085_WPSOffice_Level2"/>
      <w:r>
        <w:rPr>
          <w:rFonts w:ascii="仿宋_GB2312" w:eastAsia="仿宋_GB2312" w:hAnsi="仿宋_GB2312" w:cs="仿宋_GB2312" w:hint="eastAsia"/>
          <w:b/>
          <w:bCs/>
        </w:rPr>
        <w:t>4.</w:t>
      </w:r>
      <w:r>
        <w:rPr>
          <w:rFonts w:ascii="仿宋_GB2312" w:eastAsia="仿宋_GB2312" w:hAnsi="仿宋_GB2312" w:cs="仿宋_GB2312" w:hint="eastAsia"/>
          <w:b/>
          <w:bCs/>
        </w:rPr>
        <w:t>四大保障</w:t>
      </w:r>
      <w:bookmarkEnd w:id="36"/>
      <w:bookmarkEnd w:id="37"/>
    </w:p>
    <w:p w:rsidR="00C3363C" w:rsidRDefault="0082505F">
      <w:pPr>
        <w:pStyle w:val="4"/>
        <w:spacing w:beforeLines="0" w:before="0" w:afterLines="50" w:after="156"/>
        <w:ind w:firstLine="562"/>
        <w:rPr>
          <w:rFonts w:ascii="仿宋_GB2312" w:eastAsia="仿宋_GB2312" w:hAnsi="仿宋_GB2312" w:cs="仿宋_GB2312"/>
          <w:szCs w:val="24"/>
        </w:rPr>
      </w:pPr>
      <w:bookmarkStart w:id="38" w:name="_Toc14425_WPSOffice_Level3"/>
      <w:r>
        <w:rPr>
          <w:rFonts w:ascii="仿宋_GB2312" w:eastAsia="仿宋_GB2312" w:hAnsi="仿宋_GB2312" w:cs="仿宋_GB2312" w:hint="eastAsia"/>
          <w:szCs w:val="24"/>
        </w:rPr>
        <w:t>（</w:t>
      </w:r>
      <w:r>
        <w:rPr>
          <w:rFonts w:ascii="仿宋_GB2312" w:eastAsia="仿宋_GB2312" w:hAnsi="仿宋_GB2312" w:cs="仿宋_GB2312" w:hint="eastAsia"/>
          <w:szCs w:val="24"/>
        </w:rPr>
        <w:t>1</w:t>
      </w:r>
      <w:r>
        <w:rPr>
          <w:rFonts w:ascii="仿宋_GB2312" w:eastAsia="仿宋_GB2312" w:hAnsi="仿宋_GB2312" w:cs="仿宋_GB2312" w:hint="eastAsia"/>
          <w:szCs w:val="24"/>
        </w:rPr>
        <w:t>）分层组建组织体系，落实组织保障</w:t>
      </w:r>
      <w:bookmarkEnd w:id="38"/>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成立专项工作小组，专门负责项目实施，确保工作有序开展；组建供电所突击队，以多部门联合参与为导向，以跨部门协同配合为基础，促进信息一体化运行和统一调度资源。成立部门柔性团队，在项目实施的动态过程中不断适应环境和进行团队自我优化调整。</w:t>
      </w:r>
    </w:p>
    <w:p w:rsidR="00C3363C" w:rsidRDefault="0082505F">
      <w:pPr>
        <w:pStyle w:val="4"/>
        <w:spacing w:before="312"/>
        <w:ind w:firstLine="562"/>
        <w:rPr>
          <w:rFonts w:ascii="仿宋_GB2312" w:eastAsia="仿宋_GB2312" w:hAnsi="仿宋_GB2312" w:cs="仿宋_GB2312"/>
        </w:rPr>
      </w:pPr>
      <w:bookmarkStart w:id="39" w:name="_Toc15264_WPSOffice_Level3"/>
      <w:r>
        <w:rPr>
          <w:rFonts w:ascii="仿宋_GB2312" w:eastAsia="仿宋_GB2312" w:hAnsi="仿宋_GB2312" w:cs="仿宋_GB2312" w:hint="eastAsia"/>
        </w:rPr>
        <w:lastRenderedPageBreak/>
        <w:t>（</w:t>
      </w:r>
      <w:r>
        <w:rPr>
          <w:rFonts w:ascii="仿宋_GB2312" w:eastAsia="仿宋_GB2312" w:hAnsi="仿宋_GB2312" w:cs="仿宋_GB2312" w:hint="eastAsia"/>
        </w:rPr>
        <w:t>2</w:t>
      </w:r>
      <w:r>
        <w:rPr>
          <w:rFonts w:ascii="仿宋_GB2312" w:eastAsia="仿宋_GB2312" w:hAnsi="仿宋_GB2312" w:cs="仿宋_GB2312" w:hint="eastAsia"/>
        </w:rPr>
        <w:t>）规范制定各类方案，落实制度保障</w:t>
      </w:r>
      <w:bookmarkEnd w:id="39"/>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结合工作需要和管理实际，通过制订《提质增效专项行动工作方案》、《国网孝感供电公司独立法人模拟测算方案》等规范方案，着力构建一套内容协调、程序严密、配套完善、有效管用的制度体系，让项目实施各个环节、各个程序、各个点位都有制度进一步规范，切实提高</w:t>
      </w:r>
      <w:r>
        <w:rPr>
          <w:rFonts w:ascii="仿宋_GB2312" w:eastAsia="仿宋_GB2312" w:hAnsi="仿宋_GB2312" w:cs="仿宋_GB2312" w:hint="eastAsia"/>
        </w:rPr>
        <w:t>项目高效、规范运行。</w:t>
      </w:r>
    </w:p>
    <w:p w:rsidR="00C3363C" w:rsidRDefault="0082505F">
      <w:pPr>
        <w:spacing w:after="0"/>
        <w:ind w:firstLine="562"/>
        <w:rPr>
          <w:rFonts w:ascii="仿宋_GB2312" w:eastAsia="仿宋_GB2312" w:hAnsi="仿宋_GB2312" w:cs="仿宋_GB2312"/>
          <w:b/>
          <w:bCs/>
        </w:rPr>
      </w:pPr>
      <w:bookmarkStart w:id="40" w:name="_Toc20040_WPSOffice_Level3"/>
      <w:r>
        <w:rPr>
          <w:rFonts w:ascii="仿宋_GB2312" w:eastAsia="仿宋_GB2312" w:hAnsi="仿宋_GB2312" w:cs="仿宋_GB2312" w:hint="eastAsia"/>
          <w:b/>
          <w:bCs/>
        </w:rPr>
        <w:t>（</w:t>
      </w:r>
      <w:r>
        <w:rPr>
          <w:rFonts w:ascii="仿宋_GB2312" w:eastAsia="仿宋_GB2312" w:hAnsi="仿宋_GB2312" w:cs="仿宋_GB2312" w:hint="eastAsia"/>
          <w:b/>
          <w:bCs/>
        </w:rPr>
        <w:t>3</w:t>
      </w:r>
      <w:r>
        <w:rPr>
          <w:rFonts w:ascii="仿宋_GB2312" w:eastAsia="仿宋_GB2312" w:hAnsi="仿宋_GB2312" w:cs="仿宋_GB2312" w:hint="eastAsia"/>
          <w:b/>
          <w:bCs/>
        </w:rPr>
        <w:t>）创新打造管理平台，落实平台保障</w:t>
      </w:r>
      <w:bookmarkEnd w:id="40"/>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以供电所提质增效指标体系为核心，搭建比成效、比潜力、比贡献的管理平台。同时通过打造供电所提质增效管理平台，建立“指标发布、短板分析、管理改进、提质增效”的闭环机制，引导供电所紧盯关键指标配比关系、投入与指标改善关系，深入查找“指标洼地”背后的经营管理短板，聚焦“本质效”，从“横向融合、纵向贯通、落实责任”三个角度介绍典型做法、通报工作问题。引导各单位向标</w:t>
      </w:r>
      <w:r>
        <w:rPr>
          <w:rFonts w:ascii="仿宋_GB2312" w:eastAsia="仿宋_GB2312" w:hAnsi="仿宋_GB2312" w:cs="仿宋_GB2312" w:hint="eastAsia"/>
        </w:rPr>
        <w:t>杆学习，在县所之间进行竞争性的相互对照、相互学习，深化横向对比分析。</w:t>
      </w:r>
    </w:p>
    <w:p w:rsidR="00C3363C" w:rsidRDefault="0082505F">
      <w:pPr>
        <w:spacing w:after="0"/>
        <w:ind w:firstLine="562"/>
        <w:rPr>
          <w:rFonts w:ascii="仿宋_GB2312" w:eastAsia="仿宋_GB2312" w:hAnsi="仿宋_GB2312" w:cs="仿宋_GB2312"/>
          <w:b/>
          <w:bCs/>
        </w:rPr>
      </w:pPr>
      <w:bookmarkStart w:id="41" w:name="_Toc27270_WPSOffice_Level3"/>
      <w:r>
        <w:rPr>
          <w:rFonts w:ascii="仿宋_GB2312" w:eastAsia="仿宋_GB2312" w:hAnsi="仿宋_GB2312" w:cs="仿宋_GB2312" w:hint="eastAsia"/>
          <w:b/>
          <w:bCs/>
        </w:rPr>
        <w:t>（</w:t>
      </w:r>
      <w:r>
        <w:rPr>
          <w:rFonts w:ascii="仿宋_GB2312" w:eastAsia="仿宋_GB2312" w:hAnsi="仿宋_GB2312" w:cs="仿宋_GB2312" w:hint="eastAsia"/>
          <w:b/>
          <w:bCs/>
        </w:rPr>
        <w:t>4</w:t>
      </w:r>
      <w:r>
        <w:rPr>
          <w:rFonts w:ascii="仿宋_GB2312" w:eastAsia="仿宋_GB2312" w:hAnsi="仿宋_GB2312" w:cs="仿宋_GB2312" w:hint="eastAsia"/>
          <w:b/>
          <w:bCs/>
        </w:rPr>
        <w:t>）加强项目过程管控，落</w:t>
      </w:r>
      <w:r>
        <w:rPr>
          <w:rFonts w:ascii="仿宋_GB2312" w:eastAsia="仿宋_GB2312" w:hAnsi="仿宋_GB2312" w:cs="仿宋_GB2312" w:hint="eastAsia"/>
          <w:b/>
          <w:bCs/>
        </w:rPr>
        <w:t>实机制保障</w:t>
      </w:r>
      <w:bookmarkEnd w:id="41"/>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开展多层次的会议机制，定期召开工作</w:t>
      </w:r>
      <w:r>
        <w:rPr>
          <w:rFonts w:ascii="仿宋_GB2312" w:eastAsia="仿宋_GB2312" w:hAnsi="仿宋_GB2312" w:cs="仿宋_GB2312" w:hint="eastAsia"/>
        </w:rPr>
        <w:t>推进会，汇报项目阶段性成果，协调解决跨部门、跨专业、跨流程的重大事项，安排下阶段工作，把握工作整体推进进度。定期召开例会，实时掌握工作时展，指导解决共性、难点问题，协调跨部门协同事项，有效把控重要环节，切实解决疑难问题。</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建立定期信息通报机制，各部门和基层单位定期将工作进展情况和工作成果报送至工作小组，工作小组汇总编制简报，呈报领导小组</w:t>
      </w:r>
      <w:r>
        <w:rPr>
          <w:rFonts w:ascii="仿宋_GB2312" w:eastAsia="仿宋_GB2312" w:hAnsi="仿宋_GB2312" w:cs="仿宋_GB2312" w:hint="eastAsia"/>
        </w:rPr>
        <w:lastRenderedPageBreak/>
        <w:t>并通报各部门和单位，形成信息有效沟通，成果及时共享的管控机制。</w:t>
      </w:r>
    </w:p>
    <w:p w:rsidR="00C3363C" w:rsidRDefault="0082505F">
      <w:pPr>
        <w:pStyle w:val="1"/>
        <w:numPr>
          <w:ilvl w:val="0"/>
          <w:numId w:val="0"/>
        </w:numPr>
        <w:spacing w:after="0"/>
        <w:ind w:firstLineChars="200" w:firstLine="643"/>
        <w:rPr>
          <w:rFonts w:ascii="黑体" w:eastAsia="黑体" w:hAnsi="黑体" w:cs="黑体"/>
          <w:b/>
          <w:bCs/>
          <w:sz w:val="32"/>
          <w:szCs w:val="28"/>
        </w:rPr>
      </w:pPr>
      <w:bookmarkStart w:id="42" w:name="_Toc22013_WPSOffice_Level1"/>
      <w:bookmarkStart w:id="43" w:name="_Toc54599268"/>
      <w:r>
        <w:rPr>
          <w:rFonts w:ascii="黑体" w:eastAsia="黑体" w:hAnsi="黑体" w:cs="黑体" w:hint="eastAsia"/>
          <w:b/>
          <w:bCs/>
          <w:sz w:val="32"/>
          <w:szCs w:val="28"/>
        </w:rPr>
        <w:t>三</w:t>
      </w:r>
      <w:r>
        <w:rPr>
          <w:rFonts w:ascii="黑体" w:eastAsia="黑体" w:hAnsi="黑体" w:cs="黑体" w:hint="eastAsia"/>
          <w:b/>
          <w:bCs/>
          <w:sz w:val="32"/>
          <w:szCs w:val="28"/>
        </w:rPr>
        <w:t xml:space="preserve"> </w:t>
      </w:r>
      <w:r>
        <w:rPr>
          <w:rFonts w:ascii="黑体" w:eastAsia="黑体" w:hAnsi="黑体" w:cs="黑体" w:hint="eastAsia"/>
          <w:b/>
          <w:bCs/>
          <w:sz w:val="32"/>
          <w:szCs w:val="28"/>
        </w:rPr>
        <w:t>实施成效</w:t>
      </w:r>
      <w:bookmarkEnd w:id="42"/>
      <w:bookmarkEnd w:id="43"/>
    </w:p>
    <w:p w:rsidR="00C3363C" w:rsidRDefault="0082505F">
      <w:pPr>
        <w:pStyle w:val="2"/>
        <w:numPr>
          <w:ilvl w:val="0"/>
          <w:numId w:val="0"/>
        </w:numPr>
        <w:tabs>
          <w:tab w:val="clear" w:pos="1080"/>
        </w:tabs>
        <w:spacing w:beforeLines="0" w:before="0" w:afterLines="0" w:after="0" w:line="360" w:lineRule="auto"/>
        <w:ind w:left="562"/>
        <w:rPr>
          <w:rFonts w:ascii="仿宋_GB2312" w:eastAsia="仿宋_GB2312" w:hAnsi="仿宋_GB2312" w:cs="仿宋_GB2312"/>
        </w:rPr>
      </w:pPr>
      <w:bookmarkStart w:id="44" w:name="_Toc54599269"/>
      <w:r>
        <w:rPr>
          <w:rFonts w:ascii="仿宋_GB2312" w:eastAsia="仿宋_GB2312" w:hAnsi="仿宋_GB2312" w:cs="仿宋_GB2312" w:hint="eastAsia"/>
        </w:rPr>
        <w:t>（一）供电服务质量稳步提升</w:t>
      </w:r>
      <w:bookmarkEnd w:id="44"/>
    </w:p>
    <w:p w:rsidR="00C3363C" w:rsidRDefault="0082505F">
      <w:pPr>
        <w:spacing w:after="0"/>
        <w:ind w:firstLine="560"/>
        <w:rPr>
          <w:rFonts w:ascii="仿宋_GB2312" w:eastAsia="仿宋_GB2312" w:hAnsi="仿宋_GB2312" w:cs="仿宋_GB2312"/>
        </w:rPr>
      </w:pPr>
      <w:r>
        <w:rPr>
          <w:rFonts w:ascii="仿宋_GB2312" w:eastAsia="仿宋_GB2312" w:hAnsi="仿宋_GB2312" w:cs="仿宋_GB2312" w:hint="eastAsia"/>
        </w:rPr>
        <w:t>通过精益财务管控，充分</w:t>
      </w:r>
      <w:r>
        <w:rPr>
          <w:rFonts w:ascii="仿宋_GB2312" w:eastAsia="仿宋_GB2312" w:hAnsi="仿宋_GB2312" w:cs="仿宋_GB2312" w:hint="eastAsia"/>
        </w:rPr>
        <w:t>的传递了孝感公司经营压力，引导所属县供电公司、供电所专注于供电质量提升，使得供电安全进一步稳定，营商环境显著优化，服务质量稳步提升。孝感公司始终将保障供电作为首要任务，</w:t>
      </w:r>
      <w:r>
        <w:rPr>
          <w:rFonts w:ascii="仿宋_GB2312" w:eastAsia="仿宋_GB2312" w:hAnsi="仿宋_GB2312" w:cs="仿宋_GB2312" w:hint="eastAsia"/>
        </w:rPr>
        <w:t>2014-2019</w:t>
      </w:r>
      <w:r>
        <w:rPr>
          <w:rFonts w:ascii="仿宋_GB2312" w:eastAsia="仿宋_GB2312" w:hAnsi="仿宋_GB2312" w:cs="仿宋_GB2312" w:hint="eastAsia"/>
        </w:rPr>
        <w:t>年，孝感公司共投入</w:t>
      </w:r>
      <w:r>
        <w:rPr>
          <w:rFonts w:ascii="仿宋_GB2312" w:eastAsia="仿宋_GB2312" w:hAnsi="仿宋_GB2312" w:cs="仿宋_GB2312" w:hint="eastAsia"/>
        </w:rPr>
        <w:t>28.60</w:t>
      </w:r>
      <w:r>
        <w:rPr>
          <w:rFonts w:ascii="仿宋_GB2312" w:eastAsia="仿宋_GB2312" w:hAnsi="仿宋_GB2312" w:cs="仿宋_GB2312" w:hint="eastAsia"/>
        </w:rPr>
        <w:t>亿元用于“解决低电压台区”、“满足新增负荷需求”、“解决设备重过载”三方面，占总计划投资的</w:t>
      </w:r>
      <w:r>
        <w:rPr>
          <w:rFonts w:ascii="仿宋_GB2312" w:eastAsia="仿宋_GB2312" w:hAnsi="仿宋_GB2312" w:cs="仿宋_GB2312" w:hint="eastAsia"/>
        </w:rPr>
        <w:t>69.76%</w:t>
      </w:r>
      <w:r>
        <w:rPr>
          <w:rFonts w:ascii="仿宋_GB2312" w:eastAsia="仿宋_GB2312" w:hAnsi="仿宋_GB2312" w:cs="仿宋_GB2312" w:hint="eastAsia"/>
        </w:rPr>
        <w:t>。截止</w:t>
      </w:r>
      <w:r>
        <w:rPr>
          <w:rFonts w:ascii="仿宋_GB2312" w:eastAsia="仿宋_GB2312" w:hAnsi="仿宋_GB2312" w:cs="仿宋_GB2312" w:hint="eastAsia"/>
        </w:rPr>
        <w:t>2019</w:t>
      </w:r>
      <w:r>
        <w:rPr>
          <w:rFonts w:ascii="仿宋_GB2312" w:eastAsia="仿宋_GB2312" w:hAnsi="仿宋_GB2312" w:cs="仿宋_GB2312" w:hint="eastAsia"/>
        </w:rPr>
        <w:t>年，供电可靠率达到了</w:t>
      </w:r>
      <w:r>
        <w:rPr>
          <w:rFonts w:ascii="仿宋_GB2312" w:eastAsia="仿宋_GB2312" w:hAnsi="仿宋_GB2312" w:cs="仿宋_GB2312" w:hint="eastAsia"/>
        </w:rPr>
        <w:t>99.823%</w:t>
      </w:r>
      <w:r>
        <w:rPr>
          <w:rFonts w:ascii="仿宋_GB2312" w:eastAsia="仿宋_GB2312" w:hAnsi="仿宋_GB2312" w:cs="仿宋_GB2312" w:hint="eastAsia"/>
        </w:rPr>
        <w:t>；农网综合电压合格率提升至</w:t>
      </w:r>
      <w:r>
        <w:rPr>
          <w:rFonts w:ascii="仿宋_GB2312" w:eastAsia="仿宋_GB2312" w:hAnsi="仿宋_GB2312" w:cs="仿宋_GB2312" w:hint="eastAsia"/>
        </w:rPr>
        <w:t>99.897%</w:t>
      </w:r>
      <w:r>
        <w:rPr>
          <w:rFonts w:ascii="仿宋_GB2312" w:eastAsia="仿宋_GB2312" w:hAnsi="仿宋_GB2312" w:cs="仿宋_GB2312" w:hint="eastAsia"/>
        </w:rPr>
        <w:t>，城网综合电压合格率为</w:t>
      </w:r>
      <w:r>
        <w:rPr>
          <w:rFonts w:ascii="仿宋_GB2312" w:eastAsia="仿宋_GB2312" w:hAnsi="仿宋_GB2312" w:cs="仿宋_GB2312" w:hint="eastAsia"/>
        </w:rPr>
        <w:t>99.999%</w:t>
      </w:r>
      <w:r>
        <w:rPr>
          <w:rFonts w:ascii="仿宋_GB2312" w:eastAsia="仿宋_GB2312" w:hAnsi="仿宋_GB2312" w:cs="仿宋_GB2312" w:hint="eastAsia"/>
        </w:rPr>
        <w:t>；孝感全市户均配变容量提升至</w:t>
      </w:r>
      <w:r>
        <w:rPr>
          <w:rFonts w:ascii="仿宋_GB2312" w:eastAsia="仿宋_GB2312" w:hAnsi="仿宋_GB2312" w:cs="仿宋_GB2312" w:hint="eastAsia"/>
        </w:rPr>
        <w:t>2.31</w:t>
      </w:r>
      <w:r>
        <w:rPr>
          <w:rFonts w:ascii="仿宋_GB2312" w:eastAsia="仿宋_GB2312" w:hAnsi="仿宋_GB2312" w:cs="仿宋_GB2312" w:hint="eastAsia"/>
        </w:rPr>
        <w:t>千伏安</w:t>
      </w:r>
      <w:r>
        <w:rPr>
          <w:rFonts w:ascii="仿宋_GB2312" w:eastAsia="仿宋_GB2312" w:hAnsi="仿宋_GB2312" w:cs="仿宋_GB2312" w:hint="eastAsia"/>
        </w:rPr>
        <w:t>/</w:t>
      </w:r>
      <w:r>
        <w:rPr>
          <w:rFonts w:ascii="仿宋_GB2312" w:eastAsia="仿宋_GB2312" w:hAnsi="仿宋_GB2312" w:cs="仿宋_GB2312" w:hint="eastAsia"/>
        </w:rPr>
        <w:t>户，达到国家能源局的要求（</w:t>
      </w:r>
      <w:r>
        <w:rPr>
          <w:rFonts w:ascii="仿宋_GB2312" w:eastAsia="仿宋_GB2312" w:hAnsi="仿宋_GB2312" w:cs="仿宋_GB2312" w:hint="eastAsia"/>
        </w:rPr>
        <w:t>2</w:t>
      </w:r>
      <w:r>
        <w:rPr>
          <w:rFonts w:ascii="仿宋_GB2312" w:eastAsia="仿宋_GB2312" w:hAnsi="仿宋_GB2312" w:cs="仿宋_GB2312" w:hint="eastAsia"/>
        </w:rPr>
        <w:t>020</w:t>
      </w:r>
      <w:r>
        <w:rPr>
          <w:rFonts w:ascii="仿宋_GB2312" w:eastAsia="仿宋_GB2312" w:hAnsi="仿宋_GB2312" w:cs="仿宋_GB2312" w:hint="eastAsia"/>
        </w:rPr>
        <w:t>年达到</w:t>
      </w:r>
      <w:r>
        <w:rPr>
          <w:rFonts w:ascii="仿宋_GB2312" w:eastAsia="仿宋_GB2312" w:hAnsi="仿宋_GB2312" w:cs="仿宋_GB2312" w:hint="eastAsia"/>
        </w:rPr>
        <w:t>2.0</w:t>
      </w:r>
      <w:r>
        <w:rPr>
          <w:rFonts w:ascii="仿宋_GB2312" w:eastAsia="仿宋_GB2312" w:hAnsi="仿宋_GB2312" w:cs="仿宋_GB2312" w:hint="eastAsia"/>
        </w:rPr>
        <w:t>千伏安</w:t>
      </w:r>
      <w:r>
        <w:rPr>
          <w:rFonts w:ascii="仿宋_GB2312" w:eastAsia="仿宋_GB2312" w:hAnsi="仿宋_GB2312" w:cs="仿宋_GB2312" w:hint="eastAsia"/>
        </w:rPr>
        <w:t>/</w:t>
      </w:r>
      <w:r>
        <w:rPr>
          <w:rFonts w:ascii="仿宋_GB2312" w:eastAsia="仿宋_GB2312" w:hAnsi="仿宋_GB2312" w:cs="仿宋_GB2312" w:hint="eastAsia"/>
        </w:rPr>
        <w:t>户）；</w:t>
      </w:r>
      <w:r>
        <w:rPr>
          <w:rFonts w:ascii="仿宋_GB2312" w:eastAsia="仿宋_GB2312" w:hAnsi="仿宋_GB2312" w:cs="仿宋_GB2312" w:hint="eastAsia"/>
        </w:rPr>
        <w:t>10</w:t>
      </w:r>
      <w:r>
        <w:rPr>
          <w:rFonts w:ascii="仿宋_GB2312" w:eastAsia="仿宋_GB2312" w:hAnsi="仿宋_GB2312" w:cs="仿宋_GB2312" w:hint="eastAsia"/>
        </w:rPr>
        <w:t>千伏线路百公里跳闸率同比下降</w:t>
      </w:r>
      <w:r>
        <w:rPr>
          <w:rFonts w:ascii="仿宋_GB2312" w:eastAsia="仿宋_GB2312" w:hAnsi="仿宋_GB2312" w:cs="仿宋_GB2312" w:hint="eastAsia"/>
        </w:rPr>
        <w:t>20%</w:t>
      </w:r>
      <w:r>
        <w:rPr>
          <w:rFonts w:ascii="仿宋_GB2312" w:eastAsia="仿宋_GB2312" w:hAnsi="仿宋_GB2312" w:cs="仿宋_GB2312" w:hint="eastAsia"/>
        </w:rPr>
        <w:t>；低电压、重过载、三相不均衡等异常台区总量同比下降</w:t>
      </w:r>
      <w:r>
        <w:rPr>
          <w:rFonts w:ascii="仿宋_GB2312" w:eastAsia="仿宋_GB2312" w:hAnsi="仿宋_GB2312" w:cs="仿宋_GB2312" w:hint="eastAsia"/>
        </w:rPr>
        <w:t>20%</w:t>
      </w:r>
      <w:r>
        <w:rPr>
          <w:rFonts w:ascii="仿宋_GB2312" w:eastAsia="仿宋_GB2312" w:hAnsi="仿宋_GB2312" w:cs="仿宋_GB2312" w:hint="eastAsia"/>
        </w:rPr>
        <w:t>。孝感公司在全省率先推出助推孝感高质量发展电力服务十项新举措和持续优化营商环境“获得电力”八条措施，落实“三省、三零”服务，促请政府</w:t>
      </w:r>
      <w:r>
        <w:rPr>
          <w:rFonts w:ascii="仿宋_GB2312" w:eastAsia="仿宋_GB2312" w:hAnsi="仿宋_GB2312" w:cs="仿宋_GB2312" w:hint="eastAsia"/>
        </w:rPr>
        <w:t>7</w:t>
      </w:r>
      <w:r>
        <w:rPr>
          <w:rFonts w:ascii="仿宋_GB2312" w:eastAsia="仿宋_GB2312" w:hAnsi="仿宋_GB2312" w:cs="仿宋_GB2312" w:hint="eastAsia"/>
        </w:rPr>
        <w:t>个部门联合出台《关于进一步优化电力接入营商环境实施意见（试行）的通知》，进一步压减办电环节，精简办电资料，压缩平均办电时间，“获得电力”指数得分</w:t>
      </w:r>
      <w:r>
        <w:rPr>
          <w:rFonts w:ascii="仿宋_GB2312" w:eastAsia="仿宋_GB2312" w:hAnsi="仿宋_GB2312" w:cs="仿宋_GB2312" w:hint="eastAsia"/>
        </w:rPr>
        <w:t>98.8</w:t>
      </w:r>
      <w:r>
        <w:rPr>
          <w:rFonts w:ascii="仿宋_GB2312" w:eastAsia="仿宋_GB2312" w:hAnsi="仿宋_GB2312" w:cs="仿宋_GB2312" w:hint="eastAsia"/>
        </w:rPr>
        <w:t>分，位居全省第二；与“孝电网格化服务”对接，开启市、县、所三级“互联网</w:t>
      </w:r>
      <w:r>
        <w:rPr>
          <w:rFonts w:ascii="仿宋_GB2312" w:eastAsia="仿宋_GB2312" w:hAnsi="仿宋_GB2312" w:cs="仿宋_GB2312" w:hint="eastAsia"/>
        </w:rPr>
        <w:t>+</w:t>
      </w:r>
      <w:r>
        <w:rPr>
          <w:rFonts w:ascii="仿宋_GB2312" w:eastAsia="仿宋_GB2312" w:hAnsi="仿宋_GB2312" w:cs="仿宋_GB2312" w:hint="eastAsia"/>
        </w:rPr>
        <w:t>供电服务”新模式，实现用户诉</w:t>
      </w:r>
      <w:r>
        <w:rPr>
          <w:rFonts w:ascii="仿宋_GB2312" w:eastAsia="仿宋_GB2312" w:hAnsi="仿宋_GB2312" w:cs="仿宋_GB2312" w:hint="eastAsia"/>
        </w:rPr>
        <w:t>求快速直达、无缝对接。</w:t>
      </w:r>
      <w:r>
        <w:rPr>
          <w:rFonts w:ascii="仿宋_GB2312" w:eastAsia="仿宋_GB2312" w:hAnsi="仿宋_GB2312" w:cs="仿宋_GB2312" w:hint="eastAsia"/>
        </w:rPr>
        <w:t>2019</w:t>
      </w:r>
      <w:r>
        <w:rPr>
          <w:rFonts w:ascii="仿宋_GB2312" w:eastAsia="仿宋_GB2312" w:hAnsi="仿宋_GB2312" w:cs="仿宋_GB2312" w:hint="eastAsia"/>
        </w:rPr>
        <w:t>年，孝感公司共受理</w:t>
      </w:r>
      <w:r>
        <w:rPr>
          <w:rFonts w:ascii="仿宋_GB2312" w:eastAsia="仿宋_GB2312" w:hAnsi="仿宋_GB2312" w:cs="仿宋_GB2312" w:hint="eastAsia"/>
        </w:rPr>
        <w:t>95598</w:t>
      </w:r>
      <w:r>
        <w:rPr>
          <w:rFonts w:ascii="仿宋_GB2312" w:eastAsia="仿宋_GB2312" w:hAnsi="仿宋_GB2312" w:cs="仿宋_GB2312" w:hint="eastAsia"/>
        </w:rPr>
        <w:t>投诉</w:t>
      </w:r>
      <w:r>
        <w:rPr>
          <w:rFonts w:ascii="仿宋_GB2312" w:eastAsia="仿宋_GB2312" w:hAnsi="仿宋_GB2312" w:cs="仿宋_GB2312" w:hint="eastAsia"/>
        </w:rPr>
        <w:t>466</w:t>
      </w:r>
      <w:r>
        <w:rPr>
          <w:rFonts w:ascii="仿宋_GB2312" w:eastAsia="仿宋_GB2312" w:hAnsi="仿宋_GB2312" w:cs="仿宋_GB2312" w:hint="eastAsia"/>
        </w:rPr>
        <w:t>件，同比下降</w:t>
      </w:r>
      <w:r>
        <w:rPr>
          <w:rFonts w:ascii="仿宋_GB2312" w:eastAsia="仿宋_GB2312" w:hAnsi="仿宋_GB2312" w:cs="仿宋_GB2312" w:hint="eastAsia"/>
        </w:rPr>
        <w:t>49.57%</w:t>
      </w:r>
      <w:r>
        <w:rPr>
          <w:rFonts w:ascii="仿宋_GB2312" w:eastAsia="仿宋_GB2312" w:hAnsi="仿宋_GB2312" w:cs="仿宋_GB2312" w:hint="eastAsia"/>
        </w:rPr>
        <w:t>，“百万客户投诉率”排名全省最优，“供电服务评价”考核指标排名全省第一。</w:t>
      </w:r>
    </w:p>
    <w:p w:rsidR="00C3363C" w:rsidRDefault="00C3363C">
      <w:pPr>
        <w:pStyle w:val="2"/>
        <w:numPr>
          <w:ilvl w:val="0"/>
          <w:numId w:val="0"/>
        </w:numPr>
        <w:spacing w:beforeLines="0" w:before="0" w:afterLines="0" w:after="0" w:line="360" w:lineRule="auto"/>
        <w:ind w:firstLineChars="100" w:firstLine="281"/>
        <w:rPr>
          <w:rFonts w:ascii="仿宋_GB2312" w:eastAsia="仿宋_GB2312" w:hAnsi="仿宋_GB2312" w:cs="仿宋_GB2312"/>
        </w:rPr>
      </w:pPr>
      <w:bookmarkStart w:id="45" w:name="_Toc54599270"/>
    </w:p>
    <w:p w:rsidR="00C3363C" w:rsidRDefault="0082505F">
      <w:pPr>
        <w:pStyle w:val="2"/>
        <w:numPr>
          <w:ilvl w:val="0"/>
          <w:numId w:val="0"/>
        </w:numPr>
        <w:spacing w:beforeLines="0" w:before="0" w:afterLines="0" w:after="0" w:line="360" w:lineRule="auto"/>
        <w:ind w:firstLineChars="100" w:firstLine="281"/>
        <w:rPr>
          <w:rFonts w:ascii="仿宋_GB2312" w:eastAsia="仿宋_GB2312" w:hAnsi="仿宋_GB2312" w:cs="仿宋_GB2312"/>
        </w:rPr>
      </w:pPr>
      <w:r>
        <w:rPr>
          <w:rFonts w:ascii="仿宋_GB2312" w:eastAsia="仿宋_GB2312" w:hAnsi="仿宋_GB2312" w:cs="仿宋_GB2312" w:hint="eastAsia"/>
        </w:rPr>
        <w:lastRenderedPageBreak/>
        <w:t>（二）公司经营效益显著提升</w:t>
      </w:r>
      <w:bookmarkEnd w:id="45"/>
    </w:p>
    <w:p w:rsidR="00C3363C" w:rsidRDefault="0082505F">
      <w:pPr>
        <w:ind w:firstLine="560"/>
        <w:rPr>
          <w:rFonts w:ascii="仿宋_GB2312" w:eastAsia="仿宋_GB2312" w:hAnsi="仿宋_GB2312" w:cs="仿宋_GB2312"/>
          <w:b/>
        </w:rPr>
      </w:pPr>
      <w:r>
        <w:rPr>
          <w:rFonts w:ascii="仿宋_GB2312" w:eastAsia="仿宋_GB2312" w:hAnsi="仿宋_GB2312" w:cs="仿宋_GB2312" w:hint="eastAsia"/>
        </w:rPr>
        <w:t>精益财务管控促使供电所聚焦“本质效”，实施精准投入、精益管理，引导供电所紧盯关键指标配比关系、投入与指标改善关系，深入查找“指标洼地”背后的经营管理短板，促进经营效益持续提升。</w:t>
      </w:r>
    </w:p>
    <w:p w:rsidR="00C3363C" w:rsidRDefault="0082505F">
      <w:pPr>
        <w:ind w:firstLine="560"/>
        <w:rPr>
          <w:rFonts w:ascii="仿宋_GB2312" w:eastAsia="仿宋_GB2312" w:hAnsi="仿宋_GB2312" w:cs="仿宋_GB2312"/>
          <w:b/>
        </w:rPr>
      </w:pPr>
      <w:r>
        <w:rPr>
          <w:rFonts w:ascii="仿宋_GB2312" w:eastAsia="仿宋_GB2312" w:hAnsi="仿宋_GB2312" w:cs="仿宋_GB2312" w:hint="eastAsia"/>
        </w:rPr>
        <w:t>从售电角度来看，孝感公司</w:t>
      </w:r>
      <w:r>
        <w:rPr>
          <w:rFonts w:ascii="仿宋_GB2312" w:eastAsia="仿宋_GB2312" w:hAnsi="仿宋_GB2312" w:cs="仿宋_GB2312" w:hint="eastAsia"/>
        </w:rPr>
        <w:t>2019</w:t>
      </w:r>
      <w:r>
        <w:rPr>
          <w:rFonts w:ascii="仿宋_GB2312" w:eastAsia="仿宋_GB2312" w:hAnsi="仿宋_GB2312" w:cs="仿宋_GB2312" w:hint="eastAsia"/>
        </w:rPr>
        <w:t>年售电量完成</w:t>
      </w:r>
      <w:r>
        <w:rPr>
          <w:rFonts w:ascii="仿宋_GB2312" w:eastAsia="仿宋_GB2312" w:hAnsi="仿宋_GB2312" w:cs="仿宋_GB2312" w:hint="eastAsia"/>
        </w:rPr>
        <w:t>122.01</w:t>
      </w:r>
      <w:r>
        <w:rPr>
          <w:rFonts w:ascii="仿宋_GB2312" w:eastAsia="仿宋_GB2312" w:hAnsi="仿宋_GB2312" w:cs="仿宋_GB2312" w:hint="eastAsia"/>
        </w:rPr>
        <w:t>亿千瓦时，同比增加</w:t>
      </w:r>
      <w:r>
        <w:rPr>
          <w:rFonts w:ascii="仿宋_GB2312" w:eastAsia="仿宋_GB2312" w:hAnsi="仿宋_GB2312" w:cs="仿宋_GB2312" w:hint="eastAsia"/>
        </w:rPr>
        <w:t>11.96</w:t>
      </w:r>
      <w:r>
        <w:rPr>
          <w:rFonts w:ascii="仿宋_GB2312" w:eastAsia="仿宋_GB2312" w:hAnsi="仿宋_GB2312" w:cs="仿宋_GB2312" w:hint="eastAsia"/>
        </w:rPr>
        <w:t>亿千瓦时，增长</w:t>
      </w:r>
      <w:r>
        <w:rPr>
          <w:rFonts w:ascii="仿宋_GB2312" w:eastAsia="仿宋_GB2312" w:hAnsi="仿宋_GB2312" w:cs="仿宋_GB2312" w:hint="eastAsia"/>
        </w:rPr>
        <w:t>10.87%</w:t>
      </w:r>
      <w:r>
        <w:rPr>
          <w:rFonts w:ascii="仿宋_GB2312" w:eastAsia="仿宋_GB2312" w:hAnsi="仿宋_GB2312" w:cs="仿宋_GB2312" w:hint="eastAsia"/>
        </w:rPr>
        <w:t>，完成年计划的</w:t>
      </w:r>
      <w:r>
        <w:rPr>
          <w:rFonts w:ascii="仿宋_GB2312" w:eastAsia="仿宋_GB2312" w:hAnsi="仿宋_GB2312" w:cs="仿宋_GB2312" w:hint="eastAsia"/>
        </w:rPr>
        <w:t>100.58%</w:t>
      </w:r>
      <w:r>
        <w:rPr>
          <w:rFonts w:ascii="仿宋_GB2312" w:eastAsia="仿宋_GB2312" w:hAnsi="仿宋_GB2312" w:cs="仿宋_GB2312" w:hint="eastAsia"/>
        </w:rPr>
        <w:t>，年售电量全省排名第七，售电增量、同比增幅均排名全省第五，售电量计划完成率排名第四。实现售电收入</w:t>
      </w:r>
      <w:r>
        <w:rPr>
          <w:rFonts w:ascii="仿宋_GB2312" w:eastAsia="仿宋_GB2312" w:hAnsi="仿宋_GB2312" w:cs="仿宋_GB2312" w:hint="eastAsia"/>
        </w:rPr>
        <w:t>80.15</w:t>
      </w:r>
      <w:r>
        <w:rPr>
          <w:rFonts w:ascii="仿宋_GB2312" w:eastAsia="仿宋_GB2312" w:hAnsi="仿宋_GB2312" w:cs="仿宋_GB2312" w:hint="eastAsia"/>
        </w:rPr>
        <w:t>亿元，同比增长</w:t>
      </w:r>
      <w:r>
        <w:rPr>
          <w:rFonts w:ascii="仿宋_GB2312" w:eastAsia="仿宋_GB2312" w:hAnsi="仿宋_GB2312" w:cs="仿宋_GB2312" w:hint="eastAsia"/>
        </w:rPr>
        <w:t>5.38</w:t>
      </w:r>
      <w:r>
        <w:rPr>
          <w:rFonts w:ascii="仿宋_GB2312" w:eastAsia="仿宋_GB2312" w:hAnsi="仿宋_GB2312" w:cs="仿宋_GB2312" w:hint="eastAsia"/>
        </w:rPr>
        <w:t>亿元，增幅</w:t>
      </w:r>
      <w:r>
        <w:rPr>
          <w:rFonts w:ascii="仿宋_GB2312" w:eastAsia="仿宋_GB2312" w:hAnsi="仿宋_GB2312" w:cs="仿宋_GB2312" w:hint="eastAsia"/>
        </w:rPr>
        <w:t>7.95%</w:t>
      </w:r>
      <w:r>
        <w:rPr>
          <w:rFonts w:ascii="仿宋_GB2312" w:eastAsia="仿宋_GB2312" w:hAnsi="仿宋_GB2312" w:cs="仿宋_GB2312" w:hint="eastAsia"/>
        </w:rPr>
        <w:t>，孝感公司</w:t>
      </w:r>
      <w:r>
        <w:rPr>
          <w:rFonts w:ascii="仿宋_GB2312" w:eastAsia="仿宋_GB2312" w:hAnsi="仿宋_GB2312" w:cs="仿宋_GB2312" w:hint="eastAsia"/>
        </w:rPr>
        <w:t>2019</w:t>
      </w:r>
      <w:r>
        <w:rPr>
          <w:rFonts w:ascii="仿宋_GB2312" w:eastAsia="仿宋_GB2312" w:hAnsi="仿宋_GB2312" w:cs="仿宋_GB2312" w:hint="eastAsia"/>
        </w:rPr>
        <w:t>年经营效益持续提升，营业收入</w:t>
      </w:r>
      <w:r>
        <w:rPr>
          <w:rFonts w:ascii="仿宋_GB2312" w:eastAsia="仿宋_GB2312" w:hAnsi="仿宋_GB2312" w:cs="仿宋_GB2312" w:hint="eastAsia"/>
        </w:rPr>
        <w:t>6</w:t>
      </w:r>
      <w:r>
        <w:rPr>
          <w:rFonts w:ascii="仿宋_GB2312" w:eastAsia="仿宋_GB2312" w:hAnsi="仿宋_GB2312" w:cs="仿宋_GB2312" w:hint="eastAsia"/>
        </w:rPr>
        <w:t>6.54</w:t>
      </w:r>
      <w:r>
        <w:rPr>
          <w:rFonts w:ascii="仿宋_GB2312" w:eastAsia="仿宋_GB2312" w:hAnsi="仿宋_GB2312" w:cs="仿宋_GB2312" w:hint="eastAsia"/>
        </w:rPr>
        <w:t>亿元，同比增长</w:t>
      </w:r>
      <w:r>
        <w:rPr>
          <w:rFonts w:ascii="仿宋_GB2312" w:eastAsia="仿宋_GB2312" w:hAnsi="仿宋_GB2312" w:cs="仿宋_GB2312" w:hint="eastAsia"/>
        </w:rPr>
        <w:t>6.24</w:t>
      </w:r>
      <w:r>
        <w:rPr>
          <w:rFonts w:ascii="仿宋_GB2312" w:eastAsia="仿宋_GB2312" w:hAnsi="仿宋_GB2312" w:cs="仿宋_GB2312" w:hint="eastAsia"/>
        </w:rPr>
        <w:t>亿元，增幅</w:t>
      </w:r>
      <w:r>
        <w:rPr>
          <w:rFonts w:ascii="仿宋_GB2312" w:eastAsia="仿宋_GB2312" w:hAnsi="仿宋_GB2312" w:cs="仿宋_GB2312" w:hint="eastAsia"/>
        </w:rPr>
        <w:t>10.36%</w:t>
      </w:r>
      <w:r>
        <w:rPr>
          <w:rFonts w:ascii="仿宋_GB2312" w:eastAsia="仿宋_GB2312" w:hAnsi="仿宋_GB2312" w:cs="仿宋_GB2312" w:hint="eastAsia"/>
        </w:rPr>
        <w:t>，为各地市的第三名。另外，实行电费回收“一把手”负责制，电费回收率完成</w:t>
      </w:r>
      <w:r>
        <w:rPr>
          <w:rFonts w:ascii="仿宋_GB2312" w:eastAsia="仿宋_GB2312" w:hAnsi="仿宋_GB2312" w:cs="仿宋_GB2312" w:hint="eastAsia"/>
        </w:rPr>
        <w:t>100%</w:t>
      </w:r>
      <w:r>
        <w:rPr>
          <w:rFonts w:ascii="仿宋_GB2312" w:eastAsia="仿宋_GB2312" w:hAnsi="仿宋_GB2312" w:cs="仿宋_GB2312" w:hint="eastAsia"/>
        </w:rPr>
        <w:t>，企业电费网银缴费累计</w:t>
      </w:r>
      <w:r>
        <w:rPr>
          <w:rFonts w:ascii="仿宋_GB2312" w:eastAsia="仿宋_GB2312" w:hAnsi="仿宋_GB2312" w:cs="仿宋_GB2312" w:hint="eastAsia"/>
        </w:rPr>
        <w:t>9.9</w:t>
      </w:r>
      <w:r>
        <w:rPr>
          <w:rFonts w:ascii="仿宋_GB2312" w:eastAsia="仿宋_GB2312" w:hAnsi="仿宋_GB2312" w:cs="仿宋_GB2312" w:hint="eastAsia"/>
        </w:rPr>
        <w:t>亿元，低压线上缴费率</w:t>
      </w:r>
      <w:r>
        <w:rPr>
          <w:rFonts w:ascii="仿宋_GB2312" w:eastAsia="仿宋_GB2312" w:hAnsi="仿宋_GB2312" w:cs="仿宋_GB2312" w:hint="eastAsia"/>
        </w:rPr>
        <w:t>95.61%</w:t>
      </w:r>
      <w:r>
        <w:rPr>
          <w:rFonts w:ascii="仿宋_GB2312" w:eastAsia="仿宋_GB2312" w:hAnsi="仿宋_GB2312" w:cs="仿宋_GB2312" w:hint="eastAsia"/>
        </w:rPr>
        <w:t>。</w:t>
      </w:r>
    </w:p>
    <w:p w:rsidR="00C3363C" w:rsidRDefault="0082505F">
      <w:pPr>
        <w:ind w:firstLine="560"/>
        <w:rPr>
          <w:rFonts w:ascii="仿宋_GB2312" w:eastAsia="仿宋_GB2312" w:hAnsi="仿宋_GB2312" w:cs="仿宋_GB2312"/>
          <w:b/>
        </w:rPr>
      </w:pPr>
      <w:r>
        <w:rPr>
          <w:rFonts w:ascii="仿宋_GB2312" w:eastAsia="仿宋_GB2312" w:hAnsi="仿宋_GB2312" w:cs="仿宋_GB2312" w:hint="eastAsia"/>
        </w:rPr>
        <w:t>从成本角度来看，开展网格化线损管理试点、台区理论线损计算、线损微应用开发工作，实现月度线损合格率</w:t>
      </w:r>
      <w:r>
        <w:rPr>
          <w:rFonts w:ascii="仿宋_GB2312" w:eastAsia="仿宋_GB2312" w:hAnsi="仿宋_GB2312" w:cs="仿宋_GB2312" w:hint="eastAsia"/>
        </w:rPr>
        <w:t>91.55%</w:t>
      </w:r>
      <w:r>
        <w:rPr>
          <w:rFonts w:ascii="仿宋_GB2312" w:eastAsia="仿宋_GB2312" w:hAnsi="仿宋_GB2312" w:cs="仿宋_GB2312" w:hint="eastAsia"/>
        </w:rPr>
        <w:t>，同比提升</w:t>
      </w:r>
      <w:r>
        <w:rPr>
          <w:rFonts w:ascii="仿宋_GB2312" w:eastAsia="仿宋_GB2312" w:hAnsi="仿宋_GB2312" w:cs="仿宋_GB2312" w:hint="eastAsia"/>
        </w:rPr>
        <w:t>2.27</w:t>
      </w:r>
      <w:r>
        <w:rPr>
          <w:rFonts w:ascii="仿宋_GB2312" w:eastAsia="仿宋_GB2312" w:hAnsi="仿宋_GB2312" w:cs="仿宋_GB2312" w:hint="eastAsia"/>
        </w:rPr>
        <w:t>个百分点；日均线损合格率</w:t>
      </w:r>
      <w:r>
        <w:rPr>
          <w:rFonts w:ascii="仿宋_GB2312" w:eastAsia="仿宋_GB2312" w:hAnsi="仿宋_GB2312" w:cs="仿宋_GB2312" w:hint="eastAsia"/>
        </w:rPr>
        <w:t>88.45%</w:t>
      </w:r>
      <w:r>
        <w:rPr>
          <w:rFonts w:ascii="仿宋_GB2312" w:eastAsia="仿宋_GB2312" w:hAnsi="仿宋_GB2312" w:cs="仿宋_GB2312" w:hint="eastAsia"/>
        </w:rPr>
        <w:t>，同比提升</w:t>
      </w:r>
      <w:r>
        <w:rPr>
          <w:rFonts w:ascii="仿宋_GB2312" w:eastAsia="仿宋_GB2312" w:hAnsi="仿宋_GB2312" w:cs="仿宋_GB2312" w:hint="eastAsia"/>
        </w:rPr>
        <w:t>5.76</w:t>
      </w:r>
      <w:r>
        <w:rPr>
          <w:rFonts w:ascii="仿宋_GB2312" w:eastAsia="仿宋_GB2312" w:hAnsi="仿宋_GB2312" w:cs="仿宋_GB2312" w:hint="eastAsia"/>
        </w:rPr>
        <w:t>个百分点。同时开展集中采购，规范采购流程，降低采购成本。</w:t>
      </w:r>
    </w:p>
    <w:p w:rsidR="00C3363C" w:rsidRDefault="0082505F">
      <w:pPr>
        <w:ind w:firstLine="560"/>
        <w:rPr>
          <w:rFonts w:ascii="仿宋_GB2312" w:eastAsia="仿宋_GB2312" w:hAnsi="仿宋_GB2312" w:cs="仿宋_GB2312"/>
          <w:b/>
        </w:rPr>
      </w:pPr>
      <w:r>
        <w:rPr>
          <w:rFonts w:ascii="仿宋_GB2312" w:eastAsia="仿宋_GB2312" w:hAnsi="仿宋_GB2312" w:cs="仿宋_GB2312" w:hint="eastAsia"/>
        </w:rPr>
        <w:t>在</w:t>
      </w:r>
      <w:r>
        <w:rPr>
          <w:rFonts w:ascii="仿宋_GB2312" w:eastAsia="仿宋_GB2312" w:hAnsi="仿宋_GB2312" w:cs="仿宋_GB2312" w:hint="eastAsia"/>
        </w:rPr>
        <w:t>2019</w:t>
      </w:r>
      <w:r>
        <w:rPr>
          <w:rFonts w:ascii="仿宋_GB2312" w:eastAsia="仿宋_GB2312" w:hAnsi="仿宋_GB2312" w:cs="仿宋_GB2312" w:hint="eastAsia"/>
        </w:rPr>
        <w:t>年财务专业同业对标指标中孝感公司先进程度合计得分</w:t>
      </w:r>
      <w:r>
        <w:rPr>
          <w:rFonts w:ascii="仿宋_GB2312" w:eastAsia="仿宋_GB2312" w:hAnsi="仿宋_GB2312" w:cs="仿宋_GB2312" w:hint="eastAsia"/>
        </w:rPr>
        <w:t>88.35</w:t>
      </w:r>
      <w:r>
        <w:rPr>
          <w:rFonts w:ascii="仿宋_GB2312" w:eastAsia="仿宋_GB2312" w:hAnsi="仿宋_GB2312" w:cs="仿宋_GB2312" w:hint="eastAsia"/>
        </w:rPr>
        <w:t>分，先进程度</w:t>
      </w:r>
      <w:r>
        <w:rPr>
          <w:rFonts w:ascii="仿宋_GB2312" w:eastAsia="仿宋_GB2312" w:hAnsi="仿宋_GB2312" w:cs="仿宋_GB2312" w:hint="eastAsia"/>
        </w:rPr>
        <w:t>排名位列全省地市第</w:t>
      </w:r>
      <w:r>
        <w:rPr>
          <w:rFonts w:ascii="仿宋_GB2312" w:eastAsia="仿宋_GB2312" w:hAnsi="仿宋_GB2312" w:cs="仿宋_GB2312" w:hint="eastAsia"/>
        </w:rPr>
        <w:t>3</w:t>
      </w:r>
      <w:r>
        <w:rPr>
          <w:rFonts w:ascii="仿宋_GB2312" w:eastAsia="仿宋_GB2312" w:hAnsi="仿宋_GB2312" w:cs="仿宋_GB2312" w:hint="eastAsia"/>
        </w:rPr>
        <w:t>名，成长能力得分</w:t>
      </w:r>
      <w:r>
        <w:rPr>
          <w:rFonts w:ascii="仿宋_GB2312" w:eastAsia="仿宋_GB2312" w:hAnsi="仿宋_GB2312" w:cs="仿宋_GB2312" w:hint="eastAsia"/>
        </w:rPr>
        <w:t>8.10</w:t>
      </w:r>
      <w:r>
        <w:rPr>
          <w:rFonts w:ascii="仿宋_GB2312" w:eastAsia="仿宋_GB2312" w:hAnsi="仿宋_GB2312" w:cs="仿宋_GB2312" w:hint="eastAsia"/>
        </w:rPr>
        <w:t>分，位列全省地市第</w:t>
      </w:r>
      <w:r>
        <w:rPr>
          <w:rFonts w:ascii="仿宋_GB2312" w:eastAsia="仿宋_GB2312" w:hAnsi="仿宋_GB2312" w:cs="仿宋_GB2312" w:hint="eastAsia"/>
        </w:rPr>
        <w:t>2</w:t>
      </w:r>
      <w:r>
        <w:rPr>
          <w:rFonts w:ascii="仿宋_GB2312" w:eastAsia="仿宋_GB2312" w:hAnsi="仿宋_GB2312" w:cs="仿宋_GB2312" w:hint="eastAsia"/>
        </w:rPr>
        <w:t>位。经营贡献度达</w:t>
      </w:r>
      <w:r>
        <w:rPr>
          <w:rFonts w:ascii="仿宋_GB2312" w:eastAsia="仿宋_GB2312" w:hAnsi="仿宋_GB2312" w:cs="仿宋_GB2312" w:hint="eastAsia"/>
        </w:rPr>
        <w:t>3.21%</w:t>
      </w:r>
      <w:r>
        <w:rPr>
          <w:rFonts w:ascii="仿宋_GB2312" w:eastAsia="仿宋_GB2312" w:hAnsi="仿宋_GB2312" w:cs="仿宋_GB2312" w:hint="eastAsia"/>
        </w:rPr>
        <w:t>，各地市排名第七。</w:t>
      </w:r>
    </w:p>
    <w:p w:rsidR="00C3363C" w:rsidRDefault="0082505F">
      <w:pPr>
        <w:pStyle w:val="2"/>
        <w:numPr>
          <w:ilvl w:val="0"/>
          <w:numId w:val="0"/>
        </w:numPr>
        <w:spacing w:beforeLines="0" w:before="0" w:afterLines="0" w:after="0" w:line="360" w:lineRule="auto"/>
        <w:ind w:firstLineChars="100" w:firstLine="281"/>
        <w:rPr>
          <w:rFonts w:ascii="仿宋_GB2312" w:eastAsia="仿宋_GB2312" w:hAnsi="仿宋_GB2312" w:cs="仿宋_GB2312"/>
        </w:rPr>
      </w:pPr>
      <w:bookmarkStart w:id="46" w:name="_Toc54599271"/>
      <w:r>
        <w:rPr>
          <w:rFonts w:ascii="仿宋_GB2312" w:eastAsia="仿宋_GB2312" w:hAnsi="仿宋_GB2312" w:cs="仿宋_GB2312" w:hint="eastAsia"/>
        </w:rPr>
        <w:t>（三）公司软实力进一步提升</w:t>
      </w:r>
      <w:bookmarkEnd w:id="46"/>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精益财务管控促使最小经营单元自我经营、自负盈亏、自主革新，配套的管理制度进一步优化。本项目按照“试点先行、总体推进”策</w:t>
      </w:r>
      <w:r>
        <w:rPr>
          <w:rFonts w:ascii="仿宋_GB2312" w:eastAsia="仿宋_GB2312" w:hAnsi="仿宋_GB2312" w:cs="仿宋_GB2312" w:hint="eastAsia"/>
        </w:rPr>
        <w:lastRenderedPageBreak/>
        <w:t>略，总结沉淀优秀先进的管理经验，形成系列管理优化制度。制度沉淀包括但不限于：明确供电所应设立支委会、所委会等议事决策机构，对供电所重大事项进行集体研究决策；对云梦公司供电所工作积分考核体系进行提炼，形成一套以“通用工作积分、工作质量积分、安全工作积分”为主</w:t>
      </w:r>
      <w:r>
        <w:rPr>
          <w:rFonts w:ascii="仿宋_GB2312" w:eastAsia="仿宋_GB2312" w:hAnsi="仿宋_GB2312" w:cs="仿宋_GB2312" w:hint="eastAsia"/>
        </w:rPr>
        <w:t>的工作积分体系，制定供电所积分制考核通用模板并下发，结合实际推广积分制考核；制定“全能型”乡镇供电所财务管控指导意见》《孝感公司关于对乡镇供电所“一所一预算”的指导意见》等六项文件，指导预算编制，规范供电所费用报销和台账管理。</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精益财务管控对人员素质的要求越来越高，基层队伍素质进一步提升。本项目将“供电所提质增效”工作纳入业绩考核体系，同时完善了业绩贡献和薪酬分配“强关联”的评价机制，队伍的能力素质也在项目实施中得到提高。每年开展“岗位大练兵、业务大比武、对标大提升”活动，岗位练兵覆盖供电所</w:t>
      </w:r>
      <w:r>
        <w:rPr>
          <w:rFonts w:ascii="仿宋_GB2312" w:eastAsia="仿宋_GB2312" w:hAnsi="仿宋_GB2312" w:cs="仿宋_GB2312" w:hint="eastAsia"/>
        </w:rPr>
        <w:t>6</w:t>
      </w:r>
      <w:r>
        <w:rPr>
          <w:rFonts w:ascii="仿宋_GB2312" w:eastAsia="仿宋_GB2312" w:hAnsi="仿宋_GB2312" w:cs="仿宋_GB2312" w:hint="eastAsia"/>
        </w:rPr>
        <w:t>大岗位</w:t>
      </w:r>
      <w:r>
        <w:rPr>
          <w:rFonts w:ascii="仿宋_GB2312" w:eastAsia="仿宋_GB2312" w:hAnsi="仿宋_GB2312" w:cs="仿宋_GB2312" w:hint="eastAsia"/>
        </w:rPr>
        <w:t>2005</w:t>
      </w:r>
      <w:r>
        <w:rPr>
          <w:rFonts w:ascii="仿宋_GB2312" w:eastAsia="仿宋_GB2312" w:hAnsi="仿宋_GB2312" w:cs="仿宋_GB2312" w:hint="eastAsia"/>
        </w:rPr>
        <w:t>人，全员参与考核通关；业务比武在孝感公司</w:t>
      </w:r>
      <w:r>
        <w:rPr>
          <w:rFonts w:ascii="仿宋_GB2312" w:eastAsia="仿宋_GB2312" w:hAnsi="仿宋_GB2312" w:cs="仿宋_GB2312" w:hint="eastAsia"/>
        </w:rPr>
        <w:t>92</w:t>
      </w:r>
      <w:r>
        <w:rPr>
          <w:rFonts w:ascii="仿宋_GB2312" w:eastAsia="仿宋_GB2312" w:hAnsi="仿宋_GB2312" w:cs="仿宋_GB2312" w:hint="eastAsia"/>
        </w:rPr>
        <w:t>家供电所全覆盖，打造高素质供电服务团队；供电所对标结果按月发布，形成比学赶超的良好氛围；截至</w:t>
      </w:r>
      <w:r>
        <w:rPr>
          <w:rFonts w:ascii="仿宋_GB2312" w:eastAsia="仿宋_GB2312" w:hAnsi="仿宋_GB2312" w:cs="仿宋_GB2312" w:hint="eastAsia"/>
        </w:rPr>
        <w:t>2019</w:t>
      </w:r>
      <w:r>
        <w:rPr>
          <w:rFonts w:ascii="仿宋_GB2312" w:eastAsia="仿宋_GB2312" w:hAnsi="仿宋_GB2312" w:cs="仿宋_GB2312" w:hint="eastAsia"/>
        </w:rPr>
        <w:t>年底，岗位综合轮训率达到</w:t>
      </w:r>
      <w:r>
        <w:rPr>
          <w:rFonts w:ascii="仿宋_GB2312" w:eastAsia="仿宋_GB2312" w:hAnsi="仿宋_GB2312" w:cs="仿宋_GB2312" w:hint="eastAsia"/>
        </w:rPr>
        <w:t>82.43%</w:t>
      </w:r>
      <w:r>
        <w:rPr>
          <w:rFonts w:ascii="仿宋_GB2312" w:eastAsia="仿宋_GB2312" w:hAnsi="仿宋_GB2312" w:cs="仿宋_GB2312" w:hint="eastAsia"/>
        </w:rPr>
        <w:t>。</w:t>
      </w:r>
    </w:p>
    <w:p w:rsidR="00C3363C" w:rsidRDefault="0082505F">
      <w:pPr>
        <w:ind w:firstLine="560"/>
        <w:rPr>
          <w:rFonts w:ascii="仿宋_GB2312" w:eastAsia="仿宋_GB2312" w:hAnsi="仿宋_GB2312" w:cs="仿宋_GB2312"/>
        </w:rPr>
      </w:pPr>
      <w:r>
        <w:rPr>
          <w:rFonts w:ascii="仿宋_GB2312" w:eastAsia="仿宋_GB2312" w:hAnsi="仿宋_GB2312" w:cs="仿宋_GB2312" w:hint="eastAsia"/>
        </w:rPr>
        <w:t>孝感公司展现国企展现国企担当，承担社会责任，</w:t>
      </w:r>
      <w:r>
        <w:rPr>
          <w:rFonts w:ascii="仿宋_GB2312" w:eastAsia="仿宋_GB2312" w:hAnsi="仿宋_GB2312" w:cs="仿宋_GB2312" w:hint="eastAsia"/>
        </w:rPr>
        <w:t>自</w:t>
      </w:r>
      <w:r>
        <w:rPr>
          <w:rFonts w:ascii="仿宋_GB2312" w:eastAsia="仿宋_GB2312" w:hAnsi="仿宋_GB2312" w:cs="仿宋_GB2312" w:hint="eastAsia"/>
        </w:rPr>
        <w:t>觉接受政府监管和社会监督，保证重大决策公开透明，不断增进社会各界对公司的情感认同、价值认同</w:t>
      </w:r>
      <w:r>
        <w:rPr>
          <w:rFonts w:ascii="仿宋_GB2312" w:eastAsia="仿宋_GB2312" w:hAnsi="仿宋_GB2312" w:cs="仿宋_GB2312" w:hint="eastAsia"/>
        </w:rPr>
        <w:t>，</w:t>
      </w:r>
      <w:r>
        <w:rPr>
          <w:rFonts w:ascii="仿宋_GB2312" w:eastAsia="仿宋_GB2312" w:hAnsi="仿宋_GB2312" w:cs="仿宋_GB2312" w:hint="eastAsia"/>
        </w:rPr>
        <w:t>产生了良好的社会效益。在保障可靠可信赖能源供应方面，孝感公司着力推进电网高质量发展，不断提升电网能源资源配置能力和智能化水平，确保电网稳定运行；在努力做绿色发展的表率方面，孝感公司全力推进以</w:t>
      </w:r>
      <w:r>
        <w:rPr>
          <w:rFonts w:ascii="仿宋_GB2312" w:eastAsia="仿宋_GB2312" w:hAnsi="仿宋_GB2312" w:cs="仿宋_GB2312" w:hint="eastAsia"/>
        </w:rPr>
        <w:t>绿色低碳高校的充足电能，全力服务美丽家乡建设。</w:t>
      </w:r>
    </w:p>
    <w:sectPr w:rsidR="00C3363C">
      <w:headerReference w:type="even" r:id="rId26"/>
      <w:footerReference w:type="even" r:id="rId27"/>
      <w:footerReference w:type="default" r:id="rId28"/>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2505F" w:rsidRDefault="0082505F">
      <w:pPr>
        <w:spacing w:after="0" w:line="240" w:lineRule="auto"/>
        <w:ind w:firstLine="560"/>
      </w:pPr>
      <w:r>
        <w:separator/>
      </w:r>
    </w:p>
  </w:endnote>
  <w:endnote w:type="continuationSeparator" w:id="0">
    <w:p w:rsidR="0082505F" w:rsidRDefault="0082505F">
      <w:pPr>
        <w:spacing w:after="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方正黑体_GBK">
    <w:altName w:val="微软雅黑"/>
    <w:panose1 w:val="020B0604020202020204"/>
    <w:charset w:val="86"/>
    <w:family w:val="auto"/>
    <w:pitch w:val="default"/>
    <w:sig w:usb0="00000000" w:usb1="00000000" w:usb2="00000010" w:usb3="00000000" w:csb0="00040000" w:csb1="00000000"/>
  </w:font>
  <w:font w:name="隶书">
    <w:altName w:val="微软雅黑"/>
    <w:panose1 w:val="020B0604020202020204"/>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仿宋_GB2312">
    <w:altName w:val="仿宋"/>
    <w:panose1 w:val="020B0604020202020204"/>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e"/>
      </w:rPr>
      <w:id w:val="-711345853"/>
    </w:sdtPr>
    <w:sdtEndPr>
      <w:rPr>
        <w:rStyle w:val="ae"/>
      </w:rPr>
    </w:sdtEndPr>
    <w:sdtContent>
      <w:p w:rsidR="00C3363C" w:rsidRDefault="0082505F">
        <w:pPr>
          <w:pStyle w:val="a9"/>
          <w:framePr w:wrap="around" w:vAnchor="text" w:hAnchor="margin" w:xAlign="center" w:y="1"/>
          <w:ind w:firstLine="360"/>
          <w:rPr>
            <w:rStyle w:val="ae"/>
          </w:rPr>
        </w:pPr>
        <w:r>
          <w:rPr>
            <w:rStyle w:val="ae"/>
          </w:rPr>
          <w:fldChar w:fldCharType="begin"/>
        </w:r>
        <w:r>
          <w:rPr>
            <w:rStyle w:val="ae"/>
          </w:rPr>
          <w:instrText xml:space="preserve"> PAGE </w:instrText>
        </w:r>
        <w:r>
          <w:rPr>
            <w:rStyle w:val="ae"/>
          </w:rPr>
          <w:fldChar w:fldCharType="end"/>
        </w:r>
      </w:p>
    </w:sdtContent>
  </w:sdt>
  <w:p w:rsidR="00C3363C" w:rsidRDefault="00C3363C">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7596826"/>
    </w:sdtPr>
    <w:sdtEndPr/>
    <w:sdtContent>
      <w:sdt>
        <w:sdtPr>
          <w:id w:val="1728636285"/>
        </w:sdtPr>
        <w:sdtEndPr/>
        <w:sdtContent>
          <w:p w:rsidR="00C3363C" w:rsidRDefault="0082505F">
            <w:pPr>
              <w:pStyle w:val="a9"/>
              <w:ind w:firstLine="360"/>
              <w:jc w:val="center"/>
            </w:pPr>
            <w:r>
              <w:rPr>
                <w:lang w:val="zh-CN"/>
              </w:rPr>
              <w:t xml:space="preserve"> </w:t>
            </w:r>
            <w:r>
              <w:rPr>
                <w:b/>
                <w:bCs/>
                <w:sz w:val="24"/>
              </w:rPr>
              <w:fldChar w:fldCharType="begin"/>
            </w:r>
            <w:r>
              <w:rPr>
                <w:b/>
                <w:bCs/>
              </w:rPr>
              <w:instrText>PAGE</w:instrText>
            </w:r>
            <w:r>
              <w:rPr>
                <w:b/>
                <w:bCs/>
                <w:sz w:val="24"/>
              </w:rPr>
              <w:fldChar w:fldCharType="separate"/>
            </w:r>
            <w:r>
              <w:rPr>
                <w:b/>
                <w:bCs/>
                <w:lang w:val="zh-CN"/>
              </w:rPr>
              <w:t>2</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Pr>
                <w:b/>
                <w:bCs/>
                <w:lang w:val="zh-CN"/>
              </w:rPr>
              <w:t>2</w:t>
            </w:r>
            <w:r>
              <w:rPr>
                <w:b/>
                <w:bCs/>
                <w:sz w:val="24"/>
              </w:rPr>
              <w:fldChar w:fldCharType="end"/>
            </w:r>
          </w:p>
        </w:sdtContent>
      </w:sdt>
    </w:sdtContent>
  </w:sdt>
  <w:p w:rsidR="00C3363C" w:rsidRDefault="00C3363C">
    <w:pPr>
      <w:pStyle w:val="a9"/>
      <w:tabs>
        <w:tab w:val="clear" w:pos="8306"/>
      </w:tabs>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2505F" w:rsidRDefault="0082505F">
      <w:pPr>
        <w:spacing w:after="0" w:line="240" w:lineRule="auto"/>
        <w:ind w:firstLine="560"/>
      </w:pPr>
      <w:r>
        <w:separator/>
      </w:r>
    </w:p>
  </w:footnote>
  <w:footnote w:type="continuationSeparator" w:id="0">
    <w:p w:rsidR="0082505F" w:rsidRDefault="0082505F">
      <w:pPr>
        <w:spacing w:after="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363C" w:rsidRDefault="00C3363C">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12DC0E"/>
    <w:multiLevelType w:val="singleLevel"/>
    <w:tmpl w:val="5912DC0E"/>
    <w:lvl w:ilvl="0">
      <w:start w:val="1"/>
      <w:numFmt w:val="chineseCounting"/>
      <w:pStyle w:val="1"/>
      <w:suff w:val="nothing"/>
      <w:lvlText w:val="%1、"/>
      <w:lvlJc w:val="left"/>
      <w:pPr>
        <w:ind w:left="0" w:firstLine="420"/>
      </w:pPr>
      <w:rPr>
        <w:rFonts w:hint="eastAsia"/>
      </w:rPr>
    </w:lvl>
  </w:abstractNum>
  <w:abstractNum w:abstractNumId="1" w15:restartNumberingAfterBreak="0">
    <w:nsid w:val="5912DC44"/>
    <w:multiLevelType w:val="singleLevel"/>
    <w:tmpl w:val="5912DC44"/>
    <w:lvl w:ilvl="0">
      <w:start w:val="1"/>
      <w:numFmt w:val="chineseCounting"/>
      <w:pStyle w:val="2"/>
      <w:suff w:val="nothing"/>
      <w:lvlText w:val="（%1）"/>
      <w:lvlJc w:val="left"/>
      <w:pPr>
        <w:ind w:left="-420" w:firstLine="420"/>
      </w:pPr>
      <w:rPr>
        <w:rFonts w:hint="eastAsia"/>
      </w:rPr>
    </w:lvl>
  </w:abstractNum>
  <w:abstractNum w:abstractNumId="2" w15:restartNumberingAfterBreak="0">
    <w:nsid w:val="5912DC6D"/>
    <w:multiLevelType w:val="singleLevel"/>
    <w:tmpl w:val="5912DC6D"/>
    <w:lvl w:ilvl="0">
      <w:start w:val="1"/>
      <w:numFmt w:val="decimal"/>
      <w:pStyle w:val="3"/>
      <w:lvlText w:val="%1."/>
      <w:lvlJc w:val="left"/>
      <w:pPr>
        <w:tabs>
          <w:tab w:val="left" w:pos="425"/>
        </w:tabs>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bordersDoNotSurroundHeader/>
  <w:bordersDoNotSurroundFooter/>
  <w:hideSpellingErrors/>
  <w:hideGrammaticalErrors/>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346803"/>
    <w:rsid w:val="FEEB4A19"/>
    <w:rsid w:val="000534DB"/>
    <w:rsid w:val="00074116"/>
    <w:rsid w:val="0008218C"/>
    <w:rsid w:val="0009361B"/>
    <w:rsid w:val="000A3D5A"/>
    <w:rsid w:val="000B0552"/>
    <w:rsid w:val="000B1E88"/>
    <w:rsid w:val="000B439E"/>
    <w:rsid w:val="000B50DE"/>
    <w:rsid w:val="000C16B2"/>
    <w:rsid w:val="000C3769"/>
    <w:rsid w:val="000D6044"/>
    <w:rsid w:val="000D690F"/>
    <w:rsid w:val="000E6A86"/>
    <w:rsid w:val="000F55DA"/>
    <w:rsid w:val="000F58F9"/>
    <w:rsid w:val="0011210B"/>
    <w:rsid w:val="00121E3B"/>
    <w:rsid w:val="00126810"/>
    <w:rsid w:val="00127EBB"/>
    <w:rsid w:val="001348DA"/>
    <w:rsid w:val="001406CC"/>
    <w:rsid w:val="00140FEF"/>
    <w:rsid w:val="00146643"/>
    <w:rsid w:val="00152FC8"/>
    <w:rsid w:val="00153512"/>
    <w:rsid w:val="00164070"/>
    <w:rsid w:val="00174F1E"/>
    <w:rsid w:val="00177990"/>
    <w:rsid w:val="001B32B5"/>
    <w:rsid w:val="001D2CF0"/>
    <w:rsid w:val="001D49F2"/>
    <w:rsid w:val="001E05D1"/>
    <w:rsid w:val="00203408"/>
    <w:rsid w:val="002456DA"/>
    <w:rsid w:val="00252EE9"/>
    <w:rsid w:val="00256D6F"/>
    <w:rsid w:val="002577F9"/>
    <w:rsid w:val="00263FEE"/>
    <w:rsid w:val="00274F77"/>
    <w:rsid w:val="002836E9"/>
    <w:rsid w:val="002927F6"/>
    <w:rsid w:val="002979C8"/>
    <w:rsid w:val="002B0BF0"/>
    <w:rsid w:val="002B421D"/>
    <w:rsid w:val="002B7597"/>
    <w:rsid w:val="002C4903"/>
    <w:rsid w:val="002D0B15"/>
    <w:rsid w:val="002D441A"/>
    <w:rsid w:val="002E1BAA"/>
    <w:rsid w:val="002E31D5"/>
    <w:rsid w:val="002E5DAC"/>
    <w:rsid w:val="002F6487"/>
    <w:rsid w:val="002F7CCA"/>
    <w:rsid w:val="00303455"/>
    <w:rsid w:val="0030675D"/>
    <w:rsid w:val="00323F51"/>
    <w:rsid w:val="003371B4"/>
    <w:rsid w:val="003503A1"/>
    <w:rsid w:val="00360F2B"/>
    <w:rsid w:val="003730C7"/>
    <w:rsid w:val="00382398"/>
    <w:rsid w:val="0039024D"/>
    <w:rsid w:val="003A737F"/>
    <w:rsid w:val="003C3A71"/>
    <w:rsid w:val="003D3E90"/>
    <w:rsid w:val="003D5CA8"/>
    <w:rsid w:val="003E52DE"/>
    <w:rsid w:val="004020D0"/>
    <w:rsid w:val="00410B4A"/>
    <w:rsid w:val="00411CD9"/>
    <w:rsid w:val="00450FB5"/>
    <w:rsid w:val="00453037"/>
    <w:rsid w:val="00453CA2"/>
    <w:rsid w:val="00454B24"/>
    <w:rsid w:val="00472D7B"/>
    <w:rsid w:val="0047575A"/>
    <w:rsid w:val="0047773F"/>
    <w:rsid w:val="00491E7E"/>
    <w:rsid w:val="0049382C"/>
    <w:rsid w:val="004C0BD9"/>
    <w:rsid w:val="004C1B01"/>
    <w:rsid w:val="004C2390"/>
    <w:rsid w:val="004D16CE"/>
    <w:rsid w:val="004E44F3"/>
    <w:rsid w:val="004F175A"/>
    <w:rsid w:val="005305C8"/>
    <w:rsid w:val="00546AA6"/>
    <w:rsid w:val="00552EC8"/>
    <w:rsid w:val="00562304"/>
    <w:rsid w:val="005741A7"/>
    <w:rsid w:val="005905BA"/>
    <w:rsid w:val="00591943"/>
    <w:rsid w:val="005A42B2"/>
    <w:rsid w:val="005B4C03"/>
    <w:rsid w:val="00630209"/>
    <w:rsid w:val="00636A7D"/>
    <w:rsid w:val="00656D0D"/>
    <w:rsid w:val="00685DC8"/>
    <w:rsid w:val="006D4D72"/>
    <w:rsid w:val="006D6B48"/>
    <w:rsid w:val="006F2B66"/>
    <w:rsid w:val="006F4A50"/>
    <w:rsid w:val="0070126F"/>
    <w:rsid w:val="007034E7"/>
    <w:rsid w:val="00703507"/>
    <w:rsid w:val="0073176D"/>
    <w:rsid w:val="007449A0"/>
    <w:rsid w:val="00746F56"/>
    <w:rsid w:val="00753C18"/>
    <w:rsid w:val="00754A9C"/>
    <w:rsid w:val="00755BFB"/>
    <w:rsid w:val="00767B99"/>
    <w:rsid w:val="00770769"/>
    <w:rsid w:val="00771F77"/>
    <w:rsid w:val="0077655C"/>
    <w:rsid w:val="00791BB7"/>
    <w:rsid w:val="00793D4D"/>
    <w:rsid w:val="007968E3"/>
    <w:rsid w:val="007B5753"/>
    <w:rsid w:val="007C2749"/>
    <w:rsid w:val="007D6145"/>
    <w:rsid w:val="007E4101"/>
    <w:rsid w:val="007E474F"/>
    <w:rsid w:val="007E7542"/>
    <w:rsid w:val="00800569"/>
    <w:rsid w:val="008249C6"/>
    <w:rsid w:val="0082505F"/>
    <w:rsid w:val="008364A8"/>
    <w:rsid w:val="008566CA"/>
    <w:rsid w:val="00861C3E"/>
    <w:rsid w:val="00865207"/>
    <w:rsid w:val="00874414"/>
    <w:rsid w:val="008D1727"/>
    <w:rsid w:val="008D3A68"/>
    <w:rsid w:val="008D582A"/>
    <w:rsid w:val="008D6589"/>
    <w:rsid w:val="00912DB8"/>
    <w:rsid w:val="00925072"/>
    <w:rsid w:val="00951118"/>
    <w:rsid w:val="0095135B"/>
    <w:rsid w:val="00957EE8"/>
    <w:rsid w:val="009608F3"/>
    <w:rsid w:val="009673AC"/>
    <w:rsid w:val="00973C2C"/>
    <w:rsid w:val="009C0965"/>
    <w:rsid w:val="009C791E"/>
    <w:rsid w:val="00A01210"/>
    <w:rsid w:val="00A404B9"/>
    <w:rsid w:val="00A4119D"/>
    <w:rsid w:val="00A860B8"/>
    <w:rsid w:val="00A925AE"/>
    <w:rsid w:val="00A92CFE"/>
    <w:rsid w:val="00A93BC5"/>
    <w:rsid w:val="00A94A82"/>
    <w:rsid w:val="00AA7426"/>
    <w:rsid w:val="00AB39FE"/>
    <w:rsid w:val="00AB57A0"/>
    <w:rsid w:val="00AB5B7D"/>
    <w:rsid w:val="00AB7DD0"/>
    <w:rsid w:val="00AC500A"/>
    <w:rsid w:val="00AD00E2"/>
    <w:rsid w:val="00AD2936"/>
    <w:rsid w:val="00AF5324"/>
    <w:rsid w:val="00B026B1"/>
    <w:rsid w:val="00B04FCE"/>
    <w:rsid w:val="00B14876"/>
    <w:rsid w:val="00B17D41"/>
    <w:rsid w:val="00B321BE"/>
    <w:rsid w:val="00B32F5F"/>
    <w:rsid w:val="00B34641"/>
    <w:rsid w:val="00B3473A"/>
    <w:rsid w:val="00B41B58"/>
    <w:rsid w:val="00B42998"/>
    <w:rsid w:val="00B55215"/>
    <w:rsid w:val="00B56348"/>
    <w:rsid w:val="00B6120A"/>
    <w:rsid w:val="00B8040A"/>
    <w:rsid w:val="00BB065A"/>
    <w:rsid w:val="00BC2350"/>
    <w:rsid w:val="00BC486C"/>
    <w:rsid w:val="00BC7AFD"/>
    <w:rsid w:val="00BF0109"/>
    <w:rsid w:val="00C01707"/>
    <w:rsid w:val="00C019E1"/>
    <w:rsid w:val="00C0471F"/>
    <w:rsid w:val="00C1171E"/>
    <w:rsid w:val="00C14DCB"/>
    <w:rsid w:val="00C164F2"/>
    <w:rsid w:val="00C3363C"/>
    <w:rsid w:val="00C4038D"/>
    <w:rsid w:val="00C47E6F"/>
    <w:rsid w:val="00C53DEE"/>
    <w:rsid w:val="00C61B53"/>
    <w:rsid w:val="00C64B51"/>
    <w:rsid w:val="00C6529F"/>
    <w:rsid w:val="00C653BF"/>
    <w:rsid w:val="00C70BF7"/>
    <w:rsid w:val="00C73FA1"/>
    <w:rsid w:val="00C76BA6"/>
    <w:rsid w:val="00C771C5"/>
    <w:rsid w:val="00C8215F"/>
    <w:rsid w:val="00C87B65"/>
    <w:rsid w:val="00CA3FD6"/>
    <w:rsid w:val="00CB295E"/>
    <w:rsid w:val="00CB5209"/>
    <w:rsid w:val="00CC3AD5"/>
    <w:rsid w:val="00CC5EE0"/>
    <w:rsid w:val="00CD2FBE"/>
    <w:rsid w:val="00D01A8C"/>
    <w:rsid w:val="00D12813"/>
    <w:rsid w:val="00D215EA"/>
    <w:rsid w:val="00D21BDD"/>
    <w:rsid w:val="00D57BB0"/>
    <w:rsid w:val="00D749E0"/>
    <w:rsid w:val="00D8090E"/>
    <w:rsid w:val="00D914F8"/>
    <w:rsid w:val="00D91E7F"/>
    <w:rsid w:val="00D96289"/>
    <w:rsid w:val="00DA0A1D"/>
    <w:rsid w:val="00DA261D"/>
    <w:rsid w:val="00DA3563"/>
    <w:rsid w:val="00DA535F"/>
    <w:rsid w:val="00DB33C2"/>
    <w:rsid w:val="00DC48C7"/>
    <w:rsid w:val="00DC4B1B"/>
    <w:rsid w:val="00DF419B"/>
    <w:rsid w:val="00E3057B"/>
    <w:rsid w:val="00E368FB"/>
    <w:rsid w:val="00E82946"/>
    <w:rsid w:val="00E90321"/>
    <w:rsid w:val="00EE6031"/>
    <w:rsid w:val="00EF173C"/>
    <w:rsid w:val="00F01123"/>
    <w:rsid w:val="00F0162A"/>
    <w:rsid w:val="00F20AD2"/>
    <w:rsid w:val="00F230C6"/>
    <w:rsid w:val="00F37C52"/>
    <w:rsid w:val="00F6173C"/>
    <w:rsid w:val="00F61DDB"/>
    <w:rsid w:val="00F74B45"/>
    <w:rsid w:val="00F77E0C"/>
    <w:rsid w:val="00F820E7"/>
    <w:rsid w:val="00F836BB"/>
    <w:rsid w:val="00F868D4"/>
    <w:rsid w:val="00F968A7"/>
    <w:rsid w:val="00FA390F"/>
    <w:rsid w:val="00FD7F57"/>
    <w:rsid w:val="01456099"/>
    <w:rsid w:val="01553A1F"/>
    <w:rsid w:val="01D1010B"/>
    <w:rsid w:val="038257CD"/>
    <w:rsid w:val="03D956D5"/>
    <w:rsid w:val="055929E4"/>
    <w:rsid w:val="05D36051"/>
    <w:rsid w:val="05D75A28"/>
    <w:rsid w:val="05DF55CE"/>
    <w:rsid w:val="077B0ED6"/>
    <w:rsid w:val="07CC3B2C"/>
    <w:rsid w:val="07D63178"/>
    <w:rsid w:val="07FA532D"/>
    <w:rsid w:val="08D4781C"/>
    <w:rsid w:val="08D63EC5"/>
    <w:rsid w:val="09E4156A"/>
    <w:rsid w:val="0A1E65D4"/>
    <w:rsid w:val="0A52530F"/>
    <w:rsid w:val="0ADF2451"/>
    <w:rsid w:val="0B137B65"/>
    <w:rsid w:val="0B55115C"/>
    <w:rsid w:val="0B670C76"/>
    <w:rsid w:val="0B874328"/>
    <w:rsid w:val="0C506333"/>
    <w:rsid w:val="0E6922A9"/>
    <w:rsid w:val="0EFC2002"/>
    <w:rsid w:val="0F1F056F"/>
    <w:rsid w:val="0FB432D4"/>
    <w:rsid w:val="0FEE2254"/>
    <w:rsid w:val="10205E71"/>
    <w:rsid w:val="102B6B10"/>
    <w:rsid w:val="11C417DE"/>
    <w:rsid w:val="1378330D"/>
    <w:rsid w:val="1472255C"/>
    <w:rsid w:val="154A56D0"/>
    <w:rsid w:val="166A451F"/>
    <w:rsid w:val="16701C5C"/>
    <w:rsid w:val="168A3FD0"/>
    <w:rsid w:val="16A341F9"/>
    <w:rsid w:val="17B00458"/>
    <w:rsid w:val="1A1F59F3"/>
    <w:rsid w:val="1AC26E0B"/>
    <w:rsid w:val="1B271419"/>
    <w:rsid w:val="1BD95F7F"/>
    <w:rsid w:val="1C3A1B01"/>
    <w:rsid w:val="1C8035F1"/>
    <w:rsid w:val="1D0F273C"/>
    <w:rsid w:val="1D2A622B"/>
    <w:rsid w:val="1DCC14DA"/>
    <w:rsid w:val="1EB61AE7"/>
    <w:rsid w:val="1F180D99"/>
    <w:rsid w:val="1F292BDA"/>
    <w:rsid w:val="1F9316EB"/>
    <w:rsid w:val="20C91A8A"/>
    <w:rsid w:val="20DE401C"/>
    <w:rsid w:val="21214C26"/>
    <w:rsid w:val="21402C7C"/>
    <w:rsid w:val="21C7240E"/>
    <w:rsid w:val="220600A2"/>
    <w:rsid w:val="224820DE"/>
    <w:rsid w:val="24330280"/>
    <w:rsid w:val="245461E3"/>
    <w:rsid w:val="2456404D"/>
    <w:rsid w:val="24A03335"/>
    <w:rsid w:val="24C41870"/>
    <w:rsid w:val="24D86E5C"/>
    <w:rsid w:val="25AC10BD"/>
    <w:rsid w:val="275459EC"/>
    <w:rsid w:val="27AB76E7"/>
    <w:rsid w:val="27FD11F8"/>
    <w:rsid w:val="280D3ABD"/>
    <w:rsid w:val="283A2A91"/>
    <w:rsid w:val="28591940"/>
    <w:rsid w:val="288C4469"/>
    <w:rsid w:val="28E9623B"/>
    <w:rsid w:val="296575D7"/>
    <w:rsid w:val="2A5C014B"/>
    <w:rsid w:val="2A71278B"/>
    <w:rsid w:val="2B3C781F"/>
    <w:rsid w:val="2B5D2614"/>
    <w:rsid w:val="2BC37D26"/>
    <w:rsid w:val="2C5A4DBF"/>
    <w:rsid w:val="2CAB6C2A"/>
    <w:rsid w:val="2CD67451"/>
    <w:rsid w:val="2D8F0944"/>
    <w:rsid w:val="2E01626E"/>
    <w:rsid w:val="2FD44184"/>
    <w:rsid w:val="2FDC42EE"/>
    <w:rsid w:val="301D21AC"/>
    <w:rsid w:val="305102C5"/>
    <w:rsid w:val="314C4700"/>
    <w:rsid w:val="31E263D2"/>
    <w:rsid w:val="3244331B"/>
    <w:rsid w:val="32EE6FA4"/>
    <w:rsid w:val="32FF4B01"/>
    <w:rsid w:val="34034967"/>
    <w:rsid w:val="353A310C"/>
    <w:rsid w:val="37E853BE"/>
    <w:rsid w:val="38095E83"/>
    <w:rsid w:val="38601D23"/>
    <w:rsid w:val="38B65C6E"/>
    <w:rsid w:val="38FD5E28"/>
    <w:rsid w:val="390C7670"/>
    <w:rsid w:val="396D77B8"/>
    <w:rsid w:val="39D96924"/>
    <w:rsid w:val="39FA081F"/>
    <w:rsid w:val="3BB82597"/>
    <w:rsid w:val="3C4645ED"/>
    <w:rsid w:val="3C577BCB"/>
    <w:rsid w:val="3DCA3CA1"/>
    <w:rsid w:val="3F156710"/>
    <w:rsid w:val="3FC209A5"/>
    <w:rsid w:val="40021862"/>
    <w:rsid w:val="403726B5"/>
    <w:rsid w:val="421D643B"/>
    <w:rsid w:val="439F4964"/>
    <w:rsid w:val="44E61035"/>
    <w:rsid w:val="44E85F9C"/>
    <w:rsid w:val="45346803"/>
    <w:rsid w:val="473337CA"/>
    <w:rsid w:val="4737136D"/>
    <w:rsid w:val="47992F6C"/>
    <w:rsid w:val="47CF1229"/>
    <w:rsid w:val="487F5304"/>
    <w:rsid w:val="494872EC"/>
    <w:rsid w:val="49B5224A"/>
    <w:rsid w:val="4A904371"/>
    <w:rsid w:val="4C401CC3"/>
    <w:rsid w:val="4CDF07CE"/>
    <w:rsid w:val="4CF665E4"/>
    <w:rsid w:val="4D791612"/>
    <w:rsid w:val="4E6646AE"/>
    <w:rsid w:val="4F4418AA"/>
    <w:rsid w:val="506C0DAD"/>
    <w:rsid w:val="5073767F"/>
    <w:rsid w:val="52281E5C"/>
    <w:rsid w:val="52AD1544"/>
    <w:rsid w:val="53D03397"/>
    <w:rsid w:val="54EA2855"/>
    <w:rsid w:val="55AE2534"/>
    <w:rsid w:val="55FE7FA3"/>
    <w:rsid w:val="56520732"/>
    <w:rsid w:val="577D1CE2"/>
    <w:rsid w:val="57F2423C"/>
    <w:rsid w:val="58687F32"/>
    <w:rsid w:val="58E07D38"/>
    <w:rsid w:val="59485E50"/>
    <w:rsid w:val="597F33EF"/>
    <w:rsid w:val="5B1969BD"/>
    <w:rsid w:val="5BD64F08"/>
    <w:rsid w:val="5C7905A5"/>
    <w:rsid w:val="5D5A200C"/>
    <w:rsid w:val="5D8C0955"/>
    <w:rsid w:val="5DE7101E"/>
    <w:rsid w:val="5E393E73"/>
    <w:rsid w:val="5F3C6EEF"/>
    <w:rsid w:val="5FFA06C9"/>
    <w:rsid w:val="600C09C8"/>
    <w:rsid w:val="601B506A"/>
    <w:rsid w:val="60535AFF"/>
    <w:rsid w:val="60950692"/>
    <w:rsid w:val="60F70168"/>
    <w:rsid w:val="61280348"/>
    <w:rsid w:val="631469A5"/>
    <w:rsid w:val="643538CE"/>
    <w:rsid w:val="67406AAE"/>
    <w:rsid w:val="67F16E42"/>
    <w:rsid w:val="69C706CD"/>
    <w:rsid w:val="6CD6432C"/>
    <w:rsid w:val="6D0E5245"/>
    <w:rsid w:val="6E087440"/>
    <w:rsid w:val="6E4A3EBE"/>
    <w:rsid w:val="6EE81186"/>
    <w:rsid w:val="6F2C26DD"/>
    <w:rsid w:val="6FAA747B"/>
    <w:rsid w:val="701D5ACA"/>
    <w:rsid w:val="703D7B59"/>
    <w:rsid w:val="70516178"/>
    <w:rsid w:val="70E47338"/>
    <w:rsid w:val="711D1124"/>
    <w:rsid w:val="713B4564"/>
    <w:rsid w:val="716F4687"/>
    <w:rsid w:val="724720F9"/>
    <w:rsid w:val="731D48EA"/>
    <w:rsid w:val="742D1E36"/>
    <w:rsid w:val="747E1C95"/>
    <w:rsid w:val="75A11F79"/>
    <w:rsid w:val="75DB60C5"/>
    <w:rsid w:val="765550D6"/>
    <w:rsid w:val="765807D8"/>
    <w:rsid w:val="77217626"/>
    <w:rsid w:val="77332692"/>
    <w:rsid w:val="77EC7E20"/>
    <w:rsid w:val="78786DC6"/>
    <w:rsid w:val="78D7599A"/>
    <w:rsid w:val="79883A8B"/>
    <w:rsid w:val="79DC41F2"/>
    <w:rsid w:val="7ACB28A6"/>
    <w:rsid w:val="7B2008AE"/>
    <w:rsid w:val="7B443926"/>
    <w:rsid w:val="7B787522"/>
    <w:rsid w:val="7BCE2D0C"/>
    <w:rsid w:val="7C5F3F8F"/>
    <w:rsid w:val="7FEE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8AFCC720-B165-CB47-AFC8-40B57290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60" w:line="560" w:lineRule="exact"/>
      <w:ind w:firstLineChars="200" w:firstLine="200"/>
      <w:jc w:val="both"/>
    </w:pPr>
    <w:rPr>
      <w:rFonts w:ascii="Times New Roman" w:eastAsia="仿宋" w:hAnsi="Times New Roman"/>
      <w:kern w:val="2"/>
      <w:sz w:val="28"/>
      <w:szCs w:val="24"/>
    </w:rPr>
  </w:style>
  <w:style w:type="paragraph" w:styleId="1">
    <w:name w:val="heading 1"/>
    <w:basedOn w:val="a"/>
    <w:next w:val="a"/>
    <w:qFormat/>
    <w:pPr>
      <w:keepNext/>
      <w:keepLines/>
      <w:numPr>
        <w:numId w:val="1"/>
      </w:numPr>
      <w:ind w:firstLine="640"/>
      <w:outlineLvl w:val="0"/>
    </w:pPr>
    <w:rPr>
      <w:rFonts w:eastAsia="方正黑体_GBK"/>
      <w:kern w:val="44"/>
    </w:rPr>
  </w:style>
  <w:style w:type="paragraph" w:styleId="2">
    <w:name w:val="heading 2"/>
    <w:basedOn w:val="a"/>
    <w:next w:val="a"/>
    <w:qFormat/>
    <w:pPr>
      <w:numPr>
        <w:numId w:val="2"/>
      </w:numPr>
      <w:tabs>
        <w:tab w:val="left" w:pos="1080"/>
      </w:tabs>
      <w:spacing w:beforeLines="50" w:before="50" w:afterLines="50" w:after="50"/>
      <w:outlineLvl w:val="1"/>
    </w:pPr>
    <w:rPr>
      <w:rFonts w:ascii="隶书" w:eastAsia="楷体" w:hAnsi="隶书"/>
      <w:b/>
    </w:rPr>
  </w:style>
  <w:style w:type="paragraph" w:styleId="3">
    <w:name w:val="heading 3"/>
    <w:basedOn w:val="a"/>
    <w:next w:val="a"/>
    <w:qFormat/>
    <w:pPr>
      <w:numPr>
        <w:numId w:val="3"/>
      </w:numPr>
      <w:ind w:left="0" w:firstLine="560"/>
      <w:jc w:val="left"/>
      <w:outlineLvl w:val="2"/>
    </w:pPr>
    <w:rPr>
      <w:rFonts w:ascii="方正黑体_GBK" w:eastAsia="黑体" w:hAnsi="方正黑体_GBK"/>
    </w:rPr>
  </w:style>
  <w:style w:type="paragraph" w:styleId="4">
    <w:name w:val="heading 4"/>
    <w:basedOn w:val="a"/>
    <w:next w:val="a"/>
    <w:link w:val="40"/>
    <w:unhideWhenUsed/>
    <w:qFormat/>
    <w:pPr>
      <w:keepNext/>
      <w:keepLines/>
      <w:spacing w:beforeLines="100" w:before="100" w:line="400" w:lineRule="exact"/>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b/>
      <w:bCs/>
    </w:rPr>
  </w:style>
  <w:style w:type="paragraph" w:styleId="a4">
    <w:name w:val="annotation text"/>
    <w:basedOn w:val="a"/>
    <w:link w:val="a6"/>
    <w:qFormat/>
    <w:pPr>
      <w:jc w:val="left"/>
    </w:pPr>
  </w:style>
  <w:style w:type="paragraph" w:styleId="TOC7">
    <w:name w:val="toc 7"/>
    <w:basedOn w:val="a"/>
    <w:next w:val="a"/>
    <w:qFormat/>
    <w:pPr>
      <w:spacing w:after="0"/>
      <w:ind w:left="1680"/>
      <w:jc w:val="left"/>
    </w:pPr>
    <w:rPr>
      <w:rFonts w:asciiTheme="minorHAnsi" w:hAnsiTheme="minorHAnsi" w:cstheme="minorHAnsi"/>
      <w:sz w:val="18"/>
      <w:szCs w:val="18"/>
    </w:rPr>
  </w:style>
  <w:style w:type="paragraph" w:styleId="TOC5">
    <w:name w:val="toc 5"/>
    <w:basedOn w:val="a"/>
    <w:next w:val="a"/>
    <w:qFormat/>
    <w:pPr>
      <w:spacing w:after="0"/>
      <w:ind w:left="1120"/>
      <w:jc w:val="left"/>
    </w:pPr>
    <w:rPr>
      <w:rFonts w:asciiTheme="minorHAnsi" w:hAnsiTheme="minorHAnsi" w:cstheme="minorHAnsi"/>
      <w:sz w:val="18"/>
      <w:szCs w:val="18"/>
    </w:rPr>
  </w:style>
  <w:style w:type="paragraph" w:styleId="TOC3">
    <w:name w:val="toc 3"/>
    <w:basedOn w:val="a"/>
    <w:next w:val="a"/>
    <w:uiPriority w:val="39"/>
    <w:qFormat/>
    <w:pPr>
      <w:spacing w:after="0"/>
      <w:ind w:left="560"/>
      <w:jc w:val="left"/>
    </w:pPr>
    <w:rPr>
      <w:rFonts w:asciiTheme="minorHAnsi" w:hAnsiTheme="minorHAnsi" w:cstheme="minorHAnsi"/>
      <w:i/>
      <w:iCs/>
      <w:sz w:val="20"/>
      <w:szCs w:val="20"/>
    </w:rPr>
  </w:style>
  <w:style w:type="paragraph" w:styleId="TOC8">
    <w:name w:val="toc 8"/>
    <w:basedOn w:val="a"/>
    <w:next w:val="a"/>
    <w:qFormat/>
    <w:pPr>
      <w:spacing w:after="0"/>
      <w:ind w:left="1960"/>
      <w:jc w:val="left"/>
    </w:pPr>
    <w:rPr>
      <w:rFonts w:asciiTheme="minorHAnsi" w:hAnsiTheme="minorHAnsi" w:cstheme="minorHAnsi"/>
      <w:sz w:val="18"/>
      <w:szCs w:val="18"/>
    </w:rPr>
  </w:style>
  <w:style w:type="paragraph" w:styleId="a7">
    <w:name w:val="Balloon Text"/>
    <w:basedOn w:val="a"/>
    <w:link w:val="a8"/>
    <w:qFormat/>
    <w:rPr>
      <w:sz w:val="18"/>
      <w:szCs w:val="18"/>
    </w:rPr>
  </w:style>
  <w:style w:type="paragraph" w:styleId="a9">
    <w:name w:val="footer"/>
    <w:basedOn w:val="a"/>
    <w:link w:val="aa"/>
    <w:uiPriority w:val="99"/>
    <w:qFormat/>
    <w:pPr>
      <w:tabs>
        <w:tab w:val="center" w:pos="4153"/>
        <w:tab w:val="right" w:pos="8306"/>
      </w:tabs>
      <w:snapToGrid w:val="0"/>
      <w:jc w:val="left"/>
    </w:pPr>
    <w:rPr>
      <w:sz w:val="18"/>
    </w:rPr>
  </w:style>
  <w:style w:type="paragraph" w:styleId="ab">
    <w:name w:val="header"/>
    <w:basedOn w:val="a"/>
    <w:link w:val="ac"/>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tabs>
        <w:tab w:val="right" w:leader="dot" w:pos="8296"/>
      </w:tabs>
      <w:spacing w:before="120" w:after="120"/>
      <w:ind w:firstLine="800"/>
      <w:jc w:val="left"/>
    </w:pPr>
    <w:rPr>
      <w:rFonts w:asciiTheme="minorHAnsi" w:hAnsiTheme="minorHAnsi" w:cstheme="minorHAnsi"/>
      <w:b/>
      <w:bCs/>
      <w:caps/>
      <w:sz w:val="20"/>
      <w:szCs w:val="20"/>
    </w:rPr>
  </w:style>
  <w:style w:type="paragraph" w:styleId="TOC4">
    <w:name w:val="toc 4"/>
    <w:basedOn w:val="a"/>
    <w:next w:val="a"/>
    <w:qFormat/>
    <w:pPr>
      <w:spacing w:after="0"/>
      <w:ind w:left="840"/>
      <w:jc w:val="left"/>
    </w:pPr>
    <w:rPr>
      <w:rFonts w:asciiTheme="minorHAnsi" w:hAnsiTheme="minorHAnsi" w:cstheme="minorHAnsi"/>
      <w:sz w:val="18"/>
      <w:szCs w:val="18"/>
    </w:rPr>
  </w:style>
  <w:style w:type="paragraph" w:styleId="TOC6">
    <w:name w:val="toc 6"/>
    <w:basedOn w:val="a"/>
    <w:next w:val="a"/>
    <w:qFormat/>
    <w:pPr>
      <w:spacing w:after="0"/>
      <w:ind w:left="1400"/>
      <w:jc w:val="left"/>
    </w:pPr>
    <w:rPr>
      <w:rFonts w:asciiTheme="minorHAnsi" w:hAnsiTheme="minorHAnsi" w:cstheme="minorHAnsi"/>
      <w:sz w:val="18"/>
      <w:szCs w:val="18"/>
    </w:rPr>
  </w:style>
  <w:style w:type="paragraph" w:styleId="TOC2">
    <w:name w:val="toc 2"/>
    <w:basedOn w:val="a"/>
    <w:next w:val="a"/>
    <w:uiPriority w:val="39"/>
    <w:qFormat/>
    <w:pPr>
      <w:spacing w:after="0"/>
      <w:ind w:left="280"/>
      <w:jc w:val="left"/>
    </w:pPr>
    <w:rPr>
      <w:rFonts w:asciiTheme="minorHAnsi" w:hAnsiTheme="minorHAnsi" w:cstheme="minorHAnsi"/>
      <w:smallCaps/>
      <w:sz w:val="20"/>
      <w:szCs w:val="20"/>
    </w:rPr>
  </w:style>
  <w:style w:type="paragraph" w:styleId="TOC9">
    <w:name w:val="toc 9"/>
    <w:basedOn w:val="a"/>
    <w:next w:val="a"/>
    <w:qFormat/>
    <w:pPr>
      <w:spacing w:after="0"/>
      <w:ind w:left="2240"/>
      <w:jc w:val="left"/>
    </w:pPr>
    <w:rPr>
      <w:rFonts w:asciiTheme="minorHAnsi" w:hAnsiTheme="minorHAnsi" w:cstheme="minorHAnsi"/>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character" w:styleId="ae">
    <w:name w:val="page number"/>
    <w:basedOn w:val="a0"/>
    <w:qFormat/>
  </w:style>
  <w:style w:type="character" w:styleId="af">
    <w:name w:val="Hyperlink"/>
    <w:basedOn w:val="a0"/>
    <w:uiPriority w:val="99"/>
    <w:unhideWhenUsed/>
    <w:qFormat/>
    <w:rPr>
      <w:color w:val="0563C1" w:themeColor="hyperlink"/>
      <w:u w:val="single"/>
    </w:rPr>
  </w:style>
  <w:style w:type="character" w:styleId="af0">
    <w:name w:val="annotation reference"/>
    <w:basedOn w:val="a0"/>
    <w:qFormat/>
    <w:rPr>
      <w:sz w:val="21"/>
      <w:szCs w:val="21"/>
    </w:rPr>
  </w:style>
  <w:style w:type="paragraph" w:customStyle="1" w:styleId="10">
    <w:name w:val="列表段落1"/>
    <w:basedOn w:val="a"/>
    <w:uiPriority w:val="34"/>
    <w:qFormat/>
    <w:pPr>
      <w:ind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6">
    <w:name w:val="批注文字 字符"/>
    <w:basedOn w:val="a0"/>
    <w:link w:val="a4"/>
    <w:qFormat/>
    <w:rPr>
      <w:kern w:val="2"/>
      <w:sz w:val="21"/>
      <w:szCs w:val="24"/>
    </w:rPr>
  </w:style>
  <w:style w:type="character" w:customStyle="1" w:styleId="a5">
    <w:name w:val="批注主题 字符"/>
    <w:basedOn w:val="a6"/>
    <w:link w:val="a3"/>
    <w:qFormat/>
    <w:rPr>
      <w:b/>
      <w:bCs/>
      <w:kern w:val="2"/>
      <w:sz w:val="21"/>
      <w:szCs w:val="24"/>
    </w:rPr>
  </w:style>
  <w:style w:type="character" w:customStyle="1" w:styleId="a8">
    <w:name w:val="批注框文本 字符"/>
    <w:basedOn w:val="a0"/>
    <w:link w:val="a7"/>
    <w:qFormat/>
    <w:rPr>
      <w:kern w:val="2"/>
      <w:sz w:val="18"/>
      <w:szCs w:val="18"/>
    </w:rPr>
  </w:style>
  <w:style w:type="paragraph" w:styleId="af1">
    <w:name w:val="List Paragraph"/>
    <w:basedOn w:val="a"/>
    <w:uiPriority w:val="99"/>
    <w:qFormat/>
    <w:pPr>
      <w:ind w:firstLine="420"/>
    </w:pPr>
  </w:style>
  <w:style w:type="character" w:customStyle="1" w:styleId="ac">
    <w:name w:val="页眉 字符"/>
    <w:basedOn w:val="a0"/>
    <w:link w:val="ab"/>
    <w:uiPriority w:val="99"/>
    <w:qFormat/>
    <w:rPr>
      <w:rFonts w:asciiTheme="minorHAnsi" w:eastAsia="仿宋" w:hAnsiTheme="minorHAnsi" w:cstheme="minorBidi"/>
      <w:kern w:val="2"/>
      <w:sz w:val="18"/>
      <w:szCs w:val="24"/>
    </w:rPr>
  </w:style>
  <w:style w:type="character" w:customStyle="1" w:styleId="aa">
    <w:name w:val="页脚 字符"/>
    <w:basedOn w:val="a0"/>
    <w:link w:val="a9"/>
    <w:uiPriority w:val="99"/>
    <w:qFormat/>
    <w:rPr>
      <w:rFonts w:asciiTheme="minorHAnsi" w:eastAsia="仿宋" w:hAnsiTheme="minorHAnsi" w:cstheme="minorBidi"/>
      <w:kern w:val="2"/>
      <w:sz w:val="18"/>
      <w:szCs w:val="24"/>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diagramData" Target="diagrams/data3.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diagramColors" Target="diagrams/colors3.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diagramColors" Target="diagrams/colors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footer" Target="footer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6_1#2">
  <dgm:title val=""/>
  <dgm:desc val=""/>
  <dgm:catLst>
    <dgm:cat type="accent6" pri="11100"/>
  </dgm:catLst>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9">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10">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0F747F6-A844-4E8F-A0A0-423B86FE2B27}" type="doc">
      <dgm:prSet loTypeId="urn:microsoft.com/office/officeart/2005/8/layout/cycle2" loCatId="cycle" qsTypeId="urn:microsoft.com/office/officeart/2005/8/quickstyle/simple5#2" qsCatId="simple" csTypeId="urn:microsoft.com/office/officeart/2005/8/colors/accent6_1#2" csCatId="accent1" phldr="1"/>
      <dgm:spPr/>
      <dgm:t>
        <a:bodyPr/>
        <a:lstStyle/>
        <a:p>
          <a:endParaRPr lang="zh-CN" altLang="en-US"/>
        </a:p>
      </dgm:t>
    </dgm:pt>
    <dgm:pt modelId="{BE1D93E0-1064-4E35-84F1-274817A8FA14}">
      <dgm:prSet phldrT="[文本]" phldr="0" custT="0"/>
      <dgm:spPr/>
      <dgm:t>
        <a:bodyPr vert="horz" wrap="square"/>
        <a:lstStyle/>
        <a:p>
          <a:pPr>
            <a:lnSpc>
              <a:spcPct val="100000"/>
            </a:lnSpc>
            <a:spcBef>
              <a:spcPct val="0"/>
            </a:spcBef>
            <a:spcAft>
              <a:spcPct val="35000"/>
            </a:spcAft>
          </a:pPr>
          <a:r>
            <a:rPr lang="en-US" altLang="zh-CN" b="1"/>
            <a:t>1.</a:t>
          </a:r>
          <a:r>
            <a:rPr lang="zh-CN" altLang="en-US" b="1"/>
            <a:t>制定计划：明确项目开展方向</a:t>
          </a:r>
        </a:p>
      </dgm:t>
    </dgm:pt>
    <dgm:pt modelId="{B76F6F1F-7313-47A5-BC2E-994D915C21FA}" type="parTrans" cxnId="{023C1FBA-10BC-43CC-8EEA-93D949F114E5}">
      <dgm:prSet/>
      <dgm:spPr/>
      <dgm:t>
        <a:bodyPr/>
        <a:lstStyle/>
        <a:p>
          <a:endParaRPr lang="zh-CN" altLang="en-US"/>
        </a:p>
      </dgm:t>
    </dgm:pt>
    <dgm:pt modelId="{485E5104-1EB8-413E-A70E-ADACDF839B14}" type="sibTrans" cxnId="{023C1FBA-10BC-43CC-8EEA-93D949F114E5}">
      <dgm:prSet/>
      <dgm:spPr/>
      <dgm:t>
        <a:bodyPr/>
        <a:lstStyle/>
        <a:p>
          <a:endParaRPr lang="zh-CN" altLang="en-US"/>
        </a:p>
      </dgm:t>
    </dgm:pt>
    <dgm:pt modelId="{202DCE61-40B9-4202-8727-D7270024BBE2}">
      <dgm:prSet phldr="0" custT="0"/>
      <dgm:spPr/>
      <dgm:t>
        <a:bodyPr vert="horz" wrap="square"/>
        <a:lstStyle/>
        <a:p>
          <a:pPr>
            <a:lnSpc>
              <a:spcPct val="100000"/>
            </a:lnSpc>
            <a:spcBef>
              <a:spcPct val="0"/>
            </a:spcBef>
            <a:spcAft>
              <a:spcPct val="35000"/>
            </a:spcAft>
          </a:pPr>
          <a:r>
            <a:rPr lang="en-US" altLang="zh-CN" b="1"/>
            <a:t>2.</a:t>
          </a:r>
          <a:r>
            <a:rPr altLang="en-US" b="1"/>
            <a:t>项目实行：</a:t>
          </a:r>
          <a:r>
            <a:rPr lang="zh-CN" altLang="en-US" b="1"/>
            <a:t>在实践中探索管理新方法</a:t>
          </a:r>
          <a:endParaRPr altLang="en-US" b="1"/>
        </a:p>
      </dgm:t>
    </dgm:pt>
    <dgm:pt modelId="{F5E9E7A7-29F1-42DA-84C2-3BE52EACE2B9}" type="parTrans" cxnId="{4E31F519-2F46-4259-BDD5-25A0D9EBCEBF}">
      <dgm:prSet/>
      <dgm:spPr/>
      <dgm:t>
        <a:bodyPr/>
        <a:lstStyle/>
        <a:p>
          <a:endParaRPr lang="zh-CN" altLang="en-US"/>
        </a:p>
      </dgm:t>
    </dgm:pt>
    <dgm:pt modelId="{E68AE9FB-63DD-4B42-A1C5-92174907D783}" type="sibTrans" cxnId="{4E31F519-2F46-4259-BDD5-25A0D9EBCEBF}">
      <dgm:prSet/>
      <dgm:spPr/>
      <dgm:t>
        <a:bodyPr/>
        <a:lstStyle/>
        <a:p>
          <a:endParaRPr lang="zh-CN" altLang="en-US"/>
        </a:p>
      </dgm:t>
    </dgm:pt>
    <dgm:pt modelId="{C850D67D-D455-40F2-BF40-958244ECBECF}">
      <dgm:prSet phldrT="[文本]" phldr="0" custT="0"/>
      <dgm:spPr/>
      <dgm:t>
        <a:bodyPr vert="horz" wrap="square"/>
        <a:lstStyle/>
        <a:p>
          <a:pPr>
            <a:lnSpc>
              <a:spcPct val="100000"/>
            </a:lnSpc>
            <a:spcBef>
              <a:spcPct val="0"/>
            </a:spcBef>
            <a:spcAft>
              <a:spcPct val="35000"/>
            </a:spcAft>
          </a:pPr>
          <a:r>
            <a:rPr lang="en-US" altLang="zh-CN" b="1"/>
            <a:t>3.</a:t>
          </a:r>
          <a:r>
            <a:rPr lang="zh-CN" altLang="en-US" b="1"/>
            <a:t>深入分析：多方面具体分析考核指标</a:t>
          </a:r>
        </a:p>
      </dgm:t>
    </dgm:pt>
    <dgm:pt modelId="{815BEECE-237C-451B-AD1A-99AD91077DC5}" type="parTrans" cxnId="{90E426DB-F3C5-432E-B586-56BF17416647}">
      <dgm:prSet/>
      <dgm:spPr/>
      <dgm:t>
        <a:bodyPr/>
        <a:lstStyle/>
        <a:p>
          <a:endParaRPr lang="zh-CN" altLang="en-US"/>
        </a:p>
      </dgm:t>
    </dgm:pt>
    <dgm:pt modelId="{440047A4-99C5-4142-9A9A-791B1494D18D}" type="sibTrans" cxnId="{90E426DB-F3C5-432E-B586-56BF17416647}">
      <dgm:prSet/>
      <dgm:spPr/>
      <dgm:t>
        <a:bodyPr/>
        <a:lstStyle/>
        <a:p>
          <a:endParaRPr lang="zh-CN" altLang="en-US"/>
        </a:p>
      </dgm:t>
    </dgm:pt>
    <dgm:pt modelId="{B8C84936-1FF8-491C-957F-E93A0D56BE72}">
      <dgm:prSet phldrT="[文本]" phldr="0" custT="0"/>
      <dgm:spPr/>
      <dgm:t>
        <a:bodyPr vert="horz" wrap="square"/>
        <a:lstStyle/>
        <a:p>
          <a:pPr>
            <a:lnSpc>
              <a:spcPct val="100000"/>
            </a:lnSpc>
            <a:spcBef>
              <a:spcPct val="0"/>
            </a:spcBef>
            <a:spcAft>
              <a:spcPct val="35000"/>
            </a:spcAft>
          </a:pPr>
          <a:r>
            <a:rPr lang="en-US" altLang="zh-CN" b="1"/>
            <a:t>4.</a:t>
          </a:r>
          <a:r>
            <a:rPr lang="zh-CN" altLang="en-US" b="1"/>
            <a:t>常态检查：突击队发现协调解决问题</a:t>
          </a:r>
        </a:p>
      </dgm:t>
    </dgm:pt>
    <dgm:pt modelId="{0A3DB1B2-EEAB-46E8-83B7-3C75439F76AD}" type="parTrans" cxnId="{CB91A572-B197-4F69-BB9C-E4BC77B735C9}">
      <dgm:prSet/>
      <dgm:spPr/>
      <dgm:t>
        <a:bodyPr/>
        <a:lstStyle/>
        <a:p>
          <a:endParaRPr lang="zh-CN" altLang="en-US"/>
        </a:p>
      </dgm:t>
    </dgm:pt>
    <dgm:pt modelId="{1D27C24F-A927-4600-8878-8630ECEBD341}" type="sibTrans" cxnId="{CB91A572-B197-4F69-BB9C-E4BC77B735C9}">
      <dgm:prSet/>
      <dgm:spPr/>
      <dgm:t>
        <a:bodyPr/>
        <a:lstStyle/>
        <a:p>
          <a:endParaRPr lang="zh-CN" altLang="en-US"/>
        </a:p>
      </dgm:t>
    </dgm:pt>
    <dgm:pt modelId="{BDF19F98-1BB6-4691-BA39-AC544680C920}">
      <dgm:prSet phldrT="[文本]" phldr="0" custT="0"/>
      <dgm:spPr/>
      <dgm:t>
        <a:bodyPr vert="horz" wrap="square"/>
        <a:lstStyle/>
        <a:p>
          <a:pPr>
            <a:lnSpc>
              <a:spcPct val="100000"/>
            </a:lnSpc>
            <a:spcBef>
              <a:spcPct val="0"/>
            </a:spcBef>
            <a:spcAft>
              <a:spcPct val="35000"/>
            </a:spcAft>
          </a:pPr>
          <a:r>
            <a:rPr lang="en-US" altLang="zh-CN" b="1"/>
            <a:t>5.</a:t>
          </a:r>
          <a:r>
            <a:rPr lang="zh-CN" altLang="en-US" b="1"/>
            <a:t>管理优化：多措并举改进供电所管理</a:t>
          </a:r>
        </a:p>
      </dgm:t>
    </dgm:pt>
    <dgm:pt modelId="{0E0CE0D5-07C4-4901-B365-8211F8750388}" type="parTrans" cxnId="{5EC6206D-A519-46E1-85F8-C9B145304F4E}">
      <dgm:prSet/>
      <dgm:spPr/>
      <dgm:t>
        <a:bodyPr/>
        <a:lstStyle/>
        <a:p>
          <a:endParaRPr lang="zh-CN" altLang="en-US"/>
        </a:p>
      </dgm:t>
    </dgm:pt>
    <dgm:pt modelId="{ABEF5CDB-B202-47B1-8976-6563592DD193}" type="sibTrans" cxnId="{5EC6206D-A519-46E1-85F8-C9B145304F4E}">
      <dgm:prSet/>
      <dgm:spPr/>
      <dgm:t>
        <a:bodyPr/>
        <a:lstStyle/>
        <a:p>
          <a:endParaRPr lang="zh-CN" altLang="en-US"/>
        </a:p>
      </dgm:t>
    </dgm:pt>
    <dgm:pt modelId="{DD79AF60-630D-EE4E-BAB5-9B0108DF5715}">
      <dgm:prSet/>
      <dgm:spPr/>
      <dgm:t>
        <a:bodyPr/>
        <a:lstStyle/>
        <a:p>
          <a:r>
            <a:rPr lang="en-US" altLang="zh-CN" b="1"/>
            <a:t>6.</a:t>
          </a:r>
          <a:r>
            <a:rPr lang="zh-CN" altLang="en-US" b="1"/>
            <a:t>亮相评比：利用管理平台全方位展现工作成果</a:t>
          </a:r>
        </a:p>
      </dgm:t>
    </dgm:pt>
    <dgm:pt modelId="{24AE92E0-7DE1-BA4B-9F96-00F01BFFD6D6}" type="parTrans" cxnId="{D848044F-C355-494F-9B1B-A73638B528A7}">
      <dgm:prSet/>
      <dgm:spPr/>
      <dgm:t>
        <a:bodyPr/>
        <a:lstStyle/>
        <a:p>
          <a:endParaRPr lang="zh-CN" altLang="en-US"/>
        </a:p>
      </dgm:t>
    </dgm:pt>
    <dgm:pt modelId="{A849B13F-ABC1-E044-9612-4A3D0C9AF9D0}" type="sibTrans" cxnId="{D848044F-C355-494F-9B1B-A73638B528A7}">
      <dgm:prSet/>
      <dgm:spPr/>
      <dgm:t>
        <a:bodyPr/>
        <a:lstStyle/>
        <a:p>
          <a:endParaRPr lang="zh-CN" altLang="en-US"/>
        </a:p>
      </dgm:t>
    </dgm:pt>
    <dgm:pt modelId="{A15C1A26-8DF5-40E1-BCEB-A9F490C30D57}" type="pres">
      <dgm:prSet presAssocID="{00F747F6-A844-4E8F-A0A0-423B86FE2B27}" presName="cycle" presStyleCnt="0">
        <dgm:presLayoutVars>
          <dgm:dir val="rev"/>
          <dgm:resizeHandles val="exact"/>
        </dgm:presLayoutVars>
      </dgm:prSet>
      <dgm:spPr/>
    </dgm:pt>
    <dgm:pt modelId="{9027A074-C2B4-4B5C-8A24-9F326C135F2C}" type="pres">
      <dgm:prSet presAssocID="{BE1D93E0-1064-4E35-84F1-274817A8FA14}" presName="node" presStyleLbl="node1" presStyleIdx="0" presStyleCnt="6">
        <dgm:presLayoutVars>
          <dgm:bulletEnabled val="1"/>
        </dgm:presLayoutVars>
      </dgm:prSet>
      <dgm:spPr/>
    </dgm:pt>
    <dgm:pt modelId="{D428F19C-A8D3-4893-AD7E-2BA65F02F820}" type="pres">
      <dgm:prSet presAssocID="{485E5104-1EB8-413E-A70E-ADACDF839B14}" presName="sibTrans" presStyleLbl="sibTrans2D1" presStyleIdx="0" presStyleCnt="6"/>
      <dgm:spPr/>
    </dgm:pt>
    <dgm:pt modelId="{A9F3C989-90B4-4758-9A33-E49FCD0C7D74}" type="pres">
      <dgm:prSet presAssocID="{485E5104-1EB8-413E-A70E-ADACDF839B14}" presName="connectorText" presStyleLbl="sibTrans2D1" presStyleIdx="0" presStyleCnt="6"/>
      <dgm:spPr/>
    </dgm:pt>
    <dgm:pt modelId="{F8B36C88-C094-43A5-AB5A-4EB566E5315D}" type="pres">
      <dgm:prSet presAssocID="{202DCE61-40B9-4202-8727-D7270024BBE2}" presName="node" presStyleLbl="node1" presStyleIdx="1" presStyleCnt="6">
        <dgm:presLayoutVars>
          <dgm:bulletEnabled val="1"/>
        </dgm:presLayoutVars>
      </dgm:prSet>
      <dgm:spPr/>
    </dgm:pt>
    <dgm:pt modelId="{1F5BB01C-B217-4932-9512-2D619A0D8B5F}" type="pres">
      <dgm:prSet presAssocID="{E68AE9FB-63DD-4B42-A1C5-92174907D783}" presName="sibTrans" presStyleLbl="sibTrans2D1" presStyleIdx="1" presStyleCnt="6"/>
      <dgm:spPr/>
    </dgm:pt>
    <dgm:pt modelId="{F1AFDE54-665C-4E67-BD8D-7E019FF2707E}" type="pres">
      <dgm:prSet presAssocID="{E68AE9FB-63DD-4B42-A1C5-92174907D783}" presName="connectorText" presStyleLbl="sibTrans2D1" presStyleIdx="1" presStyleCnt="6"/>
      <dgm:spPr/>
    </dgm:pt>
    <dgm:pt modelId="{ADA7BD43-8261-45C1-B84A-0D52FA1E4AE7}" type="pres">
      <dgm:prSet presAssocID="{C850D67D-D455-40F2-BF40-958244ECBECF}" presName="node" presStyleLbl="node1" presStyleIdx="2" presStyleCnt="6">
        <dgm:presLayoutVars>
          <dgm:bulletEnabled val="1"/>
        </dgm:presLayoutVars>
      </dgm:prSet>
      <dgm:spPr/>
    </dgm:pt>
    <dgm:pt modelId="{56F040CF-6F47-4847-8647-F5FDBC9F146A}" type="pres">
      <dgm:prSet presAssocID="{440047A4-99C5-4142-9A9A-791B1494D18D}" presName="sibTrans" presStyleLbl="sibTrans2D1" presStyleIdx="2" presStyleCnt="6"/>
      <dgm:spPr/>
    </dgm:pt>
    <dgm:pt modelId="{625DDE57-EEE3-4179-988C-D68B639218F6}" type="pres">
      <dgm:prSet presAssocID="{440047A4-99C5-4142-9A9A-791B1494D18D}" presName="connectorText" presStyleLbl="sibTrans2D1" presStyleIdx="2" presStyleCnt="6"/>
      <dgm:spPr/>
    </dgm:pt>
    <dgm:pt modelId="{4DEB6BE5-009F-44B4-83FA-1FE41DB12AD9}" type="pres">
      <dgm:prSet presAssocID="{B8C84936-1FF8-491C-957F-E93A0D56BE72}" presName="node" presStyleLbl="node1" presStyleIdx="3" presStyleCnt="6">
        <dgm:presLayoutVars>
          <dgm:bulletEnabled val="1"/>
        </dgm:presLayoutVars>
      </dgm:prSet>
      <dgm:spPr/>
    </dgm:pt>
    <dgm:pt modelId="{212C6A32-E039-4B6C-B264-DA671275507E}" type="pres">
      <dgm:prSet presAssocID="{1D27C24F-A927-4600-8878-8630ECEBD341}" presName="sibTrans" presStyleLbl="sibTrans2D1" presStyleIdx="3" presStyleCnt="6"/>
      <dgm:spPr/>
    </dgm:pt>
    <dgm:pt modelId="{B2DF63D3-0027-42D6-BEB7-43AD254113F1}" type="pres">
      <dgm:prSet presAssocID="{1D27C24F-A927-4600-8878-8630ECEBD341}" presName="connectorText" presStyleLbl="sibTrans2D1" presStyleIdx="3" presStyleCnt="6"/>
      <dgm:spPr/>
    </dgm:pt>
    <dgm:pt modelId="{16EAD731-A57C-4041-B559-7EC79077EC53}" type="pres">
      <dgm:prSet presAssocID="{BDF19F98-1BB6-4691-BA39-AC544680C920}" presName="node" presStyleLbl="node1" presStyleIdx="4" presStyleCnt="6">
        <dgm:presLayoutVars>
          <dgm:bulletEnabled val="1"/>
        </dgm:presLayoutVars>
      </dgm:prSet>
      <dgm:spPr/>
    </dgm:pt>
    <dgm:pt modelId="{2E34DF9E-868B-4A46-AA78-8199053E3B5A}" type="pres">
      <dgm:prSet presAssocID="{ABEF5CDB-B202-47B1-8976-6563592DD193}" presName="sibTrans" presStyleLbl="sibTrans2D1" presStyleIdx="4" presStyleCnt="6"/>
      <dgm:spPr/>
    </dgm:pt>
    <dgm:pt modelId="{3A69013B-636D-412C-A409-F6D854B1E8CF}" type="pres">
      <dgm:prSet presAssocID="{ABEF5CDB-B202-47B1-8976-6563592DD193}" presName="connectorText" presStyleLbl="sibTrans2D1" presStyleIdx="4" presStyleCnt="6"/>
      <dgm:spPr/>
    </dgm:pt>
    <dgm:pt modelId="{B02DAED8-A28B-CF44-B70E-A19D47BDF42E}" type="pres">
      <dgm:prSet presAssocID="{DD79AF60-630D-EE4E-BAB5-9B0108DF5715}" presName="node" presStyleLbl="node1" presStyleIdx="5" presStyleCnt="6">
        <dgm:presLayoutVars>
          <dgm:bulletEnabled val="1"/>
        </dgm:presLayoutVars>
      </dgm:prSet>
      <dgm:spPr/>
    </dgm:pt>
    <dgm:pt modelId="{F39EAA30-6709-3142-B216-D4D7889688B3}" type="pres">
      <dgm:prSet presAssocID="{A849B13F-ABC1-E044-9612-4A3D0C9AF9D0}" presName="sibTrans" presStyleLbl="sibTrans2D1" presStyleIdx="5" presStyleCnt="6"/>
      <dgm:spPr/>
    </dgm:pt>
    <dgm:pt modelId="{27BF891A-8465-6246-BCDA-F54AE2BDB912}" type="pres">
      <dgm:prSet presAssocID="{A849B13F-ABC1-E044-9612-4A3D0C9AF9D0}" presName="connectorText" presStyleLbl="sibTrans2D1" presStyleIdx="5" presStyleCnt="6"/>
      <dgm:spPr/>
    </dgm:pt>
  </dgm:ptLst>
  <dgm:cxnLst>
    <dgm:cxn modelId="{4E31F519-2F46-4259-BDD5-25A0D9EBCEBF}" srcId="{00F747F6-A844-4E8F-A0A0-423B86FE2B27}" destId="{202DCE61-40B9-4202-8727-D7270024BBE2}" srcOrd="1" destOrd="0" parTransId="{F5E9E7A7-29F1-42DA-84C2-3BE52EACE2B9}" sibTransId="{E68AE9FB-63DD-4B42-A1C5-92174907D783}"/>
    <dgm:cxn modelId="{0D0D6D1F-786B-6D4B-922C-3CDB90FA64E9}" type="presOf" srcId="{A849B13F-ABC1-E044-9612-4A3D0C9AF9D0}" destId="{F39EAA30-6709-3142-B216-D4D7889688B3}" srcOrd="0" destOrd="0" presId="urn:microsoft.com/office/officeart/2005/8/layout/cycle2"/>
    <dgm:cxn modelId="{D7A2DD2B-CCAB-439A-9BF2-CFAEEB559768}" type="presOf" srcId="{202DCE61-40B9-4202-8727-D7270024BBE2}" destId="{F8B36C88-C094-43A5-AB5A-4EB566E5315D}" srcOrd="0" destOrd="0" presId="urn:microsoft.com/office/officeart/2005/8/layout/cycle2"/>
    <dgm:cxn modelId="{20BE9B30-EBC3-0644-85FE-D03E7FA20838}" type="presOf" srcId="{DD79AF60-630D-EE4E-BAB5-9B0108DF5715}" destId="{B02DAED8-A28B-CF44-B70E-A19D47BDF42E}" srcOrd="0" destOrd="0" presId="urn:microsoft.com/office/officeart/2005/8/layout/cycle2"/>
    <dgm:cxn modelId="{24026943-EA84-C84C-A5B1-01A352B6580F}" type="presOf" srcId="{A849B13F-ABC1-E044-9612-4A3D0C9AF9D0}" destId="{27BF891A-8465-6246-BCDA-F54AE2BDB912}" srcOrd="1" destOrd="0" presId="urn:microsoft.com/office/officeart/2005/8/layout/cycle2"/>
    <dgm:cxn modelId="{D848044F-C355-494F-9B1B-A73638B528A7}" srcId="{00F747F6-A844-4E8F-A0A0-423B86FE2B27}" destId="{DD79AF60-630D-EE4E-BAB5-9B0108DF5715}" srcOrd="5" destOrd="0" parTransId="{24AE92E0-7DE1-BA4B-9F96-00F01BFFD6D6}" sibTransId="{A849B13F-ABC1-E044-9612-4A3D0C9AF9D0}"/>
    <dgm:cxn modelId="{332C8D64-F740-47A6-832D-2C7190DA4435}" type="presOf" srcId="{C850D67D-D455-40F2-BF40-958244ECBECF}" destId="{ADA7BD43-8261-45C1-B84A-0D52FA1E4AE7}" srcOrd="0" destOrd="0" presId="urn:microsoft.com/office/officeart/2005/8/layout/cycle2"/>
    <dgm:cxn modelId="{5EC6206D-A519-46E1-85F8-C9B145304F4E}" srcId="{00F747F6-A844-4E8F-A0A0-423B86FE2B27}" destId="{BDF19F98-1BB6-4691-BA39-AC544680C920}" srcOrd="4" destOrd="0" parTransId="{0E0CE0D5-07C4-4901-B365-8211F8750388}" sibTransId="{ABEF5CDB-B202-47B1-8976-6563592DD193}"/>
    <dgm:cxn modelId="{CB91A572-B197-4F69-BB9C-E4BC77B735C9}" srcId="{00F747F6-A844-4E8F-A0A0-423B86FE2B27}" destId="{B8C84936-1FF8-491C-957F-E93A0D56BE72}" srcOrd="3" destOrd="0" parTransId="{0A3DB1B2-EEAB-46E8-83B7-3C75439F76AD}" sibTransId="{1D27C24F-A927-4600-8878-8630ECEBD341}"/>
    <dgm:cxn modelId="{B968E275-D95A-4A78-94B1-E7C4CC44ABB9}" type="presOf" srcId="{BE1D93E0-1064-4E35-84F1-274817A8FA14}" destId="{9027A074-C2B4-4B5C-8A24-9F326C135F2C}" srcOrd="0" destOrd="0" presId="urn:microsoft.com/office/officeart/2005/8/layout/cycle2"/>
    <dgm:cxn modelId="{AEE9CD76-0C1B-4BC6-8EF3-BA0FA424EDDD}" type="presOf" srcId="{00F747F6-A844-4E8F-A0A0-423B86FE2B27}" destId="{A15C1A26-8DF5-40E1-BCEB-A9F490C30D57}" srcOrd="0" destOrd="0" presId="urn:microsoft.com/office/officeart/2005/8/layout/cycle2"/>
    <dgm:cxn modelId="{90FF8F7D-B445-4F3E-9FAE-6B54BDBB1812}" type="presOf" srcId="{B8C84936-1FF8-491C-957F-E93A0D56BE72}" destId="{4DEB6BE5-009F-44B4-83FA-1FE41DB12AD9}" srcOrd="0" destOrd="0" presId="urn:microsoft.com/office/officeart/2005/8/layout/cycle2"/>
    <dgm:cxn modelId="{AB566782-BD70-432C-B9A3-643EEADD90AE}" type="presOf" srcId="{1D27C24F-A927-4600-8878-8630ECEBD341}" destId="{B2DF63D3-0027-42D6-BEB7-43AD254113F1}" srcOrd="1" destOrd="0" presId="urn:microsoft.com/office/officeart/2005/8/layout/cycle2"/>
    <dgm:cxn modelId="{626A5583-3AE1-48EF-B9C6-FFF719C0420A}" type="presOf" srcId="{440047A4-99C5-4142-9A9A-791B1494D18D}" destId="{56F040CF-6F47-4847-8647-F5FDBC9F146A}" srcOrd="0" destOrd="0" presId="urn:microsoft.com/office/officeart/2005/8/layout/cycle2"/>
    <dgm:cxn modelId="{4A961786-8204-4B54-BC74-5C8FC08F57C3}" type="presOf" srcId="{1D27C24F-A927-4600-8878-8630ECEBD341}" destId="{212C6A32-E039-4B6C-B264-DA671275507E}" srcOrd="0" destOrd="0" presId="urn:microsoft.com/office/officeart/2005/8/layout/cycle2"/>
    <dgm:cxn modelId="{69521587-1289-431A-AF7D-3198271699AE}" type="presOf" srcId="{440047A4-99C5-4142-9A9A-791B1494D18D}" destId="{625DDE57-EEE3-4179-988C-D68B639218F6}" srcOrd="1" destOrd="0" presId="urn:microsoft.com/office/officeart/2005/8/layout/cycle2"/>
    <dgm:cxn modelId="{45F56B8C-C1C8-4431-BFB9-6CE931171473}" type="presOf" srcId="{ABEF5CDB-B202-47B1-8976-6563592DD193}" destId="{3A69013B-636D-412C-A409-F6D854B1E8CF}" srcOrd="1" destOrd="0" presId="urn:microsoft.com/office/officeart/2005/8/layout/cycle2"/>
    <dgm:cxn modelId="{565815A9-595B-47FA-8683-BEFED4AAC324}" type="presOf" srcId="{E68AE9FB-63DD-4B42-A1C5-92174907D783}" destId="{1F5BB01C-B217-4932-9512-2D619A0D8B5F}" srcOrd="0" destOrd="0" presId="urn:microsoft.com/office/officeart/2005/8/layout/cycle2"/>
    <dgm:cxn modelId="{9183B4B7-AF32-4F50-85DB-7F23F739965A}" type="presOf" srcId="{485E5104-1EB8-413E-A70E-ADACDF839B14}" destId="{D428F19C-A8D3-4893-AD7E-2BA65F02F820}" srcOrd="0" destOrd="0" presId="urn:microsoft.com/office/officeart/2005/8/layout/cycle2"/>
    <dgm:cxn modelId="{023C1FBA-10BC-43CC-8EEA-93D949F114E5}" srcId="{00F747F6-A844-4E8F-A0A0-423B86FE2B27}" destId="{BE1D93E0-1064-4E35-84F1-274817A8FA14}" srcOrd="0" destOrd="0" parTransId="{B76F6F1F-7313-47A5-BC2E-994D915C21FA}" sibTransId="{485E5104-1EB8-413E-A70E-ADACDF839B14}"/>
    <dgm:cxn modelId="{6E1C9FD3-BEB8-4206-AEE5-6F05A1D2B41B}" type="presOf" srcId="{485E5104-1EB8-413E-A70E-ADACDF839B14}" destId="{A9F3C989-90B4-4758-9A33-E49FCD0C7D74}" srcOrd="1" destOrd="0" presId="urn:microsoft.com/office/officeart/2005/8/layout/cycle2"/>
    <dgm:cxn modelId="{90E426DB-F3C5-432E-B586-56BF17416647}" srcId="{00F747F6-A844-4E8F-A0A0-423B86FE2B27}" destId="{C850D67D-D455-40F2-BF40-958244ECBECF}" srcOrd="2" destOrd="0" parTransId="{815BEECE-237C-451B-AD1A-99AD91077DC5}" sibTransId="{440047A4-99C5-4142-9A9A-791B1494D18D}"/>
    <dgm:cxn modelId="{5649E0E3-BBCB-4E86-8234-E93F35EDE876}" type="presOf" srcId="{ABEF5CDB-B202-47B1-8976-6563592DD193}" destId="{2E34DF9E-868B-4A46-AA78-8199053E3B5A}" srcOrd="0" destOrd="0" presId="urn:microsoft.com/office/officeart/2005/8/layout/cycle2"/>
    <dgm:cxn modelId="{D5E836F4-CCF2-4662-ADE6-7D914911EB78}" type="presOf" srcId="{E68AE9FB-63DD-4B42-A1C5-92174907D783}" destId="{F1AFDE54-665C-4E67-BD8D-7E019FF2707E}" srcOrd="1" destOrd="0" presId="urn:microsoft.com/office/officeart/2005/8/layout/cycle2"/>
    <dgm:cxn modelId="{050F2AFB-74CA-4C88-BEFC-B18693BA3D09}" type="presOf" srcId="{BDF19F98-1BB6-4691-BA39-AC544680C920}" destId="{16EAD731-A57C-4041-B559-7EC79077EC53}" srcOrd="0" destOrd="0" presId="urn:microsoft.com/office/officeart/2005/8/layout/cycle2"/>
    <dgm:cxn modelId="{3C6DEB22-1A25-4427-A9E3-628C1FF62FB9}" type="presParOf" srcId="{A15C1A26-8DF5-40E1-BCEB-A9F490C30D57}" destId="{9027A074-C2B4-4B5C-8A24-9F326C135F2C}" srcOrd="0" destOrd="0" presId="urn:microsoft.com/office/officeart/2005/8/layout/cycle2"/>
    <dgm:cxn modelId="{4F4E9954-0394-480B-9C7F-BE1D65BDF197}" type="presParOf" srcId="{A15C1A26-8DF5-40E1-BCEB-A9F490C30D57}" destId="{D428F19C-A8D3-4893-AD7E-2BA65F02F820}" srcOrd="1" destOrd="0" presId="urn:microsoft.com/office/officeart/2005/8/layout/cycle2"/>
    <dgm:cxn modelId="{670BB28D-EDFD-4B75-BBC3-E90887E3E9F4}" type="presParOf" srcId="{D428F19C-A8D3-4893-AD7E-2BA65F02F820}" destId="{A9F3C989-90B4-4758-9A33-E49FCD0C7D74}" srcOrd="0" destOrd="0" presId="urn:microsoft.com/office/officeart/2005/8/layout/cycle2"/>
    <dgm:cxn modelId="{0EEF3A97-9841-40D3-957E-0CFC2E9251B3}" type="presParOf" srcId="{A15C1A26-8DF5-40E1-BCEB-A9F490C30D57}" destId="{F8B36C88-C094-43A5-AB5A-4EB566E5315D}" srcOrd="2" destOrd="0" presId="urn:microsoft.com/office/officeart/2005/8/layout/cycle2"/>
    <dgm:cxn modelId="{5A8A28EA-FAB7-487F-8986-FF3A03B7342E}" type="presParOf" srcId="{A15C1A26-8DF5-40E1-BCEB-A9F490C30D57}" destId="{1F5BB01C-B217-4932-9512-2D619A0D8B5F}" srcOrd="3" destOrd="0" presId="urn:microsoft.com/office/officeart/2005/8/layout/cycle2"/>
    <dgm:cxn modelId="{82CBF81B-4CE7-4665-8763-E2998703F1FD}" type="presParOf" srcId="{1F5BB01C-B217-4932-9512-2D619A0D8B5F}" destId="{F1AFDE54-665C-4E67-BD8D-7E019FF2707E}" srcOrd="0" destOrd="0" presId="urn:microsoft.com/office/officeart/2005/8/layout/cycle2"/>
    <dgm:cxn modelId="{94FA4D0C-1873-41F6-A8CB-97C92B042C06}" type="presParOf" srcId="{A15C1A26-8DF5-40E1-BCEB-A9F490C30D57}" destId="{ADA7BD43-8261-45C1-B84A-0D52FA1E4AE7}" srcOrd="4" destOrd="0" presId="urn:microsoft.com/office/officeart/2005/8/layout/cycle2"/>
    <dgm:cxn modelId="{FFFCBE62-CD28-46E5-93E6-B81099A23E3B}" type="presParOf" srcId="{A15C1A26-8DF5-40E1-BCEB-A9F490C30D57}" destId="{56F040CF-6F47-4847-8647-F5FDBC9F146A}" srcOrd="5" destOrd="0" presId="urn:microsoft.com/office/officeart/2005/8/layout/cycle2"/>
    <dgm:cxn modelId="{7A77F27A-704F-4184-A575-78598088AC9B}" type="presParOf" srcId="{56F040CF-6F47-4847-8647-F5FDBC9F146A}" destId="{625DDE57-EEE3-4179-988C-D68B639218F6}" srcOrd="0" destOrd="0" presId="urn:microsoft.com/office/officeart/2005/8/layout/cycle2"/>
    <dgm:cxn modelId="{1610E6BC-D2BC-4EC9-91CC-568ADD894407}" type="presParOf" srcId="{A15C1A26-8DF5-40E1-BCEB-A9F490C30D57}" destId="{4DEB6BE5-009F-44B4-83FA-1FE41DB12AD9}" srcOrd="6" destOrd="0" presId="urn:microsoft.com/office/officeart/2005/8/layout/cycle2"/>
    <dgm:cxn modelId="{2F3936C6-DCF5-4296-8968-6E1EE80EA74A}" type="presParOf" srcId="{A15C1A26-8DF5-40E1-BCEB-A9F490C30D57}" destId="{212C6A32-E039-4B6C-B264-DA671275507E}" srcOrd="7" destOrd="0" presId="urn:microsoft.com/office/officeart/2005/8/layout/cycle2"/>
    <dgm:cxn modelId="{145A3911-987F-4225-BEAD-B3DA7B9DE7CD}" type="presParOf" srcId="{212C6A32-E039-4B6C-B264-DA671275507E}" destId="{B2DF63D3-0027-42D6-BEB7-43AD254113F1}" srcOrd="0" destOrd="0" presId="urn:microsoft.com/office/officeart/2005/8/layout/cycle2"/>
    <dgm:cxn modelId="{111B6B43-ADB7-477D-B72D-94246F7946CF}" type="presParOf" srcId="{A15C1A26-8DF5-40E1-BCEB-A9F490C30D57}" destId="{16EAD731-A57C-4041-B559-7EC79077EC53}" srcOrd="8" destOrd="0" presId="urn:microsoft.com/office/officeart/2005/8/layout/cycle2"/>
    <dgm:cxn modelId="{1AA7856F-F8BE-48DE-8A0C-2E0F0842DAB4}" type="presParOf" srcId="{A15C1A26-8DF5-40E1-BCEB-A9F490C30D57}" destId="{2E34DF9E-868B-4A46-AA78-8199053E3B5A}" srcOrd="9" destOrd="0" presId="urn:microsoft.com/office/officeart/2005/8/layout/cycle2"/>
    <dgm:cxn modelId="{C2CDEE01-B657-4F58-AB00-F925E688F18E}" type="presParOf" srcId="{2E34DF9E-868B-4A46-AA78-8199053E3B5A}" destId="{3A69013B-636D-412C-A409-F6D854B1E8CF}" srcOrd="0" destOrd="0" presId="urn:microsoft.com/office/officeart/2005/8/layout/cycle2"/>
    <dgm:cxn modelId="{57271AE0-E413-DE4F-9B86-182D37A4FDE9}" type="presParOf" srcId="{A15C1A26-8DF5-40E1-BCEB-A9F490C30D57}" destId="{B02DAED8-A28B-CF44-B70E-A19D47BDF42E}" srcOrd="10" destOrd="0" presId="urn:microsoft.com/office/officeart/2005/8/layout/cycle2"/>
    <dgm:cxn modelId="{C718C8C5-DD57-134B-9D00-84DDCBEDA434}" type="presParOf" srcId="{A15C1A26-8DF5-40E1-BCEB-A9F490C30D57}" destId="{F39EAA30-6709-3142-B216-D4D7889688B3}" srcOrd="11" destOrd="0" presId="urn:microsoft.com/office/officeart/2005/8/layout/cycle2"/>
    <dgm:cxn modelId="{4DD5AB9A-4EF3-E444-9379-284652E13EAF}" type="presParOf" srcId="{F39EAA30-6709-3142-B216-D4D7889688B3}" destId="{27BF891A-8465-6246-BCDA-F54AE2BDB912}"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FE73B03-4D71-4565-8C52-4902BE6377A4}" type="doc">
      <dgm:prSet loTypeId="urn:microsoft.com/office/officeart/2005/8/layout/hierarchy2#3" loCatId="hierarchy" qsTypeId="urn:microsoft.com/office/officeart/2005/8/quickstyle/simple1#9" qsCatId="simple" csTypeId="urn:microsoft.com/office/officeart/2005/8/colors/accent1_2#9" csCatId="accent1" phldr="1"/>
      <dgm:spPr/>
      <dgm:t>
        <a:bodyPr/>
        <a:lstStyle/>
        <a:p>
          <a:endParaRPr lang="zh-CN" altLang="en-US"/>
        </a:p>
      </dgm:t>
    </dgm:pt>
    <dgm:pt modelId="{0605F139-5EF0-48E7-A091-192233D2011D}">
      <dgm:prSet phldrT="[文本]" phldr="0" custT="0"/>
      <dgm:spPr/>
      <dgm:t>
        <a:bodyPr vert="horz" wrap="square"/>
        <a:lstStyle/>
        <a:p>
          <a:pPr algn="ctr">
            <a:lnSpc>
              <a:spcPct val="100000"/>
            </a:lnSpc>
            <a:spcBef>
              <a:spcPct val="0"/>
            </a:spcBef>
            <a:spcAft>
              <a:spcPct val="35000"/>
            </a:spcAft>
          </a:pPr>
          <a:r>
            <a:rPr lang="zh-CN" altLang="en-US"/>
            <a:t>模拟法人独立测算</a:t>
          </a:r>
        </a:p>
      </dgm:t>
    </dgm:pt>
    <dgm:pt modelId="{2AFB1B2A-8749-4E5E-9CB9-0B60F81C46F8}" type="parTrans" cxnId="{F3462D86-8D4D-44FF-8BF8-CBFC5FEAD78C}">
      <dgm:prSet/>
      <dgm:spPr/>
      <dgm:t>
        <a:bodyPr/>
        <a:lstStyle/>
        <a:p>
          <a:pPr algn="ctr"/>
          <a:endParaRPr lang="zh-CN" altLang="en-US"/>
        </a:p>
      </dgm:t>
    </dgm:pt>
    <dgm:pt modelId="{E0FFEB56-236E-4FE9-83BF-31494E265D5A}" type="sibTrans" cxnId="{F3462D86-8D4D-44FF-8BF8-CBFC5FEAD78C}">
      <dgm:prSet/>
      <dgm:spPr/>
      <dgm:t>
        <a:bodyPr/>
        <a:lstStyle/>
        <a:p>
          <a:pPr algn="ctr"/>
          <a:endParaRPr lang="zh-CN" altLang="en-US"/>
        </a:p>
      </dgm:t>
    </dgm:pt>
    <dgm:pt modelId="{4530EE7D-F557-4815-9ED2-EABC47F46978}">
      <dgm:prSet phldrT="[文本]" phldr="0" custT="0"/>
      <dgm:spPr/>
      <dgm:t>
        <a:bodyPr vert="horz" wrap="square"/>
        <a:lstStyle/>
        <a:p>
          <a:pPr algn="ctr">
            <a:lnSpc>
              <a:spcPct val="100000"/>
            </a:lnSpc>
            <a:spcBef>
              <a:spcPct val="0"/>
            </a:spcBef>
            <a:spcAft>
              <a:spcPct val="35000"/>
            </a:spcAft>
          </a:pPr>
          <a:r>
            <a:rPr lang="zh-CN" altLang="en-US"/>
            <a:t>模拟内部利润</a:t>
          </a:r>
        </a:p>
      </dgm:t>
    </dgm:pt>
    <dgm:pt modelId="{AC2BFF99-DAE2-494A-88AB-85D75BC6D2EE}" type="parTrans" cxnId="{C14D3693-1E02-43E5-AA62-FDBA4E818F06}">
      <dgm:prSet/>
      <dgm:spPr/>
      <dgm:t>
        <a:bodyPr/>
        <a:lstStyle/>
        <a:p>
          <a:pPr algn="ctr"/>
          <a:endParaRPr lang="zh-CN" altLang="en-US"/>
        </a:p>
      </dgm:t>
    </dgm:pt>
    <dgm:pt modelId="{B98A0394-6758-42EB-8D0E-4491BED52B6C}" type="sibTrans" cxnId="{C14D3693-1E02-43E5-AA62-FDBA4E818F06}">
      <dgm:prSet/>
      <dgm:spPr/>
      <dgm:t>
        <a:bodyPr/>
        <a:lstStyle/>
        <a:p>
          <a:pPr algn="ctr"/>
          <a:endParaRPr lang="zh-CN" altLang="en-US"/>
        </a:p>
      </dgm:t>
    </dgm:pt>
    <dgm:pt modelId="{2C2A4BF3-AA22-4080-9546-909CF9AC3ECB}">
      <dgm:prSet phldrT="[文本]" phldr="0" custT="0"/>
      <dgm:spPr/>
      <dgm:t>
        <a:bodyPr vert="horz" wrap="square"/>
        <a:lstStyle/>
        <a:p>
          <a:pPr algn="ctr">
            <a:lnSpc>
              <a:spcPct val="100000"/>
            </a:lnSpc>
            <a:spcBef>
              <a:spcPct val="0"/>
            </a:spcBef>
            <a:spcAft>
              <a:spcPct val="35000"/>
            </a:spcAft>
          </a:pPr>
          <a:r>
            <a:rPr lang="zh-CN" altLang="en-US"/>
            <a:t>模拟内部利润完成率</a:t>
          </a:r>
        </a:p>
      </dgm:t>
    </dgm:pt>
    <dgm:pt modelId="{4A6A0524-D9B7-4A37-8E78-5FE688BDCCE6}" type="parTrans" cxnId="{02F40A9B-3D88-4D76-9FE3-4B554988A974}">
      <dgm:prSet/>
      <dgm:spPr/>
      <dgm:t>
        <a:bodyPr/>
        <a:lstStyle/>
        <a:p>
          <a:pPr algn="ctr"/>
          <a:endParaRPr lang="zh-CN" altLang="en-US"/>
        </a:p>
      </dgm:t>
    </dgm:pt>
    <dgm:pt modelId="{39CECE7E-7D7C-4022-9437-1E0813814145}" type="sibTrans" cxnId="{02F40A9B-3D88-4D76-9FE3-4B554988A974}">
      <dgm:prSet/>
      <dgm:spPr/>
      <dgm:t>
        <a:bodyPr/>
        <a:lstStyle/>
        <a:p>
          <a:pPr algn="ctr"/>
          <a:endParaRPr lang="zh-CN" altLang="en-US"/>
        </a:p>
      </dgm:t>
    </dgm:pt>
    <dgm:pt modelId="{C78C4F92-AD69-46C8-910C-41059E8ED0A9}">
      <dgm:prSet phldrT="[文本]" phldr="0" custT="0"/>
      <dgm:spPr/>
      <dgm:t>
        <a:bodyPr vert="horz" wrap="square"/>
        <a:lstStyle/>
        <a:p>
          <a:pPr algn="ctr">
            <a:lnSpc>
              <a:spcPct val="100000"/>
            </a:lnSpc>
            <a:spcBef>
              <a:spcPct val="0"/>
            </a:spcBef>
            <a:spcAft>
              <a:spcPct val="35000"/>
            </a:spcAft>
          </a:pPr>
          <a:r>
            <a:rPr lang="zh-CN" altLang="en-US"/>
            <a:t>模拟内部利润增长率</a:t>
          </a:r>
        </a:p>
      </dgm:t>
    </dgm:pt>
    <dgm:pt modelId="{581124B7-0397-40F7-9B1D-41220103BA68}" type="parTrans" cxnId="{6105369F-6000-4D65-BFDB-DCB5C5D1D506}">
      <dgm:prSet/>
      <dgm:spPr/>
      <dgm:t>
        <a:bodyPr/>
        <a:lstStyle/>
        <a:p>
          <a:pPr algn="ctr"/>
          <a:endParaRPr lang="zh-CN" altLang="en-US"/>
        </a:p>
      </dgm:t>
    </dgm:pt>
    <dgm:pt modelId="{A23C44A9-E7A6-467B-BF93-DD0656347715}" type="sibTrans" cxnId="{6105369F-6000-4D65-BFDB-DCB5C5D1D506}">
      <dgm:prSet/>
      <dgm:spPr/>
      <dgm:t>
        <a:bodyPr/>
        <a:lstStyle/>
        <a:p>
          <a:pPr algn="ctr"/>
          <a:endParaRPr lang="zh-CN" altLang="en-US"/>
        </a:p>
      </dgm:t>
    </dgm:pt>
    <dgm:pt modelId="{AD15D45B-C780-42E6-B0EC-3C94E6BD1A59}">
      <dgm:prSet phldr="0" custT="0"/>
      <dgm:spPr/>
      <dgm:t>
        <a:bodyPr vert="horz" wrap="square"/>
        <a:lstStyle/>
        <a:p>
          <a:pPr algn="ctr">
            <a:lnSpc>
              <a:spcPct val="100000"/>
            </a:lnSpc>
            <a:spcBef>
              <a:spcPct val="0"/>
            </a:spcBef>
            <a:spcAft>
              <a:spcPct val="35000"/>
            </a:spcAft>
          </a:pPr>
          <a:r>
            <a:rPr altLang="en-US"/>
            <a:t>模拟内部利润贡献率</a:t>
          </a:r>
        </a:p>
      </dgm:t>
    </dgm:pt>
    <dgm:pt modelId="{EA5C222F-E519-4593-8E89-D9D44DBD357C}" type="parTrans" cxnId="{785C57A7-63DB-41DC-A36A-17742B5F1F79}">
      <dgm:prSet/>
      <dgm:spPr/>
      <dgm:t>
        <a:bodyPr/>
        <a:lstStyle/>
        <a:p>
          <a:pPr algn="ctr"/>
          <a:endParaRPr lang="zh-CN" altLang="en-US"/>
        </a:p>
      </dgm:t>
    </dgm:pt>
    <dgm:pt modelId="{BC3F3EC4-41E6-43F5-8CAF-AF9C85B8E212}" type="sibTrans" cxnId="{785C57A7-63DB-41DC-A36A-17742B5F1F79}">
      <dgm:prSet/>
      <dgm:spPr/>
      <dgm:t>
        <a:bodyPr/>
        <a:lstStyle/>
        <a:p>
          <a:pPr algn="ctr"/>
          <a:endParaRPr lang="zh-CN" altLang="en-US"/>
        </a:p>
      </dgm:t>
    </dgm:pt>
    <dgm:pt modelId="{4E4A1E17-A3EC-4A54-9171-277E11A0B287}">
      <dgm:prSet phldrT="[文本]" phldr="0" custT="0"/>
      <dgm:spPr/>
      <dgm:t>
        <a:bodyPr vert="horz" wrap="square"/>
        <a:lstStyle/>
        <a:p>
          <a:pPr algn="ctr">
            <a:lnSpc>
              <a:spcPct val="100000"/>
            </a:lnSpc>
            <a:spcBef>
              <a:spcPct val="0"/>
            </a:spcBef>
            <a:spcAft>
              <a:spcPct val="35000"/>
            </a:spcAft>
          </a:pPr>
          <a:r>
            <a:rPr lang="zh-CN" altLang="en-US"/>
            <a:t>模拟投资效能</a:t>
          </a:r>
        </a:p>
      </dgm:t>
    </dgm:pt>
    <dgm:pt modelId="{367D7799-1E5C-4947-8AD1-85D1E0D367AF}" type="parTrans" cxnId="{70D23B63-C613-47F6-8765-8785C4B1413C}">
      <dgm:prSet/>
      <dgm:spPr/>
      <dgm:t>
        <a:bodyPr/>
        <a:lstStyle/>
        <a:p>
          <a:pPr algn="ctr"/>
          <a:endParaRPr lang="zh-CN" altLang="en-US"/>
        </a:p>
      </dgm:t>
    </dgm:pt>
    <dgm:pt modelId="{7FFEBD18-7D5B-41C0-A8F3-60942A71708D}" type="sibTrans" cxnId="{70D23B63-C613-47F6-8765-8785C4B1413C}">
      <dgm:prSet/>
      <dgm:spPr/>
      <dgm:t>
        <a:bodyPr/>
        <a:lstStyle/>
        <a:p>
          <a:pPr algn="ctr"/>
          <a:endParaRPr lang="zh-CN" altLang="en-US"/>
        </a:p>
      </dgm:t>
    </dgm:pt>
    <dgm:pt modelId="{2B9D6902-DCB2-4AC4-BFAC-AF964742FD39}">
      <dgm:prSet phldrT="[文本]" phldr="0" custT="0"/>
      <dgm:spPr/>
      <dgm:t>
        <a:bodyPr vert="horz" wrap="square"/>
        <a:lstStyle/>
        <a:p>
          <a:pPr algn="ctr">
            <a:lnSpc>
              <a:spcPct val="100000"/>
            </a:lnSpc>
            <a:spcBef>
              <a:spcPct val="0"/>
            </a:spcBef>
            <a:spcAft>
              <a:spcPct val="35000"/>
            </a:spcAft>
          </a:pPr>
          <a:r>
            <a:rPr lang="zh-CN" altLang="en-US"/>
            <a:t>测算各供电所的实际资产收入水平</a:t>
          </a:r>
        </a:p>
      </dgm:t>
    </dgm:pt>
    <dgm:pt modelId="{9EAB334F-AA91-4141-B6FE-557B19FCD964}" type="parTrans" cxnId="{C9E28A67-AAB7-4031-BD4E-FAE2EAB06BCA}">
      <dgm:prSet/>
      <dgm:spPr/>
      <dgm:t>
        <a:bodyPr/>
        <a:lstStyle/>
        <a:p>
          <a:pPr algn="ctr"/>
          <a:endParaRPr lang="zh-CN" altLang="en-US"/>
        </a:p>
      </dgm:t>
    </dgm:pt>
    <dgm:pt modelId="{EB4A7ACA-5833-4A98-973D-A8E863091431}" type="sibTrans" cxnId="{C9E28A67-AAB7-4031-BD4E-FAE2EAB06BCA}">
      <dgm:prSet/>
      <dgm:spPr/>
      <dgm:t>
        <a:bodyPr/>
        <a:lstStyle/>
        <a:p>
          <a:pPr algn="ctr"/>
          <a:endParaRPr lang="zh-CN" altLang="en-US"/>
        </a:p>
      </dgm:t>
    </dgm:pt>
    <dgm:pt modelId="{5FBAB40F-6011-4629-9B30-77C9439C91BF}" type="pres">
      <dgm:prSet presAssocID="{EFE73B03-4D71-4565-8C52-4902BE6377A4}" presName="diagram" presStyleCnt="0">
        <dgm:presLayoutVars>
          <dgm:chPref val="1"/>
          <dgm:dir/>
          <dgm:animOne val="branch"/>
          <dgm:animLvl val="lvl"/>
          <dgm:resizeHandles val="exact"/>
        </dgm:presLayoutVars>
      </dgm:prSet>
      <dgm:spPr/>
    </dgm:pt>
    <dgm:pt modelId="{2332AA2E-A989-4175-BB73-78EA4C3BDB65}" type="pres">
      <dgm:prSet presAssocID="{0605F139-5EF0-48E7-A091-192233D2011D}" presName="root1" presStyleCnt="0"/>
      <dgm:spPr/>
    </dgm:pt>
    <dgm:pt modelId="{24E3F4AB-32FB-4CE0-9DAC-FC4DD26B5900}" type="pres">
      <dgm:prSet presAssocID="{0605F139-5EF0-48E7-A091-192233D2011D}" presName="LevelOneTextNode" presStyleLbl="node0" presStyleIdx="0" presStyleCnt="1">
        <dgm:presLayoutVars>
          <dgm:chPref val="3"/>
        </dgm:presLayoutVars>
      </dgm:prSet>
      <dgm:spPr/>
    </dgm:pt>
    <dgm:pt modelId="{44F25638-8073-4DA7-9390-5AC06A304565}" type="pres">
      <dgm:prSet presAssocID="{0605F139-5EF0-48E7-A091-192233D2011D}" presName="level2hierChild" presStyleCnt="0"/>
      <dgm:spPr/>
    </dgm:pt>
    <dgm:pt modelId="{B47BD6C9-6D53-4A69-975F-9CF96E25F10F}" type="pres">
      <dgm:prSet presAssocID="{AC2BFF99-DAE2-494A-88AB-85D75BC6D2EE}" presName="conn2-1" presStyleLbl="parChTrans1D2" presStyleIdx="0" presStyleCnt="2"/>
      <dgm:spPr/>
    </dgm:pt>
    <dgm:pt modelId="{C1833E64-0598-4ED8-B73B-4C820BB35531}" type="pres">
      <dgm:prSet presAssocID="{AC2BFF99-DAE2-494A-88AB-85D75BC6D2EE}" presName="connTx" presStyleLbl="parChTrans1D2" presStyleIdx="0" presStyleCnt="2"/>
      <dgm:spPr/>
    </dgm:pt>
    <dgm:pt modelId="{46F58ACF-5130-428E-B3EF-87D6FEC0C921}" type="pres">
      <dgm:prSet presAssocID="{4530EE7D-F557-4815-9ED2-EABC47F46978}" presName="root2" presStyleCnt="0"/>
      <dgm:spPr/>
    </dgm:pt>
    <dgm:pt modelId="{3C0D5057-54F2-42F8-ADAD-AA27A1CC1A1B}" type="pres">
      <dgm:prSet presAssocID="{4530EE7D-F557-4815-9ED2-EABC47F46978}" presName="LevelTwoTextNode" presStyleLbl="node2" presStyleIdx="0" presStyleCnt="2">
        <dgm:presLayoutVars>
          <dgm:chPref val="3"/>
        </dgm:presLayoutVars>
      </dgm:prSet>
      <dgm:spPr/>
    </dgm:pt>
    <dgm:pt modelId="{48673F39-879C-4946-8DC7-FD68F0552920}" type="pres">
      <dgm:prSet presAssocID="{4530EE7D-F557-4815-9ED2-EABC47F46978}" presName="level3hierChild" presStyleCnt="0"/>
      <dgm:spPr/>
    </dgm:pt>
    <dgm:pt modelId="{FA61825B-C877-4D42-AAFB-0586288A9783}" type="pres">
      <dgm:prSet presAssocID="{4A6A0524-D9B7-4A37-8E78-5FE688BDCCE6}" presName="conn2-1" presStyleLbl="parChTrans1D3" presStyleIdx="0" presStyleCnt="4"/>
      <dgm:spPr/>
    </dgm:pt>
    <dgm:pt modelId="{66B35CF0-1806-4E4A-8B50-99A64DECDBA9}" type="pres">
      <dgm:prSet presAssocID="{4A6A0524-D9B7-4A37-8E78-5FE688BDCCE6}" presName="connTx" presStyleLbl="parChTrans1D3" presStyleIdx="0" presStyleCnt="4"/>
      <dgm:spPr/>
    </dgm:pt>
    <dgm:pt modelId="{F95D7524-EA0E-4F9D-9D6F-B10856D5C83F}" type="pres">
      <dgm:prSet presAssocID="{2C2A4BF3-AA22-4080-9546-909CF9AC3ECB}" presName="root2" presStyleCnt="0"/>
      <dgm:spPr/>
    </dgm:pt>
    <dgm:pt modelId="{63712EDC-9AF8-41BC-8F72-ADF8D554FF07}" type="pres">
      <dgm:prSet presAssocID="{2C2A4BF3-AA22-4080-9546-909CF9AC3ECB}" presName="LevelTwoTextNode" presStyleLbl="node3" presStyleIdx="0" presStyleCnt="4">
        <dgm:presLayoutVars>
          <dgm:chPref val="3"/>
        </dgm:presLayoutVars>
      </dgm:prSet>
      <dgm:spPr/>
    </dgm:pt>
    <dgm:pt modelId="{E0C65410-D9BC-4E23-87DE-EBBC54AD2166}" type="pres">
      <dgm:prSet presAssocID="{2C2A4BF3-AA22-4080-9546-909CF9AC3ECB}" presName="level3hierChild" presStyleCnt="0"/>
      <dgm:spPr/>
    </dgm:pt>
    <dgm:pt modelId="{E81582B1-A130-479F-ACE3-61EF727591CE}" type="pres">
      <dgm:prSet presAssocID="{581124B7-0397-40F7-9B1D-41220103BA68}" presName="conn2-1" presStyleLbl="parChTrans1D3" presStyleIdx="1" presStyleCnt="4"/>
      <dgm:spPr/>
    </dgm:pt>
    <dgm:pt modelId="{C3EBFA62-33AA-4455-9D61-7B96DA4B37A4}" type="pres">
      <dgm:prSet presAssocID="{581124B7-0397-40F7-9B1D-41220103BA68}" presName="connTx" presStyleLbl="parChTrans1D3" presStyleIdx="1" presStyleCnt="4"/>
      <dgm:spPr/>
    </dgm:pt>
    <dgm:pt modelId="{2DF34A52-3962-401F-8488-13EE54243675}" type="pres">
      <dgm:prSet presAssocID="{C78C4F92-AD69-46C8-910C-41059E8ED0A9}" presName="root2" presStyleCnt="0"/>
      <dgm:spPr/>
    </dgm:pt>
    <dgm:pt modelId="{29F748CF-C0E7-4DEA-B3A3-0E8AEB5CA964}" type="pres">
      <dgm:prSet presAssocID="{C78C4F92-AD69-46C8-910C-41059E8ED0A9}" presName="LevelTwoTextNode" presStyleLbl="node3" presStyleIdx="1" presStyleCnt="4">
        <dgm:presLayoutVars>
          <dgm:chPref val="3"/>
        </dgm:presLayoutVars>
      </dgm:prSet>
      <dgm:spPr/>
    </dgm:pt>
    <dgm:pt modelId="{02AC44EF-F1FC-4C54-8D55-2436304955F9}" type="pres">
      <dgm:prSet presAssocID="{C78C4F92-AD69-46C8-910C-41059E8ED0A9}" presName="level3hierChild" presStyleCnt="0"/>
      <dgm:spPr/>
    </dgm:pt>
    <dgm:pt modelId="{162C1E81-C387-4700-97DF-88AE2E895EA8}" type="pres">
      <dgm:prSet presAssocID="{EA5C222F-E519-4593-8E89-D9D44DBD357C}" presName="conn2-1" presStyleLbl="parChTrans1D3" presStyleIdx="2" presStyleCnt="4"/>
      <dgm:spPr/>
    </dgm:pt>
    <dgm:pt modelId="{62FCD925-8914-4B22-88B6-BCCDAC8DE9BB}" type="pres">
      <dgm:prSet presAssocID="{EA5C222F-E519-4593-8E89-D9D44DBD357C}" presName="connTx" presStyleLbl="parChTrans1D3" presStyleIdx="2" presStyleCnt="4"/>
      <dgm:spPr/>
    </dgm:pt>
    <dgm:pt modelId="{8F59ED4F-BD6C-4EC2-88B1-D4ED9FF37D05}" type="pres">
      <dgm:prSet presAssocID="{AD15D45B-C780-42E6-B0EC-3C94E6BD1A59}" presName="root2" presStyleCnt="0"/>
      <dgm:spPr/>
    </dgm:pt>
    <dgm:pt modelId="{B4DD8C6C-644E-45C9-876A-72766A8FFECF}" type="pres">
      <dgm:prSet presAssocID="{AD15D45B-C780-42E6-B0EC-3C94E6BD1A59}" presName="LevelTwoTextNode" presStyleLbl="node3" presStyleIdx="2" presStyleCnt="4">
        <dgm:presLayoutVars>
          <dgm:chPref val="3"/>
        </dgm:presLayoutVars>
      </dgm:prSet>
      <dgm:spPr/>
    </dgm:pt>
    <dgm:pt modelId="{825F43D3-6157-4B61-9873-DDB5562EF391}" type="pres">
      <dgm:prSet presAssocID="{AD15D45B-C780-42E6-B0EC-3C94E6BD1A59}" presName="level3hierChild" presStyleCnt="0"/>
      <dgm:spPr/>
    </dgm:pt>
    <dgm:pt modelId="{2E81B90F-7494-41FF-808F-F7F82B993B40}" type="pres">
      <dgm:prSet presAssocID="{367D7799-1E5C-4947-8AD1-85D1E0D367AF}" presName="conn2-1" presStyleLbl="parChTrans1D2" presStyleIdx="1" presStyleCnt="2"/>
      <dgm:spPr/>
    </dgm:pt>
    <dgm:pt modelId="{0F4B7785-0023-487B-801C-9850969E1D34}" type="pres">
      <dgm:prSet presAssocID="{367D7799-1E5C-4947-8AD1-85D1E0D367AF}" presName="connTx" presStyleLbl="parChTrans1D2" presStyleIdx="1" presStyleCnt="2"/>
      <dgm:spPr/>
    </dgm:pt>
    <dgm:pt modelId="{4925E953-147A-4210-9A9C-63730A307231}" type="pres">
      <dgm:prSet presAssocID="{4E4A1E17-A3EC-4A54-9171-277E11A0B287}" presName="root2" presStyleCnt="0"/>
      <dgm:spPr/>
    </dgm:pt>
    <dgm:pt modelId="{3D382021-A429-4403-82FF-5A95DD3EBB20}" type="pres">
      <dgm:prSet presAssocID="{4E4A1E17-A3EC-4A54-9171-277E11A0B287}" presName="LevelTwoTextNode" presStyleLbl="node2" presStyleIdx="1" presStyleCnt="2">
        <dgm:presLayoutVars>
          <dgm:chPref val="3"/>
        </dgm:presLayoutVars>
      </dgm:prSet>
      <dgm:spPr/>
    </dgm:pt>
    <dgm:pt modelId="{6D231649-1A42-47D5-A289-01058E6A05B6}" type="pres">
      <dgm:prSet presAssocID="{4E4A1E17-A3EC-4A54-9171-277E11A0B287}" presName="level3hierChild" presStyleCnt="0"/>
      <dgm:spPr/>
    </dgm:pt>
    <dgm:pt modelId="{B68D4CB7-ED76-4EEE-B7F0-455597F5F947}" type="pres">
      <dgm:prSet presAssocID="{9EAB334F-AA91-4141-B6FE-557B19FCD964}" presName="conn2-1" presStyleLbl="parChTrans1D3" presStyleIdx="3" presStyleCnt="4"/>
      <dgm:spPr/>
    </dgm:pt>
    <dgm:pt modelId="{5CB1AA4B-5999-455A-85BE-A2532A5BECF0}" type="pres">
      <dgm:prSet presAssocID="{9EAB334F-AA91-4141-B6FE-557B19FCD964}" presName="connTx" presStyleLbl="parChTrans1D3" presStyleIdx="3" presStyleCnt="4"/>
      <dgm:spPr/>
    </dgm:pt>
    <dgm:pt modelId="{A1B09372-2280-4FF7-9810-328BF9428FDA}" type="pres">
      <dgm:prSet presAssocID="{2B9D6902-DCB2-4AC4-BFAC-AF964742FD39}" presName="root2" presStyleCnt="0"/>
      <dgm:spPr/>
    </dgm:pt>
    <dgm:pt modelId="{402901F7-4C4B-47C4-BE12-824FDFB99F9B}" type="pres">
      <dgm:prSet presAssocID="{2B9D6902-DCB2-4AC4-BFAC-AF964742FD39}" presName="LevelTwoTextNode" presStyleLbl="node3" presStyleIdx="3" presStyleCnt="4">
        <dgm:presLayoutVars>
          <dgm:chPref val="3"/>
        </dgm:presLayoutVars>
      </dgm:prSet>
      <dgm:spPr/>
    </dgm:pt>
    <dgm:pt modelId="{48115C91-152F-4201-BB89-A30029998550}" type="pres">
      <dgm:prSet presAssocID="{2B9D6902-DCB2-4AC4-BFAC-AF964742FD39}" presName="level3hierChild" presStyleCnt="0"/>
      <dgm:spPr/>
    </dgm:pt>
  </dgm:ptLst>
  <dgm:cxnLst>
    <dgm:cxn modelId="{C8775402-89ED-41B9-AA36-47928F96F38F}" type="presOf" srcId="{AC2BFF99-DAE2-494A-88AB-85D75BC6D2EE}" destId="{C1833E64-0598-4ED8-B73B-4C820BB35531}" srcOrd="1" destOrd="0" presId="urn:microsoft.com/office/officeart/2005/8/layout/hierarchy2#3"/>
    <dgm:cxn modelId="{912A4A05-BA2B-41EB-B4ED-F6E10E1D0D16}" type="presOf" srcId="{2C2A4BF3-AA22-4080-9546-909CF9AC3ECB}" destId="{63712EDC-9AF8-41BC-8F72-ADF8D554FF07}" srcOrd="0" destOrd="0" presId="urn:microsoft.com/office/officeart/2005/8/layout/hierarchy2#3"/>
    <dgm:cxn modelId="{991EF049-6430-4E0C-8904-57A84DCD0074}" type="presOf" srcId="{AD15D45B-C780-42E6-B0EC-3C94E6BD1A59}" destId="{B4DD8C6C-644E-45C9-876A-72766A8FFECF}" srcOrd="0" destOrd="0" presId="urn:microsoft.com/office/officeart/2005/8/layout/hierarchy2#3"/>
    <dgm:cxn modelId="{B67D1A52-0ACC-473C-807D-01D94D59D815}" type="presOf" srcId="{367D7799-1E5C-4947-8AD1-85D1E0D367AF}" destId="{0F4B7785-0023-487B-801C-9850969E1D34}" srcOrd="1" destOrd="0" presId="urn:microsoft.com/office/officeart/2005/8/layout/hierarchy2#3"/>
    <dgm:cxn modelId="{36D5F357-31C5-495A-9E49-9F78E7744FEF}" type="presOf" srcId="{EA5C222F-E519-4593-8E89-D9D44DBD357C}" destId="{162C1E81-C387-4700-97DF-88AE2E895EA8}" srcOrd="0" destOrd="0" presId="urn:microsoft.com/office/officeart/2005/8/layout/hierarchy2#3"/>
    <dgm:cxn modelId="{48764362-6A02-4FC8-978E-8710839AA38C}" type="presOf" srcId="{581124B7-0397-40F7-9B1D-41220103BA68}" destId="{C3EBFA62-33AA-4455-9D61-7B96DA4B37A4}" srcOrd="1" destOrd="0" presId="urn:microsoft.com/office/officeart/2005/8/layout/hierarchy2#3"/>
    <dgm:cxn modelId="{AAB84A62-1E2B-41B3-93F0-CA96DED5E98D}" type="presOf" srcId="{4A6A0524-D9B7-4A37-8E78-5FE688BDCCE6}" destId="{66B35CF0-1806-4E4A-8B50-99A64DECDBA9}" srcOrd="1" destOrd="0" presId="urn:microsoft.com/office/officeart/2005/8/layout/hierarchy2#3"/>
    <dgm:cxn modelId="{70D23B63-C613-47F6-8765-8785C4B1413C}" srcId="{0605F139-5EF0-48E7-A091-192233D2011D}" destId="{4E4A1E17-A3EC-4A54-9171-277E11A0B287}" srcOrd="1" destOrd="0" parTransId="{367D7799-1E5C-4947-8AD1-85D1E0D367AF}" sibTransId="{7FFEBD18-7D5B-41C0-A8F3-60942A71708D}"/>
    <dgm:cxn modelId="{540FA966-4903-45BF-8291-11339E29BD24}" type="presOf" srcId="{9EAB334F-AA91-4141-B6FE-557B19FCD964}" destId="{B68D4CB7-ED76-4EEE-B7F0-455597F5F947}" srcOrd="0" destOrd="0" presId="urn:microsoft.com/office/officeart/2005/8/layout/hierarchy2#3"/>
    <dgm:cxn modelId="{C9E28A67-AAB7-4031-BD4E-FAE2EAB06BCA}" srcId="{4E4A1E17-A3EC-4A54-9171-277E11A0B287}" destId="{2B9D6902-DCB2-4AC4-BFAC-AF964742FD39}" srcOrd="0" destOrd="0" parTransId="{9EAB334F-AA91-4141-B6FE-557B19FCD964}" sibTransId="{EB4A7ACA-5833-4A98-973D-A8E863091431}"/>
    <dgm:cxn modelId="{5410AD70-B58D-4121-BDEA-6037A6895C68}" type="presOf" srcId="{4E4A1E17-A3EC-4A54-9171-277E11A0B287}" destId="{3D382021-A429-4403-82FF-5A95DD3EBB20}" srcOrd="0" destOrd="0" presId="urn:microsoft.com/office/officeart/2005/8/layout/hierarchy2#3"/>
    <dgm:cxn modelId="{D8862872-25BF-4F85-A847-6D0B1BF49B22}" type="presOf" srcId="{C78C4F92-AD69-46C8-910C-41059E8ED0A9}" destId="{29F748CF-C0E7-4DEA-B3A3-0E8AEB5CA964}" srcOrd="0" destOrd="0" presId="urn:microsoft.com/office/officeart/2005/8/layout/hierarchy2#3"/>
    <dgm:cxn modelId="{8780577F-AE9E-40D5-8358-8E75810F1A1F}" type="presOf" srcId="{EFE73B03-4D71-4565-8C52-4902BE6377A4}" destId="{5FBAB40F-6011-4629-9B30-77C9439C91BF}" srcOrd="0" destOrd="0" presId="urn:microsoft.com/office/officeart/2005/8/layout/hierarchy2#3"/>
    <dgm:cxn modelId="{F3462D86-8D4D-44FF-8BF8-CBFC5FEAD78C}" srcId="{EFE73B03-4D71-4565-8C52-4902BE6377A4}" destId="{0605F139-5EF0-48E7-A091-192233D2011D}" srcOrd="0" destOrd="0" parTransId="{2AFB1B2A-8749-4E5E-9CB9-0B60F81C46F8}" sibTransId="{E0FFEB56-236E-4FE9-83BF-31494E265D5A}"/>
    <dgm:cxn modelId="{91F8EF89-4EC8-40FE-9C58-86DB37A388B1}" type="presOf" srcId="{0605F139-5EF0-48E7-A091-192233D2011D}" destId="{24E3F4AB-32FB-4CE0-9DAC-FC4DD26B5900}" srcOrd="0" destOrd="0" presId="urn:microsoft.com/office/officeart/2005/8/layout/hierarchy2#3"/>
    <dgm:cxn modelId="{B1DFAD8F-01A4-4B54-BF01-022A1C70082F}" type="presOf" srcId="{581124B7-0397-40F7-9B1D-41220103BA68}" destId="{E81582B1-A130-479F-ACE3-61EF727591CE}" srcOrd="0" destOrd="0" presId="urn:microsoft.com/office/officeart/2005/8/layout/hierarchy2#3"/>
    <dgm:cxn modelId="{A080AC91-88D1-41E4-8247-5DB55965585A}" type="presOf" srcId="{AC2BFF99-DAE2-494A-88AB-85D75BC6D2EE}" destId="{B47BD6C9-6D53-4A69-975F-9CF96E25F10F}" srcOrd="0" destOrd="0" presId="urn:microsoft.com/office/officeart/2005/8/layout/hierarchy2#3"/>
    <dgm:cxn modelId="{C14D3693-1E02-43E5-AA62-FDBA4E818F06}" srcId="{0605F139-5EF0-48E7-A091-192233D2011D}" destId="{4530EE7D-F557-4815-9ED2-EABC47F46978}" srcOrd="0" destOrd="0" parTransId="{AC2BFF99-DAE2-494A-88AB-85D75BC6D2EE}" sibTransId="{B98A0394-6758-42EB-8D0E-4491BED52B6C}"/>
    <dgm:cxn modelId="{02F40A9B-3D88-4D76-9FE3-4B554988A974}" srcId="{4530EE7D-F557-4815-9ED2-EABC47F46978}" destId="{2C2A4BF3-AA22-4080-9546-909CF9AC3ECB}" srcOrd="0" destOrd="0" parTransId="{4A6A0524-D9B7-4A37-8E78-5FE688BDCCE6}" sibTransId="{39CECE7E-7D7C-4022-9437-1E0813814145}"/>
    <dgm:cxn modelId="{6105369F-6000-4D65-BFDB-DCB5C5D1D506}" srcId="{4530EE7D-F557-4815-9ED2-EABC47F46978}" destId="{C78C4F92-AD69-46C8-910C-41059E8ED0A9}" srcOrd="1" destOrd="0" parTransId="{581124B7-0397-40F7-9B1D-41220103BA68}" sibTransId="{A23C44A9-E7A6-467B-BF93-DD0656347715}"/>
    <dgm:cxn modelId="{F6A94B9F-5A21-4BFA-9478-9F06F9EEFDA4}" type="presOf" srcId="{2B9D6902-DCB2-4AC4-BFAC-AF964742FD39}" destId="{402901F7-4C4B-47C4-BE12-824FDFB99F9B}" srcOrd="0" destOrd="0" presId="urn:microsoft.com/office/officeart/2005/8/layout/hierarchy2#3"/>
    <dgm:cxn modelId="{785C57A7-63DB-41DC-A36A-17742B5F1F79}" srcId="{4530EE7D-F557-4815-9ED2-EABC47F46978}" destId="{AD15D45B-C780-42E6-B0EC-3C94E6BD1A59}" srcOrd="2" destOrd="0" parTransId="{EA5C222F-E519-4593-8E89-D9D44DBD357C}" sibTransId="{BC3F3EC4-41E6-43F5-8CAF-AF9C85B8E212}"/>
    <dgm:cxn modelId="{5A7E60C7-0A65-4469-8D39-61B8B23F0959}" type="presOf" srcId="{4A6A0524-D9B7-4A37-8E78-5FE688BDCCE6}" destId="{FA61825B-C877-4D42-AAFB-0586288A9783}" srcOrd="0" destOrd="0" presId="urn:microsoft.com/office/officeart/2005/8/layout/hierarchy2#3"/>
    <dgm:cxn modelId="{9905D3D9-8A15-4077-B210-682C2B920B13}" type="presOf" srcId="{9EAB334F-AA91-4141-B6FE-557B19FCD964}" destId="{5CB1AA4B-5999-455A-85BE-A2532A5BECF0}" srcOrd="1" destOrd="0" presId="urn:microsoft.com/office/officeart/2005/8/layout/hierarchy2#3"/>
    <dgm:cxn modelId="{6603BCE2-FE65-4D5F-A59D-F2C0433DB4C8}" type="presOf" srcId="{367D7799-1E5C-4947-8AD1-85D1E0D367AF}" destId="{2E81B90F-7494-41FF-808F-F7F82B993B40}" srcOrd="0" destOrd="0" presId="urn:microsoft.com/office/officeart/2005/8/layout/hierarchy2#3"/>
    <dgm:cxn modelId="{FA0849E6-D72F-4225-BAFE-EEA4209E0D78}" type="presOf" srcId="{4530EE7D-F557-4815-9ED2-EABC47F46978}" destId="{3C0D5057-54F2-42F8-ADAD-AA27A1CC1A1B}" srcOrd="0" destOrd="0" presId="urn:microsoft.com/office/officeart/2005/8/layout/hierarchy2#3"/>
    <dgm:cxn modelId="{1F0B74E8-1D93-49B2-B275-DC509B9EAB92}" type="presOf" srcId="{EA5C222F-E519-4593-8E89-D9D44DBD357C}" destId="{62FCD925-8914-4B22-88B6-BCCDAC8DE9BB}" srcOrd="1" destOrd="0" presId="urn:microsoft.com/office/officeart/2005/8/layout/hierarchy2#3"/>
    <dgm:cxn modelId="{5C1364D7-C7A7-4E0B-A1B1-91496AF9B4B2}" type="presParOf" srcId="{5FBAB40F-6011-4629-9B30-77C9439C91BF}" destId="{2332AA2E-A989-4175-BB73-78EA4C3BDB65}" srcOrd="0" destOrd="0" presId="urn:microsoft.com/office/officeart/2005/8/layout/hierarchy2#3"/>
    <dgm:cxn modelId="{F8BF8AB0-3C98-4E3F-91F2-36CF9022B3D5}" type="presParOf" srcId="{2332AA2E-A989-4175-BB73-78EA4C3BDB65}" destId="{24E3F4AB-32FB-4CE0-9DAC-FC4DD26B5900}" srcOrd="0" destOrd="0" presId="urn:microsoft.com/office/officeart/2005/8/layout/hierarchy2#3"/>
    <dgm:cxn modelId="{CB1879CA-32D3-48FA-A71E-BC246DFC00A3}" type="presParOf" srcId="{2332AA2E-A989-4175-BB73-78EA4C3BDB65}" destId="{44F25638-8073-4DA7-9390-5AC06A304565}" srcOrd="1" destOrd="0" presId="urn:microsoft.com/office/officeart/2005/8/layout/hierarchy2#3"/>
    <dgm:cxn modelId="{24963ED0-D61A-4129-9C21-97FDDEF9AC02}" type="presParOf" srcId="{44F25638-8073-4DA7-9390-5AC06A304565}" destId="{B47BD6C9-6D53-4A69-975F-9CF96E25F10F}" srcOrd="0" destOrd="0" presId="urn:microsoft.com/office/officeart/2005/8/layout/hierarchy2#3"/>
    <dgm:cxn modelId="{039BBE0A-CE16-4931-BEED-E2E837B3A662}" type="presParOf" srcId="{B47BD6C9-6D53-4A69-975F-9CF96E25F10F}" destId="{C1833E64-0598-4ED8-B73B-4C820BB35531}" srcOrd="0" destOrd="0" presId="urn:microsoft.com/office/officeart/2005/8/layout/hierarchy2#3"/>
    <dgm:cxn modelId="{64467BE9-50D4-4986-AA4A-81C3C144E2FB}" type="presParOf" srcId="{44F25638-8073-4DA7-9390-5AC06A304565}" destId="{46F58ACF-5130-428E-B3EF-87D6FEC0C921}" srcOrd="1" destOrd="0" presId="urn:microsoft.com/office/officeart/2005/8/layout/hierarchy2#3"/>
    <dgm:cxn modelId="{B8F3A743-1C9D-4A6A-AAA1-5EF98BDA9B36}" type="presParOf" srcId="{46F58ACF-5130-428E-B3EF-87D6FEC0C921}" destId="{3C0D5057-54F2-42F8-ADAD-AA27A1CC1A1B}" srcOrd="0" destOrd="0" presId="urn:microsoft.com/office/officeart/2005/8/layout/hierarchy2#3"/>
    <dgm:cxn modelId="{64B36FDB-44AE-4E3C-9043-51D0A59B265E}" type="presParOf" srcId="{46F58ACF-5130-428E-B3EF-87D6FEC0C921}" destId="{48673F39-879C-4946-8DC7-FD68F0552920}" srcOrd="1" destOrd="0" presId="urn:microsoft.com/office/officeart/2005/8/layout/hierarchy2#3"/>
    <dgm:cxn modelId="{63C1D1AC-18C1-4DB3-818B-7C0A8830C0E1}" type="presParOf" srcId="{48673F39-879C-4946-8DC7-FD68F0552920}" destId="{FA61825B-C877-4D42-AAFB-0586288A9783}" srcOrd="0" destOrd="0" presId="urn:microsoft.com/office/officeart/2005/8/layout/hierarchy2#3"/>
    <dgm:cxn modelId="{EC23AE8C-85FA-4C72-A1CA-D43921F62B23}" type="presParOf" srcId="{FA61825B-C877-4D42-AAFB-0586288A9783}" destId="{66B35CF0-1806-4E4A-8B50-99A64DECDBA9}" srcOrd="0" destOrd="0" presId="urn:microsoft.com/office/officeart/2005/8/layout/hierarchy2#3"/>
    <dgm:cxn modelId="{1D47DF2D-7D71-4B37-A909-CE1BD66D693E}" type="presParOf" srcId="{48673F39-879C-4946-8DC7-FD68F0552920}" destId="{F95D7524-EA0E-4F9D-9D6F-B10856D5C83F}" srcOrd="1" destOrd="0" presId="urn:microsoft.com/office/officeart/2005/8/layout/hierarchy2#3"/>
    <dgm:cxn modelId="{1139295A-2119-4DF9-BEC8-70EFC4B61AD1}" type="presParOf" srcId="{F95D7524-EA0E-4F9D-9D6F-B10856D5C83F}" destId="{63712EDC-9AF8-41BC-8F72-ADF8D554FF07}" srcOrd="0" destOrd="0" presId="urn:microsoft.com/office/officeart/2005/8/layout/hierarchy2#3"/>
    <dgm:cxn modelId="{66660C2E-3E72-4C1F-84A2-7ABAA83DE6BB}" type="presParOf" srcId="{F95D7524-EA0E-4F9D-9D6F-B10856D5C83F}" destId="{E0C65410-D9BC-4E23-87DE-EBBC54AD2166}" srcOrd="1" destOrd="0" presId="urn:microsoft.com/office/officeart/2005/8/layout/hierarchy2#3"/>
    <dgm:cxn modelId="{013A8FB2-965D-4F68-88C8-2DB112C7BD8C}" type="presParOf" srcId="{48673F39-879C-4946-8DC7-FD68F0552920}" destId="{E81582B1-A130-479F-ACE3-61EF727591CE}" srcOrd="2" destOrd="0" presId="urn:microsoft.com/office/officeart/2005/8/layout/hierarchy2#3"/>
    <dgm:cxn modelId="{76EA3F6F-618B-4A0A-BF6F-B65F309254EE}" type="presParOf" srcId="{E81582B1-A130-479F-ACE3-61EF727591CE}" destId="{C3EBFA62-33AA-4455-9D61-7B96DA4B37A4}" srcOrd="0" destOrd="0" presId="urn:microsoft.com/office/officeart/2005/8/layout/hierarchy2#3"/>
    <dgm:cxn modelId="{CF2B58C8-A0F6-410E-A0F3-5EF7FFB473F3}" type="presParOf" srcId="{48673F39-879C-4946-8DC7-FD68F0552920}" destId="{2DF34A52-3962-401F-8488-13EE54243675}" srcOrd="3" destOrd="0" presId="urn:microsoft.com/office/officeart/2005/8/layout/hierarchy2#3"/>
    <dgm:cxn modelId="{4CD459D8-2068-46E8-ACEB-E6FA73C1FF27}" type="presParOf" srcId="{2DF34A52-3962-401F-8488-13EE54243675}" destId="{29F748CF-C0E7-4DEA-B3A3-0E8AEB5CA964}" srcOrd="0" destOrd="0" presId="urn:microsoft.com/office/officeart/2005/8/layout/hierarchy2#3"/>
    <dgm:cxn modelId="{108F1CFC-AD69-4D98-810F-35943C75D125}" type="presParOf" srcId="{2DF34A52-3962-401F-8488-13EE54243675}" destId="{02AC44EF-F1FC-4C54-8D55-2436304955F9}" srcOrd="1" destOrd="0" presId="urn:microsoft.com/office/officeart/2005/8/layout/hierarchy2#3"/>
    <dgm:cxn modelId="{A695CE2D-319F-4CEB-8C83-8B8B416D2805}" type="presParOf" srcId="{48673F39-879C-4946-8DC7-FD68F0552920}" destId="{162C1E81-C387-4700-97DF-88AE2E895EA8}" srcOrd="4" destOrd="0" presId="urn:microsoft.com/office/officeart/2005/8/layout/hierarchy2#3"/>
    <dgm:cxn modelId="{3AFEF9A4-DAB3-4B3A-9B40-7F20E10E67FB}" type="presParOf" srcId="{162C1E81-C387-4700-97DF-88AE2E895EA8}" destId="{62FCD925-8914-4B22-88B6-BCCDAC8DE9BB}" srcOrd="0" destOrd="0" presId="urn:microsoft.com/office/officeart/2005/8/layout/hierarchy2#3"/>
    <dgm:cxn modelId="{F8C0168D-9DD1-4B46-8F73-4421188C7ECC}" type="presParOf" srcId="{48673F39-879C-4946-8DC7-FD68F0552920}" destId="{8F59ED4F-BD6C-4EC2-88B1-D4ED9FF37D05}" srcOrd="5" destOrd="0" presId="urn:microsoft.com/office/officeart/2005/8/layout/hierarchy2#3"/>
    <dgm:cxn modelId="{7150C1CD-64FF-4249-B5F0-6DBB457BB549}" type="presParOf" srcId="{8F59ED4F-BD6C-4EC2-88B1-D4ED9FF37D05}" destId="{B4DD8C6C-644E-45C9-876A-72766A8FFECF}" srcOrd="0" destOrd="0" presId="urn:microsoft.com/office/officeart/2005/8/layout/hierarchy2#3"/>
    <dgm:cxn modelId="{7D6CD337-6BE0-4A33-9AD3-F6DC6F14170A}" type="presParOf" srcId="{8F59ED4F-BD6C-4EC2-88B1-D4ED9FF37D05}" destId="{825F43D3-6157-4B61-9873-DDB5562EF391}" srcOrd="1" destOrd="0" presId="urn:microsoft.com/office/officeart/2005/8/layout/hierarchy2#3"/>
    <dgm:cxn modelId="{FFCA856D-8B36-4DD1-86A4-7953AAB1A9B2}" type="presParOf" srcId="{44F25638-8073-4DA7-9390-5AC06A304565}" destId="{2E81B90F-7494-41FF-808F-F7F82B993B40}" srcOrd="2" destOrd="0" presId="urn:microsoft.com/office/officeart/2005/8/layout/hierarchy2#3"/>
    <dgm:cxn modelId="{51208C9C-30A3-4C74-B623-9F655FFD00F5}" type="presParOf" srcId="{2E81B90F-7494-41FF-808F-F7F82B993B40}" destId="{0F4B7785-0023-487B-801C-9850969E1D34}" srcOrd="0" destOrd="0" presId="urn:microsoft.com/office/officeart/2005/8/layout/hierarchy2#3"/>
    <dgm:cxn modelId="{96B80466-0A26-4CF6-80AC-069C0ACF0A39}" type="presParOf" srcId="{44F25638-8073-4DA7-9390-5AC06A304565}" destId="{4925E953-147A-4210-9A9C-63730A307231}" srcOrd="3" destOrd="0" presId="urn:microsoft.com/office/officeart/2005/8/layout/hierarchy2#3"/>
    <dgm:cxn modelId="{3CB03EE9-7915-4169-8387-F74E574BD293}" type="presParOf" srcId="{4925E953-147A-4210-9A9C-63730A307231}" destId="{3D382021-A429-4403-82FF-5A95DD3EBB20}" srcOrd="0" destOrd="0" presId="urn:microsoft.com/office/officeart/2005/8/layout/hierarchy2#3"/>
    <dgm:cxn modelId="{548D1DCA-BACE-4353-960D-D4A35DD39866}" type="presParOf" srcId="{4925E953-147A-4210-9A9C-63730A307231}" destId="{6D231649-1A42-47D5-A289-01058E6A05B6}" srcOrd="1" destOrd="0" presId="urn:microsoft.com/office/officeart/2005/8/layout/hierarchy2#3"/>
    <dgm:cxn modelId="{879865DC-E7DE-49CA-8AB6-DA396E0C3886}" type="presParOf" srcId="{6D231649-1A42-47D5-A289-01058E6A05B6}" destId="{B68D4CB7-ED76-4EEE-B7F0-455597F5F947}" srcOrd="0" destOrd="0" presId="urn:microsoft.com/office/officeart/2005/8/layout/hierarchy2#3"/>
    <dgm:cxn modelId="{CA55C11A-B59F-4778-9E49-0E43349A186A}" type="presParOf" srcId="{B68D4CB7-ED76-4EEE-B7F0-455597F5F947}" destId="{5CB1AA4B-5999-455A-85BE-A2532A5BECF0}" srcOrd="0" destOrd="0" presId="urn:microsoft.com/office/officeart/2005/8/layout/hierarchy2#3"/>
    <dgm:cxn modelId="{CCAA3E50-5CCD-4E42-9295-4588090756F0}" type="presParOf" srcId="{6D231649-1A42-47D5-A289-01058E6A05B6}" destId="{A1B09372-2280-4FF7-9810-328BF9428FDA}" srcOrd="1" destOrd="0" presId="urn:microsoft.com/office/officeart/2005/8/layout/hierarchy2#3"/>
    <dgm:cxn modelId="{1873D529-C0B0-4AD3-B0F2-83A0609C29D1}" type="presParOf" srcId="{A1B09372-2280-4FF7-9810-328BF9428FDA}" destId="{402901F7-4C4B-47C4-BE12-824FDFB99F9B}" srcOrd="0" destOrd="0" presId="urn:microsoft.com/office/officeart/2005/8/layout/hierarchy2#3"/>
    <dgm:cxn modelId="{0EEB9B0E-1A00-49B6-8684-956FA4428B5C}" type="presParOf" srcId="{A1B09372-2280-4FF7-9810-328BF9428FDA}" destId="{48115C91-152F-4201-BB89-A30029998550}" srcOrd="1" destOrd="0" presId="urn:microsoft.com/office/officeart/2005/8/layout/hierarchy2#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F9829FD-DD90-4EE7-BCD7-4AF299D6F45A}" type="doc">
      <dgm:prSet loTypeId="urn:microsoft.com/office/officeart/2005/8/layout/chevron2" loCatId="process" qsTypeId="urn:microsoft.com/office/officeart/2005/8/quickstyle/simple1#10" qsCatId="simple" csTypeId="urn:microsoft.com/office/officeart/2005/8/colors/accent1_2#10" csCatId="accent1" phldr="1"/>
      <dgm:spPr/>
      <dgm:t>
        <a:bodyPr/>
        <a:lstStyle/>
        <a:p>
          <a:endParaRPr lang="zh-CN" altLang="en-US"/>
        </a:p>
      </dgm:t>
    </dgm:pt>
    <dgm:pt modelId="{FCC504F5-317D-4294-815B-28489BDC5845}">
      <dgm:prSet phldrT="[文本]" phldr="0" custT="0"/>
      <dgm:spPr/>
      <dgm:t>
        <a:bodyPr vert="horz" wrap="square"/>
        <a:lstStyle/>
        <a:p>
          <a:pPr>
            <a:lnSpc>
              <a:spcPct val="100000"/>
            </a:lnSpc>
            <a:spcBef>
              <a:spcPct val="0"/>
            </a:spcBef>
            <a:spcAft>
              <a:spcPct val="35000"/>
            </a:spcAft>
          </a:pPr>
          <a:r>
            <a:rPr lang="zh-CN" altLang="en-US"/>
            <a:t>组织领导</a:t>
          </a:r>
        </a:p>
      </dgm:t>
    </dgm:pt>
    <dgm:pt modelId="{8F05BE86-1921-41BD-B82E-72272E9475E9}" type="parTrans" cxnId="{5C9155D2-079C-4668-898D-B10A24F34352}">
      <dgm:prSet/>
      <dgm:spPr/>
      <dgm:t>
        <a:bodyPr/>
        <a:lstStyle/>
        <a:p>
          <a:endParaRPr lang="zh-CN" altLang="en-US"/>
        </a:p>
      </dgm:t>
    </dgm:pt>
    <dgm:pt modelId="{67223200-D196-44B3-9DFD-D095DDBC10AB}" type="sibTrans" cxnId="{5C9155D2-079C-4668-898D-B10A24F34352}">
      <dgm:prSet/>
      <dgm:spPr/>
      <dgm:t>
        <a:bodyPr/>
        <a:lstStyle/>
        <a:p>
          <a:endParaRPr lang="zh-CN" altLang="en-US"/>
        </a:p>
      </dgm:t>
    </dgm:pt>
    <dgm:pt modelId="{F3F66F6A-184E-4CBB-A544-AC2BF2A74FC0}">
      <dgm:prSet phldrT="[文本]" phldr="0" custT="0"/>
      <dgm:spPr/>
      <dgm:t>
        <a:bodyPr vert="horz" wrap="square"/>
        <a:lstStyle/>
        <a:p>
          <a:pPr>
            <a:lnSpc>
              <a:spcPct val="100000"/>
            </a:lnSpc>
            <a:spcBef>
              <a:spcPct val="0"/>
            </a:spcBef>
            <a:spcAft>
              <a:spcPct val="15000"/>
            </a:spcAft>
          </a:pPr>
          <a:r>
            <a:rPr lang="zh-CN" altLang="en-US"/>
            <a:t>由财务资产部门牵头，办公室（党委办公室）、党委组织部（人力资源部）、党委党建部（党委宣传部、工会、团委）、集体企业管理办公室等部门人员组成</a:t>
          </a:r>
        </a:p>
      </dgm:t>
    </dgm:pt>
    <dgm:pt modelId="{7A0C70B0-5DAE-45AB-9915-863AC3FA4D2D}" type="parTrans" cxnId="{8A2C587E-2D4B-4D0B-B9B6-47DDF9B8F7B0}">
      <dgm:prSet/>
      <dgm:spPr/>
      <dgm:t>
        <a:bodyPr/>
        <a:lstStyle/>
        <a:p>
          <a:endParaRPr lang="zh-CN" altLang="en-US"/>
        </a:p>
      </dgm:t>
    </dgm:pt>
    <dgm:pt modelId="{47DD308A-8526-455B-A37F-FEE2CC1C75AF}" type="sibTrans" cxnId="{8A2C587E-2D4B-4D0B-B9B6-47DDF9B8F7B0}">
      <dgm:prSet/>
      <dgm:spPr/>
      <dgm:t>
        <a:bodyPr/>
        <a:lstStyle/>
        <a:p>
          <a:endParaRPr lang="zh-CN" altLang="en-US"/>
        </a:p>
      </dgm:t>
    </dgm:pt>
    <dgm:pt modelId="{780FAED3-C4BD-4FF1-8B67-8499CCFAE2ED}">
      <dgm:prSet phldrT="[文本]" phldr="0" custT="0"/>
      <dgm:spPr/>
      <dgm:t>
        <a:bodyPr vert="horz" wrap="square"/>
        <a:lstStyle/>
        <a:p>
          <a:pPr>
            <a:lnSpc>
              <a:spcPct val="100000"/>
            </a:lnSpc>
            <a:spcBef>
              <a:spcPct val="0"/>
            </a:spcBef>
            <a:spcAft>
              <a:spcPct val="35000"/>
            </a:spcAft>
          </a:pPr>
          <a:r>
            <a:rPr lang="zh-CN" altLang="en-US"/>
            <a:t>主要任务</a:t>
          </a:r>
        </a:p>
      </dgm:t>
    </dgm:pt>
    <dgm:pt modelId="{88C57C74-C9C4-46CF-A10B-13A1A1E7714C}" type="parTrans" cxnId="{34A8B0E4-F1E1-4868-B77A-5ABDE645EC8D}">
      <dgm:prSet/>
      <dgm:spPr/>
      <dgm:t>
        <a:bodyPr/>
        <a:lstStyle/>
        <a:p>
          <a:endParaRPr lang="zh-CN" altLang="en-US"/>
        </a:p>
      </dgm:t>
    </dgm:pt>
    <dgm:pt modelId="{34435F2A-D730-405E-99D5-BBC9FB7499FA}" type="sibTrans" cxnId="{34A8B0E4-F1E1-4868-B77A-5ABDE645EC8D}">
      <dgm:prSet/>
      <dgm:spPr/>
      <dgm:t>
        <a:bodyPr/>
        <a:lstStyle/>
        <a:p>
          <a:endParaRPr lang="zh-CN" altLang="en-US"/>
        </a:p>
      </dgm:t>
    </dgm:pt>
    <dgm:pt modelId="{3E6D5D4F-935E-467F-A6CA-DFB49E904BF2}">
      <dgm:prSet phldrT="[文本]" phldr="0" custT="0"/>
      <dgm:spPr/>
      <dgm:t>
        <a:bodyPr vert="horz" wrap="square"/>
        <a:lstStyle/>
        <a:p>
          <a:pPr>
            <a:lnSpc>
              <a:spcPct val="100000"/>
            </a:lnSpc>
            <a:spcBef>
              <a:spcPct val="0"/>
            </a:spcBef>
            <a:spcAft>
              <a:spcPct val="15000"/>
            </a:spcAft>
          </a:pPr>
          <a:r>
            <a:rPr lang="zh-CN" altLang="en-US"/>
            <a:t>是建立任务清单和责任清单，制定量化指标，加强现场督导和宣传交流，提炼工作亮点和成效、开展成效评估，完成省、市公司制定的提质增效工作任务和细化措施。</a:t>
          </a:r>
        </a:p>
      </dgm:t>
    </dgm:pt>
    <dgm:pt modelId="{DFE6860A-9AF6-4E3A-8810-968954321458}" type="parTrans" cxnId="{F792CACC-8468-413C-87A4-791B10D3C4C0}">
      <dgm:prSet/>
      <dgm:spPr/>
      <dgm:t>
        <a:bodyPr/>
        <a:lstStyle/>
        <a:p>
          <a:endParaRPr lang="zh-CN" altLang="en-US"/>
        </a:p>
      </dgm:t>
    </dgm:pt>
    <dgm:pt modelId="{F6E211F9-5728-4C1B-B4EC-036ED0730A63}" type="sibTrans" cxnId="{F792CACC-8468-413C-87A4-791B10D3C4C0}">
      <dgm:prSet/>
      <dgm:spPr/>
      <dgm:t>
        <a:bodyPr/>
        <a:lstStyle/>
        <a:p>
          <a:endParaRPr lang="zh-CN" altLang="en-US"/>
        </a:p>
      </dgm:t>
    </dgm:pt>
    <dgm:pt modelId="{1D70B282-9875-47E1-864B-0DB9F83A3309}">
      <dgm:prSet phldrT="[文本]" phldr="0" custT="0"/>
      <dgm:spPr/>
      <dgm:t>
        <a:bodyPr vert="horz" wrap="square"/>
        <a:lstStyle/>
        <a:p>
          <a:pPr>
            <a:lnSpc>
              <a:spcPct val="100000"/>
            </a:lnSpc>
            <a:spcBef>
              <a:spcPct val="0"/>
            </a:spcBef>
            <a:spcAft>
              <a:spcPct val="35000"/>
            </a:spcAft>
          </a:pPr>
          <a:r>
            <a:rPr lang="zh-CN" altLang="en-US"/>
            <a:t>工作机制</a:t>
          </a:r>
        </a:p>
      </dgm:t>
    </dgm:pt>
    <dgm:pt modelId="{4682E278-8387-4875-A48B-989607C0A09E}" type="parTrans" cxnId="{DFD7B716-312B-4344-8984-065DC4D37DCC}">
      <dgm:prSet/>
      <dgm:spPr/>
      <dgm:t>
        <a:bodyPr/>
        <a:lstStyle/>
        <a:p>
          <a:endParaRPr lang="zh-CN" altLang="en-US"/>
        </a:p>
      </dgm:t>
    </dgm:pt>
    <dgm:pt modelId="{DF77052B-043C-4E4A-8039-9D1D7DFB40F4}" type="sibTrans" cxnId="{DFD7B716-312B-4344-8984-065DC4D37DCC}">
      <dgm:prSet/>
      <dgm:spPr/>
      <dgm:t>
        <a:bodyPr/>
        <a:lstStyle/>
        <a:p>
          <a:endParaRPr lang="zh-CN" altLang="en-US"/>
        </a:p>
      </dgm:t>
    </dgm:pt>
    <dgm:pt modelId="{30BE85C4-8BB0-4C0C-B58F-618B83FFA907}">
      <dgm:prSet phldrT="[文本]" phldr="0" custT="0"/>
      <dgm:spPr/>
      <dgm:t>
        <a:bodyPr vert="horz" wrap="square"/>
        <a:lstStyle/>
        <a:p>
          <a:pPr>
            <a:lnSpc>
              <a:spcPct val="100000"/>
            </a:lnSpc>
            <a:spcBef>
              <a:spcPct val="0"/>
            </a:spcBef>
            <a:spcAft>
              <a:spcPct val="15000"/>
            </a:spcAft>
          </a:pPr>
          <a:r>
            <a:rPr lang="zh-CN" altLang="en-US"/>
            <a:t>例会、专题、季度推进会；周通报、月通报；公司领导调研、协同专项调研；“党建+提质增效”融合机制</a:t>
          </a:r>
        </a:p>
      </dgm:t>
    </dgm:pt>
    <dgm:pt modelId="{99A19955-80B2-46DE-B74C-C0C8C4D708F2}" type="parTrans" cxnId="{8B893E9B-C619-4830-8528-6E0363F87409}">
      <dgm:prSet/>
      <dgm:spPr/>
      <dgm:t>
        <a:bodyPr/>
        <a:lstStyle/>
        <a:p>
          <a:endParaRPr lang="zh-CN" altLang="en-US"/>
        </a:p>
      </dgm:t>
    </dgm:pt>
    <dgm:pt modelId="{CB48F5C6-507D-451D-9B2B-7C607BFEAF95}" type="sibTrans" cxnId="{8B893E9B-C619-4830-8528-6E0363F87409}">
      <dgm:prSet/>
      <dgm:spPr/>
      <dgm:t>
        <a:bodyPr/>
        <a:lstStyle/>
        <a:p>
          <a:endParaRPr lang="zh-CN" altLang="en-US"/>
        </a:p>
      </dgm:t>
    </dgm:pt>
    <dgm:pt modelId="{2C3066F8-D9E3-4E03-A8C3-12764247CC47}">
      <dgm:prSet phldr="0" custT="0"/>
      <dgm:spPr/>
      <dgm:t>
        <a:bodyPr vert="horz" wrap="square"/>
        <a:lstStyle/>
        <a:p>
          <a:pPr>
            <a:lnSpc>
              <a:spcPct val="100000"/>
            </a:lnSpc>
            <a:spcBef>
              <a:spcPct val="0"/>
            </a:spcBef>
            <a:spcAft>
              <a:spcPct val="35000"/>
            </a:spcAft>
          </a:pPr>
          <a:r>
            <a:rPr lang="zh-CN" altLang="en-US"/>
            <a:t>工作举措</a:t>
          </a:r>
          <a:endParaRPr altLang="en-US"/>
        </a:p>
      </dgm:t>
    </dgm:pt>
    <dgm:pt modelId="{1DF16CE2-E76C-44A8-8C48-45A8F9E5F3B8}" type="parTrans" cxnId="{69C2286C-B3EA-4B62-9C11-9021A8C49E03}">
      <dgm:prSet/>
      <dgm:spPr/>
      <dgm:t>
        <a:bodyPr/>
        <a:lstStyle/>
        <a:p>
          <a:endParaRPr lang="zh-CN" altLang="en-US"/>
        </a:p>
      </dgm:t>
    </dgm:pt>
    <dgm:pt modelId="{80FDA6D6-B856-43EB-BCE9-76A06B297F8A}" type="sibTrans" cxnId="{69C2286C-B3EA-4B62-9C11-9021A8C49E03}">
      <dgm:prSet/>
      <dgm:spPr/>
      <dgm:t>
        <a:bodyPr/>
        <a:lstStyle/>
        <a:p>
          <a:endParaRPr lang="zh-CN" altLang="en-US"/>
        </a:p>
      </dgm:t>
    </dgm:pt>
    <dgm:pt modelId="{00FEAAF1-624F-4A34-B78B-970DD49E5BA6}">
      <dgm:prSet phldr="0" custT="0"/>
      <dgm:spPr/>
      <dgm:t>
        <a:bodyPr vert="horz" wrap="square"/>
        <a:lstStyle/>
        <a:p>
          <a:pPr>
            <a:lnSpc>
              <a:spcPct val="100000"/>
            </a:lnSpc>
            <a:spcBef>
              <a:spcPct val="0"/>
            </a:spcBef>
            <a:spcAft>
              <a:spcPct val="15000"/>
            </a:spcAft>
          </a:pPr>
          <a:r>
            <a:rPr lang="zh-CN" altLang="en-US"/>
            <a:t>广泛宣传动员；征集合理化建议；协调督导提质增效工作；总结评估成效</a:t>
          </a:r>
          <a:endParaRPr/>
        </a:p>
      </dgm:t>
    </dgm:pt>
    <dgm:pt modelId="{6C53B523-024D-405E-8479-6396D894F657}" type="parTrans" cxnId="{5760689D-ED51-4A2D-976F-A6A45DBF0536}">
      <dgm:prSet/>
      <dgm:spPr/>
      <dgm:t>
        <a:bodyPr/>
        <a:lstStyle/>
        <a:p>
          <a:endParaRPr lang="zh-CN" altLang="en-US"/>
        </a:p>
      </dgm:t>
    </dgm:pt>
    <dgm:pt modelId="{56323E0A-B8FE-4FA1-A8BD-4FE299F784F8}" type="sibTrans" cxnId="{5760689D-ED51-4A2D-976F-A6A45DBF0536}">
      <dgm:prSet/>
      <dgm:spPr/>
      <dgm:t>
        <a:bodyPr/>
        <a:lstStyle/>
        <a:p>
          <a:endParaRPr lang="zh-CN" altLang="en-US"/>
        </a:p>
      </dgm:t>
    </dgm:pt>
    <dgm:pt modelId="{7BB0B505-7D43-42E4-8FC0-6C91316CBFEB}" type="pres">
      <dgm:prSet presAssocID="{DF9829FD-DD90-4EE7-BCD7-4AF299D6F45A}" presName="linearFlow" presStyleCnt="0">
        <dgm:presLayoutVars>
          <dgm:dir/>
          <dgm:animLvl val="lvl"/>
          <dgm:resizeHandles val="exact"/>
        </dgm:presLayoutVars>
      </dgm:prSet>
      <dgm:spPr/>
    </dgm:pt>
    <dgm:pt modelId="{97F2BEE4-0E0F-4FCA-A4B0-E20AD8C04C13}" type="pres">
      <dgm:prSet presAssocID="{FCC504F5-317D-4294-815B-28489BDC5845}" presName="composite" presStyleCnt="0"/>
      <dgm:spPr/>
    </dgm:pt>
    <dgm:pt modelId="{A16E3110-57E1-4619-A55C-DCD0DD5CE084}" type="pres">
      <dgm:prSet presAssocID="{FCC504F5-317D-4294-815B-28489BDC5845}" presName="parentText" presStyleLbl="alignNode1" presStyleIdx="0" presStyleCnt="4">
        <dgm:presLayoutVars>
          <dgm:chMax val="1"/>
          <dgm:bulletEnabled val="1"/>
        </dgm:presLayoutVars>
      </dgm:prSet>
      <dgm:spPr/>
    </dgm:pt>
    <dgm:pt modelId="{544D3F38-216B-445A-B1B9-8008AEDB7A9D}" type="pres">
      <dgm:prSet presAssocID="{FCC504F5-317D-4294-815B-28489BDC5845}" presName="descendantText" presStyleLbl="alignAcc1" presStyleIdx="0" presStyleCnt="4">
        <dgm:presLayoutVars>
          <dgm:bulletEnabled val="1"/>
        </dgm:presLayoutVars>
      </dgm:prSet>
      <dgm:spPr/>
    </dgm:pt>
    <dgm:pt modelId="{D3A691E5-F443-4F8D-81BB-9D15C0875E8C}" type="pres">
      <dgm:prSet presAssocID="{67223200-D196-44B3-9DFD-D095DDBC10AB}" presName="sp" presStyleCnt="0"/>
      <dgm:spPr/>
    </dgm:pt>
    <dgm:pt modelId="{D4BECBBB-7CE2-4791-839D-9FE6F36B775D}" type="pres">
      <dgm:prSet presAssocID="{780FAED3-C4BD-4FF1-8B67-8499CCFAE2ED}" presName="composite" presStyleCnt="0"/>
      <dgm:spPr/>
    </dgm:pt>
    <dgm:pt modelId="{722E1094-83C7-45E2-B20F-DB9D09AD94F0}" type="pres">
      <dgm:prSet presAssocID="{780FAED3-C4BD-4FF1-8B67-8499CCFAE2ED}" presName="parentText" presStyleLbl="alignNode1" presStyleIdx="1" presStyleCnt="4">
        <dgm:presLayoutVars>
          <dgm:chMax val="1"/>
          <dgm:bulletEnabled val="1"/>
        </dgm:presLayoutVars>
      </dgm:prSet>
      <dgm:spPr/>
    </dgm:pt>
    <dgm:pt modelId="{AC67BBE6-9B82-4D3D-BF22-48713AF46E9C}" type="pres">
      <dgm:prSet presAssocID="{780FAED3-C4BD-4FF1-8B67-8499CCFAE2ED}" presName="descendantText" presStyleLbl="alignAcc1" presStyleIdx="1" presStyleCnt="4">
        <dgm:presLayoutVars>
          <dgm:bulletEnabled val="1"/>
        </dgm:presLayoutVars>
      </dgm:prSet>
      <dgm:spPr/>
    </dgm:pt>
    <dgm:pt modelId="{5C381A65-34D3-41B1-9499-0884AAA35FC6}" type="pres">
      <dgm:prSet presAssocID="{34435F2A-D730-405E-99D5-BBC9FB7499FA}" presName="sp" presStyleCnt="0"/>
      <dgm:spPr/>
    </dgm:pt>
    <dgm:pt modelId="{C1BF0EA4-CB4D-4391-82EF-EC1874A282F9}" type="pres">
      <dgm:prSet presAssocID="{1D70B282-9875-47E1-864B-0DB9F83A3309}" presName="composite" presStyleCnt="0"/>
      <dgm:spPr/>
    </dgm:pt>
    <dgm:pt modelId="{95C8A2DE-C1F8-4D5A-A3A4-1DC2FA1C0073}" type="pres">
      <dgm:prSet presAssocID="{1D70B282-9875-47E1-864B-0DB9F83A3309}" presName="parentText" presStyleLbl="alignNode1" presStyleIdx="2" presStyleCnt="4">
        <dgm:presLayoutVars>
          <dgm:chMax val="1"/>
          <dgm:bulletEnabled val="1"/>
        </dgm:presLayoutVars>
      </dgm:prSet>
      <dgm:spPr/>
    </dgm:pt>
    <dgm:pt modelId="{BE17FEF5-EEE1-41BB-96FD-8FBB3FCF3860}" type="pres">
      <dgm:prSet presAssocID="{1D70B282-9875-47E1-864B-0DB9F83A3309}" presName="descendantText" presStyleLbl="alignAcc1" presStyleIdx="2" presStyleCnt="4">
        <dgm:presLayoutVars>
          <dgm:bulletEnabled val="1"/>
        </dgm:presLayoutVars>
      </dgm:prSet>
      <dgm:spPr/>
    </dgm:pt>
    <dgm:pt modelId="{B75C375A-956C-4F60-B1E9-A9F4CE623A2F}" type="pres">
      <dgm:prSet presAssocID="{DF77052B-043C-4E4A-8039-9D1D7DFB40F4}" presName="sp" presStyleCnt="0"/>
      <dgm:spPr/>
    </dgm:pt>
    <dgm:pt modelId="{7DC4FCD0-B1C4-4A0E-BF85-DC7A5F5E53B5}" type="pres">
      <dgm:prSet presAssocID="{2C3066F8-D9E3-4E03-A8C3-12764247CC47}" presName="composite" presStyleCnt="0"/>
      <dgm:spPr/>
    </dgm:pt>
    <dgm:pt modelId="{718A97AC-4946-40E7-B5B7-CA8F27B1383F}" type="pres">
      <dgm:prSet presAssocID="{2C3066F8-D9E3-4E03-A8C3-12764247CC47}" presName="parentText" presStyleLbl="alignNode1" presStyleIdx="3" presStyleCnt="4">
        <dgm:presLayoutVars>
          <dgm:chMax val="1"/>
          <dgm:bulletEnabled val="1"/>
        </dgm:presLayoutVars>
      </dgm:prSet>
      <dgm:spPr/>
    </dgm:pt>
    <dgm:pt modelId="{4B30C2EE-8A30-47FF-B505-5243C29F4C7E}" type="pres">
      <dgm:prSet presAssocID="{2C3066F8-D9E3-4E03-A8C3-12764247CC47}" presName="descendantText" presStyleLbl="alignAcc1" presStyleIdx="3" presStyleCnt="4">
        <dgm:presLayoutVars>
          <dgm:bulletEnabled val="1"/>
        </dgm:presLayoutVars>
      </dgm:prSet>
      <dgm:spPr/>
    </dgm:pt>
  </dgm:ptLst>
  <dgm:cxnLst>
    <dgm:cxn modelId="{DFD7B716-312B-4344-8984-065DC4D37DCC}" srcId="{DF9829FD-DD90-4EE7-BCD7-4AF299D6F45A}" destId="{1D70B282-9875-47E1-864B-0DB9F83A3309}" srcOrd="2" destOrd="0" parTransId="{4682E278-8387-4875-A48B-989607C0A09E}" sibTransId="{DF77052B-043C-4E4A-8039-9D1D7DFB40F4}"/>
    <dgm:cxn modelId="{437C7D1E-2B26-4E75-8BBD-736D47C87267}" type="presOf" srcId="{DF9829FD-DD90-4EE7-BCD7-4AF299D6F45A}" destId="{7BB0B505-7D43-42E4-8FC0-6C91316CBFEB}" srcOrd="0" destOrd="0" presId="urn:microsoft.com/office/officeart/2005/8/layout/chevron2"/>
    <dgm:cxn modelId="{69C2286C-B3EA-4B62-9C11-9021A8C49E03}" srcId="{DF9829FD-DD90-4EE7-BCD7-4AF299D6F45A}" destId="{2C3066F8-D9E3-4E03-A8C3-12764247CC47}" srcOrd="3" destOrd="0" parTransId="{1DF16CE2-E76C-44A8-8C48-45A8F9E5F3B8}" sibTransId="{80FDA6D6-B856-43EB-BCE9-76A06B297F8A}"/>
    <dgm:cxn modelId="{5E108C73-59F8-4E7D-ABEC-10723D24089B}" type="presOf" srcId="{FCC504F5-317D-4294-815B-28489BDC5845}" destId="{A16E3110-57E1-4619-A55C-DCD0DD5CE084}" srcOrd="0" destOrd="0" presId="urn:microsoft.com/office/officeart/2005/8/layout/chevron2"/>
    <dgm:cxn modelId="{8A2C587E-2D4B-4D0B-B9B6-47DDF9B8F7B0}" srcId="{FCC504F5-317D-4294-815B-28489BDC5845}" destId="{F3F66F6A-184E-4CBB-A544-AC2BF2A74FC0}" srcOrd="0" destOrd="0" parTransId="{7A0C70B0-5DAE-45AB-9915-863AC3FA4D2D}" sibTransId="{47DD308A-8526-455B-A37F-FEE2CC1C75AF}"/>
    <dgm:cxn modelId="{27FBD280-B4A0-4244-A535-6441F679669E}" type="presOf" srcId="{1D70B282-9875-47E1-864B-0DB9F83A3309}" destId="{95C8A2DE-C1F8-4D5A-A3A4-1DC2FA1C0073}" srcOrd="0" destOrd="0" presId="urn:microsoft.com/office/officeart/2005/8/layout/chevron2"/>
    <dgm:cxn modelId="{20A63187-4BBE-421A-91CF-48718828FDEF}" type="presOf" srcId="{780FAED3-C4BD-4FF1-8B67-8499CCFAE2ED}" destId="{722E1094-83C7-45E2-B20F-DB9D09AD94F0}" srcOrd="0" destOrd="0" presId="urn:microsoft.com/office/officeart/2005/8/layout/chevron2"/>
    <dgm:cxn modelId="{8B893E9B-C619-4830-8528-6E0363F87409}" srcId="{1D70B282-9875-47E1-864B-0DB9F83A3309}" destId="{30BE85C4-8BB0-4C0C-B58F-618B83FFA907}" srcOrd="0" destOrd="0" parTransId="{99A19955-80B2-46DE-B74C-C0C8C4D708F2}" sibTransId="{CB48F5C6-507D-451D-9B2B-7C607BFEAF95}"/>
    <dgm:cxn modelId="{5760689D-ED51-4A2D-976F-A6A45DBF0536}" srcId="{2C3066F8-D9E3-4E03-A8C3-12764247CC47}" destId="{00FEAAF1-624F-4A34-B78B-970DD49E5BA6}" srcOrd="0" destOrd="0" parTransId="{6C53B523-024D-405E-8479-6396D894F657}" sibTransId="{56323E0A-B8FE-4FA1-A8BD-4FE299F784F8}"/>
    <dgm:cxn modelId="{6053C9A2-2BE3-471C-8662-369436D43274}" type="presOf" srcId="{30BE85C4-8BB0-4C0C-B58F-618B83FFA907}" destId="{BE17FEF5-EEE1-41BB-96FD-8FBB3FCF3860}" srcOrd="0" destOrd="0" presId="urn:microsoft.com/office/officeart/2005/8/layout/chevron2"/>
    <dgm:cxn modelId="{F792CACC-8468-413C-87A4-791B10D3C4C0}" srcId="{780FAED3-C4BD-4FF1-8B67-8499CCFAE2ED}" destId="{3E6D5D4F-935E-467F-A6CA-DFB49E904BF2}" srcOrd="0" destOrd="0" parTransId="{DFE6860A-9AF6-4E3A-8810-968954321458}" sibTransId="{F6E211F9-5728-4C1B-B4EC-036ED0730A63}"/>
    <dgm:cxn modelId="{5C9155D2-079C-4668-898D-B10A24F34352}" srcId="{DF9829FD-DD90-4EE7-BCD7-4AF299D6F45A}" destId="{FCC504F5-317D-4294-815B-28489BDC5845}" srcOrd="0" destOrd="0" parTransId="{8F05BE86-1921-41BD-B82E-72272E9475E9}" sibTransId="{67223200-D196-44B3-9DFD-D095DDBC10AB}"/>
    <dgm:cxn modelId="{91360BD7-30FD-4E00-9064-BB4B19B65476}" type="presOf" srcId="{3E6D5D4F-935E-467F-A6CA-DFB49E904BF2}" destId="{AC67BBE6-9B82-4D3D-BF22-48713AF46E9C}" srcOrd="0" destOrd="0" presId="urn:microsoft.com/office/officeart/2005/8/layout/chevron2"/>
    <dgm:cxn modelId="{278A29D8-A72C-47F4-A1D7-1E423E064532}" type="presOf" srcId="{F3F66F6A-184E-4CBB-A544-AC2BF2A74FC0}" destId="{544D3F38-216B-445A-B1B9-8008AEDB7A9D}" srcOrd="0" destOrd="0" presId="urn:microsoft.com/office/officeart/2005/8/layout/chevron2"/>
    <dgm:cxn modelId="{34A8B0E4-F1E1-4868-B77A-5ABDE645EC8D}" srcId="{DF9829FD-DD90-4EE7-BCD7-4AF299D6F45A}" destId="{780FAED3-C4BD-4FF1-8B67-8499CCFAE2ED}" srcOrd="1" destOrd="0" parTransId="{88C57C74-C9C4-46CF-A10B-13A1A1E7714C}" sibTransId="{34435F2A-D730-405E-99D5-BBC9FB7499FA}"/>
    <dgm:cxn modelId="{DBB90BED-17D8-4C65-9743-69F519F9D725}" type="presOf" srcId="{2C3066F8-D9E3-4E03-A8C3-12764247CC47}" destId="{718A97AC-4946-40E7-B5B7-CA8F27B1383F}" srcOrd="0" destOrd="0" presId="urn:microsoft.com/office/officeart/2005/8/layout/chevron2"/>
    <dgm:cxn modelId="{787EABFF-4689-4827-A39D-91BB05DFA716}" type="presOf" srcId="{00FEAAF1-624F-4A34-B78B-970DD49E5BA6}" destId="{4B30C2EE-8A30-47FF-B505-5243C29F4C7E}" srcOrd="0" destOrd="0" presId="urn:microsoft.com/office/officeart/2005/8/layout/chevron2"/>
    <dgm:cxn modelId="{E8B08496-1B7F-4BDB-9106-F7076807E202}" type="presParOf" srcId="{7BB0B505-7D43-42E4-8FC0-6C91316CBFEB}" destId="{97F2BEE4-0E0F-4FCA-A4B0-E20AD8C04C13}" srcOrd="0" destOrd="0" presId="urn:microsoft.com/office/officeart/2005/8/layout/chevron2"/>
    <dgm:cxn modelId="{52170E20-6E58-45D9-95B5-0D3B9669135C}" type="presParOf" srcId="{97F2BEE4-0E0F-4FCA-A4B0-E20AD8C04C13}" destId="{A16E3110-57E1-4619-A55C-DCD0DD5CE084}" srcOrd="0" destOrd="0" presId="urn:microsoft.com/office/officeart/2005/8/layout/chevron2"/>
    <dgm:cxn modelId="{C9CAE120-7492-4164-8490-8606C80C10BF}" type="presParOf" srcId="{97F2BEE4-0E0F-4FCA-A4B0-E20AD8C04C13}" destId="{544D3F38-216B-445A-B1B9-8008AEDB7A9D}" srcOrd="1" destOrd="0" presId="urn:microsoft.com/office/officeart/2005/8/layout/chevron2"/>
    <dgm:cxn modelId="{03742FF8-E48A-46F5-8DE0-61E160E3CB07}" type="presParOf" srcId="{7BB0B505-7D43-42E4-8FC0-6C91316CBFEB}" destId="{D3A691E5-F443-4F8D-81BB-9D15C0875E8C}" srcOrd="1" destOrd="0" presId="urn:microsoft.com/office/officeart/2005/8/layout/chevron2"/>
    <dgm:cxn modelId="{306D74FF-D4BD-4050-A2A7-C966779E166C}" type="presParOf" srcId="{7BB0B505-7D43-42E4-8FC0-6C91316CBFEB}" destId="{D4BECBBB-7CE2-4791-839D-9FE6F36B775D}" srcOrd="2" destOrd="0" presId="urn:microsoft.com/office/officeart/2005/8/layout/chevron2"/>
    <dgm:cxn modelId="{F1D7A0B0-9BD2-4A72-A510-D3A80F25535E}" type="presParOf" srcId="{D4BECBBB-7CE2-4791-839D-9FE6F36B775D}" destId="{722E1094-83C7-45E2-B20F-DB9D09AD94F0}" srcOrd="0" destOrd="0" presId="urn:microsoft.com/office/officeart/2005/8/layout/chevron2"/>
    <dgm:cxn modelId="{60D262BA-6486-4D82-976C-A5E86D76A473}" type="presParOf" srcId="{D4BECBBB-7CE2-4791-839D-9FE6F36B775D}" destId="{AC67BBE6-9B82-4D3D-BF22-48713AF46E9C}" srcOrd="1" destOrd="0" presId="urn:microsoft.com/office/officeart/2005/8/layout/chevron2"/>
    <dgm:cxn modelId="{E511FDED-1968-40B0-8309-E8B4570A6655}" type="presParOf" srcId="{7BB0B505-7D43-42E4-8FC0-6C91316CBFEB}" destId="{5C381A65-34D3-41B1-9499-0884AAA35FC6}" srcOrd="3" destOrd="0" presId="urn:microsoft.com/office/officeart/2005/8/layout/chevron2"/>
    <dgm:cxn modelId="{706F197B-0DB8-47FD-9804-C6E7E82886B7}" type="presParOf" srcId="{7BB0B505-7D43-42E4-8FC0-6C91316CBFEB}" destId="{C1BF0EA4-CB4D-4391-82EF-EC1874A282F9}" srcOrd="4" destOrd="0" presId="urn:microsoft.com/office/officeart/2005/8/layout/chevron2"/>
    <dgm:cxn modelId="{AD3408EC-97EE-4DC4-BCD7-1F44E42E849A}" type="presParOf" srcId="{C1BF0EA4-CB4D-4391-82EF-EC1874A282F9}" destId="{95C8A2DE-C1F8-4D5A-A3A4-1DC2FA1C0073}" srcOrd="0" destOrd="0" presId="urn:microsoft.com/office/officeart/2005/8/layout/chevron2"/>
    <dgm:cxn modelId="{20CB25AD-800B-49A9-ADC6-ADF3A5E803BB}" type="presParOf" srcId="{C1BF0EA4-CB4D-4391-82EF-EC1874A282F9}" destId="{BE17FEF5-EEE1-41BB-96FD-8FBB3FCF3860}" srcOrd="1" destOrd="0" presId="urn:microsoft.com/office/officeart/2005/8/layout/chevron2"/>
    <dgm:cxn modelId="{6550EE0B-BA03-4CA3-B6F7-A3E06C262944}" type="presParOf" srcId="{7BB0B505-7D43-42E4-8FC0-6C91316CBFEB}" destId="{B75C375A-956C-4F60-B1E9-A9F4CE623A2F}" srcOrd="5" destOrd="0" presId="urn:microsoft.com/office/officeart/2005/8/layout/chevron2"/>
    <dgm:cxn modelId="{F1A1B6C7-825A-49F2-AA74-919B80279628}" type="presParOf" srcId="{7BB0B505-7D43-42E4-8FC0-6C91316CBFEB}" destId="{7DC4FCD0-B1C4-4A0E-BF85-DC7A5F5E53B5}" srcOrd="6" destOrd="0" presId="urn:microsoft.com/office/officeart/2005/8/layout/chevron2"/>
    <dgm:cxn modelId="{9A297C85-0DCC-48C0-AFAC-D65D49B262DE}" type="presParOf" srcId="{7DC4FCD0-B1C4-4A0E-BF85-DC7A5F5E53B5}" destId="{718A97AC-4946-40E7-B5B7-CA8F27B1383F}" srcOrd="0" destOrd="0" presId="urn:microsoft.com/office/officeart/2005/8/layout/chevron2"/>
    <dgm:cxn modelId="{B1774EDE-4574-4D28-9D24-0C7DC6E37964}" type="presParOf" srcId="{7DC4FCD0-B1C4-4A0E-BF85-DC7A5F5E53B5}" destId="{4B30C2EE-8A30-47FF-B505-5243C29F4C7E}" srcOrd="1" destOrd="0" presId="urn:microsoft.com/office/officeart/2005/8/layout/chevron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27A074-C2B4-4B5C-8A24-9F326C135F2C}">
      <dsp:nvSpPr>
        <dsp:cNvPr id="0" name=""/>
        <dsp:cNvSpPr/>
      </dsp:nvSpPr>
      <dsp:spPr>
        <a:xfrm>
          <a:off x="2126372" y="1113"/>
          <a:ext cx="780264" cy="780264"/>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100000"/>
            </a:lnSpc>
            <a:spcBef>
              <a:spcPct val="0"/>
            </a:spcBef>
            <a:spcAft>
              <a:spcPct val="35000"/>
            </a:spcAft>
            <a:buNone/>
          </a:pPr>
          <a:r>
            <a:rPr lang="en-US" altLang="zh-CN" sz="700" b="1" kern="1200"/>
            <a:t>1.</a:t>
          </a:r>
          <a:r>
            <a:rPr lang="zh-CN" altLang="en-US" sz="700" b="1" kern="1200"/>
            <a:t>制定计划：明确项目开展方向</a:t>
          </a:r>
        </a:p>
      </dsp:txBody>
      <dsp:txXfrm>
        <a:off x="2240639" y="115380"/>
        <a:ext cx="551730" cy="551730"/>
      </dsp:txXfrm>
    </dsp:sp>
    <dsp:sp modelId="{D428F19C-A8D3-4893-AD7E-2BA65F02F820}">
      <dsp:nvSpPr>
        <dsp:cNvPr id="0" name=""/>
        <dsp:cNvSpPr/>
      </dsp:nvSpPr>
      <dsp:spPr>
        <a:xfrm rot="9000000">
          <a:off x="1910207" y="549667"/>
          <a:ext cx="207686" cy="263339"/>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1968339" y="586759"/>
        <a:ext cx="145380" cy="158003"/>
      </dsp:txXfrm>
    </dsp:sp>
    <dsp:sp modelId="{F8B36C88-C094-43A5-AB5A-4EB566E5315D}">
      <dsp:nvSpPr>
        <dsp:cNvPr id="0" name=""/>
        <dsp:cNvSpPr/>
      </dsp:nvSpPr>
      <dsp:spPr>
        <a:xfrm>
          <a:off x="1111283" y="587175"/>
          <a:ext cx="780264" cy="780264"/>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100000"/>
            </a:lnSpc>
            <a:spcBef>
              <a:spcPct val="0"/>
            </a:spcBef>
            <a:spcAft>
              <a:spcPct val="35000"/>
            </a:spcAft>
            <a:buNone/>
          </a:pPr>
          <a:r>
            <a:rPr lang="en-US" altLang="zh-CN" sz="700" b="1" kern="1200"/>
            <a:t>2.</a:t>
          </a:r>
          <a:r>
            <a:rPr altLang="en-US" sz="700" b="1" kern="1200"/>
            <a:t>项目实行：</a:t>
          </a:r>
          <a:r>
            <a:rPr lang="zh-CN" altLang="en-US" sz="700" b="1" kern="1200"/>
            <a:t>在实践中探索管理新方法</a:t>
          </a:r>
          <a:endParaRPr altLang="en-US" sz="700" b="1" kern="1200"/>
        </a:p>
      </dsp:txBody>
      <dsp:txXfrm>
        <a:off x="1225550" y="701442"/>
        <a:ext cx="551730" cy="551730"/>
      </dsp:txXfrm>
    </dsp:sp>
    <dsp:sp modelId="{1F5BB01C-B217-4932-9512-2D619A0D8B5F}">
      <dsp:nvSpPr>
        <dsp:cNvPr id="0" name=""/>
        <dsp:cNvSpPr/>
      </dsp:nvSpPr>
      <dsp:spPr>
        <a:xfrm rot="5400000">
          <a:off x="1397572" y="1425822"/>
          <a:ext cx="207686" cy="263339"/>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428725" y="1447337"/>
        <a:ext cx="145380" cy="158003"/>
      </dsp:txXfrm>
    </dsp:sp>
    <dsp:sp modelId="{ADA7BD43-8261-45C1-B84A-0D52FA1E4AE7}">
      <dsp:nvSpPr>
        <dsp:cNvPr id="0" name=""/>
        <dsp:cNvSpPr/>
      </dsp:nvSpPr>
      <dsp:spPr>
        <a:xfrm>
          <a:off x="1111283" y="1759300"/>
          <a:ext cx="780264" cy="780264"/>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100000"/>
            </a:lnSpc>
            <a:spcBef>
              <a:spcPct val="0"/>
            </a:spcBef>
            <a:spcAft>
              <a:spcPct val="35000"/>
            </a:spcAft>
            <a:buNone/>
          </a:pPr>
          <a:r>
            <a:rPr lang="en-US" altLang="zh-CN" sz="700" b="1" kern="1200"/>
            <a:t>3.</a:t>
          </a:r>
          <a:r>
            <a:rPr lang="zh-CN" altLang="en-US" sz="700" b="1" kern="1200"/>
            <a:t>深入分析：多方面具体分析考核指标</a:t>
          </a:r>
        </a:p>
      </dsp:txBody>
      <dsp:txXfrm>
        <a:off x="1225550" y="1873567"/>
        <a:ext cx="551730" cy="551730"/>
      </dsp:txXfrm>
    </dsp:sp>
    <dsp:sp modelId="{56F040CF-6F47-4847-8647-F5FDBC9F146A}">
      <dsp:nvSpPr>
        <dsp:cNvPr id="0" name=""/>
        <dsp:cNvSpPr/>
      </dsp:nvSpPr>
      <dsp:spPr>
        <a:xfrm rot="1800000">
          <a:off x="1900026" y="2307855"/>
          <a:ext cx="207686" cy="263339"/>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904200" y="2344947"/>
        <a:ext cx="145380" cy="158003"/>
      </dsp:txXfrm>
    </dsp:sp>
    <dsp:sp modelId="{4DEB6BE5-009F-44B4-83FA-1FE41DB12AD9}">
      <dsp:nvSpPr>
        <dsp:cNvPr id="0" name=""/>
        <dsp:cNvSpPr/>
      </dsp:nvSpPr>
      <dsp:spPr>
        <a:xfrm>
          <a:off x="2126372" y="2345362"/>
          <a:ext cx="780264" cy="780264"/>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100000"/>
            </a:lnSpc>
            <a:spcBef>
              <a:spcPct val="0"/>
            </a:spcBef>
            <a:spcAft>
              <a:spcPct val="35000"/>
            </a:spcAft>
            <a:buNone/>
          </a:pPr>
          <a:r>
            <a:rPr lang="en-US" altLang="zh-CN" sz="700" b="1" kern="1200"/>
            <a:t>4.</a:t>
          </a:r>
          <a:r>
            <a:rPr lang="zh-CN" altLang="en-US" sz="700" b="1" kern="1200"/>
            <a:t>常态检查：突击队发现协调解决问题</a:t>
          </a:r>
        </a:p>
      </dsp:txBody>
      <dsp:txXfrm>
        <a:off x="2240639" y="2459629"/>
        <a:ext cx="551730" cy="551730"/>
      </dsp:txXfrm>
    </dsp:sp>
    <dsp:sp modelId="{212C6A32-E039-4B6C-B264-DA671275507E}">
      <dsp:nvSpPr>
        <dsp:cNvPr id="0" name=""/>
        <dsp:cNvSpPr/>
      </dsp:nvSpPr>
      <dsp:spPr>
        <a:xfrm rot="19800000">
          <a:off x="2915116" y="2313732"/>
          <a:ext cx="207686" cy="263339"/>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2919290" y="2381977"/>
        <a:ext cx="145380" cy="158003"/>
      </dsp:txXfrm>
    </dsp:sp>
    <dsp:sp modelId="{16EAD731-A57C-4041-B559-7EC79077EC53}">
      <dsp:nvSpPr>
        <dsp:cNvPr id="0" name=""/>
        <dsp:cNvSpPr/>
      </dsp:nvSpPr>
      <dsp:spPr>
        <a:xfrm>
          <a:off x="3141462" y="1759300"/>
          <a:ext cx="780264" cy="780264"/>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100000"/>
            </a:lnSpc>
            <a:spcBef>
              <a:spcPct val="0"/>
            </a:spcBef>
            <a:spcAft>
              <a:spcPct val="35000"/>
            </a:spcAft>
            <a:buNone/>
          </a:pPr>
          <a:r>
            <a:rPr lang="en-US" altLang="zh-CN" sz="700" b="1" kern="1200"/>
            <a:t>5.</a:t>
          </a:r>
          <a:r>
            <a:rPr lang="zh-CN" altLang="en-US" sz="700" b="1" kern="1200"/>
            <a:t>管理优化：多措并举改进供电所管理</a:t>
          </a:r>
        </a:p>
      </dsp:txBody>
      <dsp:txXfrm>
        <a:off x="3255729" y="1873567"/>
        <a:ext cx="551730" cy="551730"/>
      </dsp:txXfrm>
    </dsp:sp>
    <dsp:sp modelId="{2E34DF9E-868B-4A46-AA78-8199053E3B5A}">
      <dsp:nvSpPr>
        <dsp:cNvPr id="0" name=""/>
        <dsp:cNvSpPr/>
      </dsp:nvSpPr>
      <dsp:spPr>
        <a:xfrm rot="16200000">
          <a:off x="3427751" y="1437578"/>
          <a:ext cx="207686" cy="263339"/>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3458904" y="1521399"/>
        <a:ext cx="145380" cy="158003"/>
      </dsp:txXfrm>
    </dsp:sp>
    <dsp:sp modelId="{B02DAED8-A28B-CF44-B70E-A19D47BDF42E}">
      <dsp:nvSpPr>
        <dsp:cNvPr id="0" name=""/>
        <dsp:cNvSpPr/>
      </dsp:nvSpPr>
      <dsp:spPr>
        <a:xfrm>
          <a:off x="3141462" y="587175"/>
          <a:ext cx="780264" cy="780264"/>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altLang="zh-CN" sz="700" b="1" kern="1200"/>
            <a:t>6.</a:t>
          </a:r>
          <a:r>
            <a:rPr lang="zh-CN" altLang="en-US" sz="700" b="1" kern="1200"/>
            <a:t>亮相评比：利用管理平台全方位展现工作成果</a:t>
          </a:r>
        </a:p>
      </dsp:txBody>
      <dsp:txXfrm>
        <a:off x="3255729" y="701442"/>
        <a:ext cx="551730" cy="551730"/>
      </dsp:txXfrm>
    </dsp:sp>
    <dsp:sp modelId="{F39EAA30-6709-3142-B216-D4D7889688B3}">
      <dsp:nvSpPr>
        <dsp:cNvPr id="0" name=""/>
        <dsp:cNvSpPr/>
      </dsp:nvSpPr>
      <dsp:spPr>
        <a:xfrm rot="12600000">
          <a:off x="2925297" y="555545"/>
          <a:ext cx="207686" cy="263339"/>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2983429" y="623790"/>
        <a:ext cx="145380" cy="15800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E3F4AB-32FB-4CE0-9DAC-FC4DD26B5900}">
      <dsp:nvSpPr>
        <dsp:cNvPr id="0" name=""/>
        <dsp:cNvSpPr/>
      </dsp:nvSpPr>
      <dsp:spPr>
        <a:xfrm>
          <a:off x="1518" y="1190574"/>
          <a:ext cx="929977" cy="4649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zh-CN" altLang="en-US" sz="800" kern="1200"/>
            <a:t>模拟法人独立测算</a:t>
          </a:r>
        </a:p>
      </dsp:txBody>
      <dsp:txXfrm>
        <a:off x="15137" y="1204193"/>
        <a:ext cx="902739" cy="437750"/>
      </dsp:txXfrm>
    </dsp:sp>
    <dsp:sp modelId="{B47BD6C9-6D53-4A69-975F-9CF96E25F10F}">
      <dsp:nvSpPr>
        <dsp:cNvPr id="0" name=""/>
        <dsp:cNvSpPr/>
      </dsp:nvSpPr>
      <dsp:spPr>
        <a:xfrm rot="18289469">
          <a:off x="791791" y="1137594"/>
          <a:ext cx="651399" cy="36210"/>
        </a:xfrm>
        <a:custGeom>
          <a:avLst/>
          <a:gdLst/>
          <a:ahLst/>
          <a:cxnLst/>
          <a:rect l="0" t="0" r="0" b="0"/>
          <a:pathLst>
            <a:path>
              <a:moveTo>
                <a:pt x="0" y="18105"/>
              </a:moveTo>
              <a:lnTo>
                <a:pt x="651399" y="181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101205" y="1139415"/>
        <a:ext cx="32569" cy="32569"/>
      </dsp:txXfrm>
    </dsp:sp>
    <dsp:sp modelId="{3C0D5057-54F2-42F8-ADAD-AA27A1CC1A1B}">
      <dsp:nvSpPr>
        <dsp:cNvPr id="0" name=""/>
        <dsp:cNvSpPr/>
      </dsp:nvSpPr>
      <dsp:spPr>
        <a:xfrm>
          <a:off x="1303486" y="655837"/>
          <a:ext cx="929977" cy="4649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zh-CN" altLang="en-US" sz="800" kern="1200"/>
            <a:t>模拟内部利润</a:t>
          </a:r>
        </a:p>
      </dsp:txBody>
      <dsp:txXfrm>
        <a:off x="1317105" y="669456"/>
        <a:ext cx="902739" cy="437750"/>
      </dsp:txXfrm>
    </dsp:sp>
    <dsp:sp modelId="{FA61825B-C877-4D42-AAFB-0586288A9783}">
      <dsp:nvSpPr>
        <dsp:cNvPr id="0" name=""/>
        <dsp:cNvSpPr/>
      </dsp:nvSpPr>
      <dsp:spPr>
        <a:xfrm rot="18289469">
          <a:off x="2093759" y="602857"/>
          <a:ext cx="651399" cy="36210"/>
        </a:xfrm>
        <a:custGeom>
          <a:avLst/>
          <a:gdLst/>
          <a:ahLst/>
          <a:cxnLst/>
          <a:rect l="0" t="0" r="0" b="0"/>
          <a:pathLst>
            <a:path>
              <a:moveTo>
                <a:pt x="0" y="18105"/>
              </a:moveTo>
              <a:lnTo>
                <a:pt x="651399" y="181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03174" y="604678"/>
        <a:ext cx="32569" cy="32569"/>
      </dsp:txXfrm>
    </dsp:sp>
    <dsp:sp modelId="{63712EDC-9AF8-41BC-8F72-ADF8D554FF07}">
      <dsp:nvSpPr>
        <dsp:cNvPr id="0" name=""/>
        <dsp:cNvSpPr/>
      </dsp:nvSpPr>
      <dsp:spPr>
        <a:xfrm>
          <a:off x="2605454" y="121100"/>
          <a:ext cx="929977" cy="4649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zh-CN" altLang="en-US" sz="800" kern="1200"/>
            <a:t>模拟内部利润完成率</a:t>
          </a:r>
        </a:p>
      </dsp:txBody>
      <dsp:txXfrm>
        <a:off x="2619073" y="134719"/>
        <a:ext cx="902739" cy="437750"/>
      </dsp:txXfrm>
    </dsp:sp>
    <dsp:sp modelId="{E81582B1-A130-479F-ACE3-61EF727591CE}">
      <dsp:nvSpPr>
        <dsp:cNvPr id="0" name=""/>
        <dsp:cNvSpPr/>
      </dsp:nvSpPr>
      <dsp:spPr>
        <a:xfrm>
          <a:off x="2233463" y="870226"/>
          <a:ext cx="371990" cy="36210"/>
        </a:xfrm>
        <a:custGeom>
          <a:avLst/>
          <a:gdLst/>
          <a:ahLst/>
          <a:cxnLst/>
          <a:rect l="0" t="0" r="0" b="0"/>
          <a:pathLst>
            <a:path>
              <a:moveTo>
                <a:pt x="0" y="18105"/>
              </a:moveTo>
              <a:lnTo>
                <a:pt x="371990" y="181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0159" y="879031"/>
        <a:ext cx="18599" cy="18599"/>
      </dsp:txXfrm>
    </dsp:sp>
    <dsp:sp modelId="{29F748CF-C0E7-4DEA-B3A3-0E8AEB5CA964}">
      <dsp:nvSpPr>
        <dsp:cNvPr id="0" name=""/>
        <dsp:cNvSpPr/>
      </dsp:nvSpPr>
      <dsp:spPr>
        <a:xfrm>
          <a:off x="2605454" y="655837"/>
          <a:ext cx="929977" cy="4649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zh-CN" altLang="en-US" sz="800" kern="1200"/>
            <a:t>模拟内部利润增长率</a:t>
          </a:r>
        </a:p>
      </dsp:txBody>
      <dsp:txXfrm>
        <a:off x="2619073" y="669456"/>
        <a:ext cx="902739" cy="437750"/>
      </dsp:txXfrm>
    </dsp:sp>
    <dsp:sp modelId="{162C1E81-C387-4700-97DF-88AE2E895EA8}">
      <dsp:nvSpPr>
        <dsp:cNvPr id="0" name=""/>
        <dsp:cNvSpPr/>
      </dsp:nvSpPr>
      <dsp:spPr>
        <a:xfrm rot="3310531">
          <a:off x="2093759" y="1137594"/>
          <a:ext cx="651399" cy="36210"/>
        </a:xfrm>
        <a:custGeom>
          <a:avLst/>
          <a:gdLst/>
          <a:ahLst/>
          <a:cxnLst/>
          <a:rect l="0" t="0" r="0" b="0"/>
          <a:pathLst>
            <a:path>
              <a:moveTo>
                <a:pt x="0" y="18105"/>
              </a:moveTo>
              <a:lnTo>
                <a:pt x="651399" y="181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03174" y="1139415"/>
        <a:ext cx="32569" cy="32569"/>
      </dsp:txXfrm>
    </dsp:sp>
    <dsp:sp modelId="{B4DD8C6C-644E-45C9-876A-72766A8FFECF}">
      <dsp:nvSpPr>
        <dsp:cNvPr id="0" name=""/>
        <dsp:cNvSpPr/>
      </dsp:nvSpPr>
      <dsp:spPr>
        <a:xfrm>
          <a:off x="2605454" y="1190574"/>
          <a:ext cx="929977" cy="4649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altLang="en-US" sz="800" kern="1200"/>
            <a:t>模拟内部利润贡献率</a:t>
          </a:r>
        </a:p>
      </dsp:txBody>
      <dsp:txXfrm>
        <a:off x="2619073" y="1204193"/>
        <a:ext cx="902739" cy="437750"/>
      </dsp:txXfrm>
    </dsp:sp>
    <dsp:sp modelId="{2E81B90F-7494-41FF-808F-F7F82B993B40}">
      <dsp:nvSpPr>
        <dsp:cNvPr id="0" name=""/>
        <dsp:cNvSpPr/>
      </dsp:nvSpPr>
      <dsp:spPr>
        <a:xfrm rot="3310531">
          <a:off x="791791" y="1672331"/>
          <a:ext cx="651399" cy="36210"/>
        </a:xfrm>
        <a:custGeom>
          <a:avLst/>
          <a:gdLst/>
          <a:ahLst/>
          <a:cxnLst/>
          <a:rect l="0" t="0" r="0" b="0"/>
          <a:pathLst>
            <a:path>
              <a:moveTo>
                <a:pt x="0" y="18105"/>
              </a:moveTo>
              <a:lnTo>
                <a:pt x="651399" y="181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101205" y="1674151"/>
        <a:ext cx="32569" cy="32569"/>
      </dsp:txXfrm>
    </dsp:sp>
    <dsp:sp modelId="{3D382021-A429-4403-82FF-5A95DD3EBB20}">
      <dsp:nvSpPr>
        <dsp:cNvPr id="0" name=""/>
        <dsp:cNvSpPr/>
      </dsp:nvSpPr>
      <dsp:spPr>
        <a:xfrm>
          <a:off x="1303486" y="1725311"/>
          <a:ext cx="929977" cy="4649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zh-CN" altLang="en-US" sz="800" kern="1200"/>
            <a:t>模拟投资效能</a:t>
          </a:r>
        </a:p>
      </dsp:txBody>
      <dsp:txXfrm>
        <a:off x="1317105" y="1738930"/>
        <a:ext cx="902739" cy="437750"/>
      </dsp:txXfrm>
    </dsp:sp>
    <dsp:sp modelId="{B68D4CB7-ED76-4EEE-B7F0-455597F5F947}">
      <dsp:nvSpPr>
        <dsp:cNvPr id="0" name=""/>
        <dsp:cNvSpPr/>
      </dsp:nvSpPr>
      <dsp:spPr>
        <a:xfrm>
          <a:off x="2233463" y="1939699"/>
          <a:ext cx="371990" cy="36210"/>
        </a:xfrm>
        <a:custGeom>
          <a:avLst/>
          <a:gdLst/>
          <a:ahLst/>
          <a:cxnLst/>
          <a:rect l="0" t="0" r="0" b="0"/>
          <a:pathLst>
            <a:path>
              <a:moveTo>
                <a:pt x="0" y="18105"/>
              </a:moveTo>
              <a:lnTo>
                <a:pt x="371990" y="181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0159" y="1948505"/>
        <a:ext cx="18599" cy="18599"/>
      </dsp:txXfrm>
    </dsp:sp>
    <dsp:sp modelId="{402901F7-4C4B-47C4-BE12-824FDFB99F9B}">
      <dsp:nvSpPr>
        <dsp:cNvPr id="0" name=""/>
        <dsp:cNvSpPr/>
      </dsp:nvSpPr>
      <dsp:spPr>
        <a:xfrm>
          <a:off x="2605454" y="1725311"/>
          <a:ext cx="929977" cy="4649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zh-CN" altLang="en-US" sz="800" kern="1200"/>
            <a:t>测算各供电所的实际资产收入水平</a:t>
          </a:r>
        </a:p>
      </dsp:txBody>
      <dsp:txXfrm>
        <a:off x="2619073" y="1738930"/>
        <a:ext cx="902739" cy="4377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6E3110-57E1-4619-A55C-DCD0DD5CE084}">
      <dsp:nvSpPr>
        <dsp:cNvPr id="0" name=""/>
        <dsp:cNvSpPr/>
      </dsp:nvSpPr>
      <dsp:spPr>
        <a:xfrm rot="5400000">
          <a:off x="-137398" y="138313"/>
          <a:ext cx="915990" cy="64119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zh-CN" altLang="en-US" sz="1200" kern="1200"/>
            <a:t>组织领导</a:t>
          </a:r>
        </a:p>
      </dsp:txBody>
      <dsp:txXfrm rot="-5400000">
        <a:off x="1" y="321512"/>
        <a:ext cx="641193" cy="274797"/>
      </dsp:txXfrm>
    </dsp:sp>
    <dsp:sp modelId="{544D3F38-216B-445A-B1B9-8008AEDB7A9D}">
      <dsp:nvSpPr>
        <dsp:cNvPr id="0" name=""/>
        <dsp:cNvSpPr/>
      </dsp:nvSpPr>
      <dsp:spPr>
        <a:xfrm rot="5400000">
          <a:off x="2448599" y="-1806491"/>
          <a:ext cx="595393" cy="421020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100000"/>
            </a:lnSpc>
            <a:spcBef>
              <a:spcPct val="0"/>
            </a:spcBef>
            <a:spcAft>
              <a:spcPct val="15000"/>
            </a:spcAft>
            <a:buChar char="•"/>
          </a:pPr>
          <a:r>
            <a:rPr lang="zh-CN" altLang="en-US" sz="1000" kern="1200"/>
            <a:t>由财务资产部门牵头，办公室（党委办公室）、党委组织部（人力资源部）、党委党建部（党委宣传部、工会、团委）、集体企业管理办公室等部门人员组成</a:t>
          </a:r>
        </a:p>
      </dsp:txBody>
      <dsp:txXfrm rot="-5400000">
        <a:off x="641193" y="29980"/>
        <a:ext cx="4181141" cy="537263"/>
      </dsp:txXfrm>
    </dsp:sp>
    <dsp:sp modelId="{722E1094-83C7-45E2-B20F-DB9D09AD94F0}">
      <dsp:nvSpPr>
        <dsp:cNvPr id="0" name=""/>
        <dsp:cNvSpPr/>
      </dsp:nvSpPr>
      <dsp:spPr>
        <a:xfrm rot="5400000">
          <a:off x="-137398" y="901290"/>
          <a:ext cx="915990" cy="64119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zh-CN" altLang="en-US" sz="1200" kern="1200"/>
            <a:t>主要任务</a:t>
          </a:r>
        </a:p>
      </dsp:txBody>
      <dsp:txXfrm rot="-5400000">
        <a:off x="1" y="1084489"/>
        <a:ext cx="641193" cy="274797"/>
      </dsp:txXfrm>
    </dsp:sp>
    <dsp:sp modelId="{AC67BBE6-9B82-4D3D-BF22-48713AF46E9C}">
      <dsp:nvSpPr>
        <dsp:cNvPr id="0" name=""/>
        <dsp:cNvSpPr/>
      </dsp:nvSpPr>
      <dsp:spPr>
        <a:xfrm rot="5400000">
          <a:off x="2448599" y="-1043514"/>
          <a:ext cx="595393" cy="421020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100000"/>
            </a:lnSpc>
            <a:spcBef>
              <a:spcPct val="0"/>
            </a:spcBef>
            <a:spcAft>
              <a:spcPct val="15000"/>
            </a:spcAft>
            <a:buChar char="•"/>
          </a:pPr>
          <a:r>
            <a:rPr lang="zh-CN" altLang="en-US" sz="1000" kern="1200"/>
            <a:t>是建立任务清单和责任清单，制定量化指标，加强现场督导和宣传交流，提炼工作亮点和成效、开展成效评估，完成省、市公司制定的提质增效工作任务和细化措施。</a:t>
          </a:r>
        </a:p>
      </dsp:txBody>
      <dsp:txXfrm rot="-5400000">
        <a:off x="641193" y="792957"/>
        <a:ext cx="4181141" cy="537263"/>
      </dsp:txXfrm>
    </dsp:sp>
    <dsp:sp modelId="{95C8A2DE-C1F8-4D5A-A3A4-1DC2FA1C0073}">
      <dsp:nvSpPr>
        <dsp:cNvPr id="0" name=""/>
        <dsp:cNvSpPr/>
      </dsp:nvSpPr>
      <dsp:spPr>
        <a:xfrm rot="5400000">
          <a:off x="-137398" y="1664266"/>
          <a:ext cx="915990" cy="64119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zh-CN" altLang="en-US" sz="1200" kern="1200"/>
            <a:t>工作机制</a:t>
          </a:r>
        </a:p>
      </dsp:txBody>
      <dsp:txXfrm rot="-5400000">
        <a:off x="1" y="1847465"/>
        <a:ext cx="641193" cy="274797"/>
      </dsp:txXfrm>
    </dsp:sp>
    <dsp:sp modelId="{BE17FEF5-EEE1-41BB-96FD-8FBB3FCF3860}">
      <dsp:nvSpPr>
        <dsp:cNvPr id="0" name=""/>
        <dsp:cNvSpPr/>
      </dsp:nvSpPr>
      <dsp:spPr>
        <a:xfrm rot="5400000">
          <a:off x="2448599" y="-280538"/>
          <a:ext cx="595393" cy="421020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100000"/>
            </a:lnSpc>
            <a:spcBef>
              <a:spcPct val="0"/>
            </a:spcBef>
            <a:spcAft>
              <a:spcPct val="15000"/>
            </a:spcAft>
            <a:buChar char="•"/>
          </a:pPr>
          <a:r>
            <a:rPr lang="zh-CN" altLang="en-US" sz="1000" kern="1200"/>
            <a:t>例会、专题、季度推进会；周通报、月通报；公司领导调研、协同专项调研；“党建+提质增效”融合机制</a:t>
          </a:r>
        </a:p>
      </dsp:txBody>
      <dsp:txXfrm rot="-5400000">
        <a:off x="641193" y="1555933"/>
        <a:ext cx="4181141" cy="537263"/>
      </dsp:txXfrm>
    </dsp:sp>
    <dsp:sp modelId="{718A97AC-4946-40E7-B5B7-CA8F27B1383F}">
      <dsp:nvSpPr>
        <dsp:cNvPr id="0" name=""/>
        <dsp:cNvSpPr/>
      </dsp:nvSpPr>
      <dsp:spPr>
        <a:xfrm rot="5400000">
          <a:off x="-137398" y="2427243"/>
          <a:ext cx="915990" cy="64119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zh-CN" altLang="en-US" sz="1200" kern="1200"/>
            <a:t>工作举措</a:t>
          </a:r>
          <a:endParaRPr altLang="en-US" sz="1200" kern="1200"/>
        </a:p>
      </dsp:txBody>
      <dsp:txXfrm rot="-5400000">
        <a:off x="1" y="2610442"/>
        <a:ext cx="641193" cy="274797"/>
      </dsp:txXfrm>
    </dsp:sp>
    <dsp:sp modelId="{4B30C2EE-8A30-47FF-B505-5243C29F4C7E}">
      <dsp:nvSpPr>
        <dsp:cNvPr id="0" name=""/>
        <dsp:cNvSpPr/>
      </dsp:nvSpPr>
      <dsp:spPr>
        <a:xfrm rot="5400000">
          <a:off x="2448599" y="482438"/>
          <a:ext cx="595393" cy="421020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100000"/>
            </a:lnSpc>
            <a:spcBef>
              <a:spcPct val="0"/>
            </a:spcBef>
            <a:spcAft>
              <a:spcPct val="15000"/>
            </a:spcAft>
            <a:buChar char="•"/>
          </a:pPr>
          <a:r>
            <a:rPr lang="zh-CN" altLang="en-US" sz="1000" kern="1200"/>
            <a:t>广泛宣传动员；征集合理化建议；协调督导提质增效工作；总结评估成效</a:t>
          </a:r>
          <a:endParaRPr sz="1000" kern="1200"/>
        </a:p>
      </dsp:txBody>
      <dsp:txXfrm rot="-5400000">
        <a:off x="641193" y="2318910"/>
        <a:ext cx="4181141" cy="537263"/>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3">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rSet qsTypeId="urn:microsoft.com/office/officeart/2005/8/quickstyle/simple5"/>
        </dgm:pt>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rSet csTypeId="urn:microsoft.com/office/officeart/2005/8/colors/accent6_5"/>
        </dgm:pt>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2">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9">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10">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2B83CF3-CF22-46F8-929B-FC821C1CA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1926</Words>
  <Characters>10984</Characters>
  <Application>Microsoft Office Word</Application>
  <DocSecurity>0</DocSecurity>
  <Lines>91</Lines>
  <Paragraphs>25</Paragraphs>
  <ScaleCrop>false</ScaleCrop>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邓亚娇</dc:creator>
  <cp:lastModifiedBy>Deng DK</cp:lastModifiedBy>
  <cp:revision>42</cp:revision>
  <cp:lastPrinted>2020-10-23T07:49:00Z</cp:lastPrinted>
  <dcterms:created xsi:type="dcterms:W3CDTF">2020-09-05T20:24:00Z</dcterms:created>
  <dcterms:modified xsi:type="dcterms:W3CDTF">2020-10-27T02:38:00Z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2052-10.8.2.6613</vt:lpwstr>
  </property>
</Properties>
</file>