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市三新公司2023年工作思路谋划材料</w:t>
      </w:r>
    </w:p>
    <w:bookmarkStart w:id="22" w:name="一2022年工作总结"/>
    <w:p>
      <w:pPr>
        <w:pStyle w:val="Heading1"/>
      </w:pPr>
      <w:r>
        <w:rPr>
          <w:bCs/>
          <w:b/>
        </w:rPr>
        <w:t xml:space="preserve">一、2022年工作总结</w:t>
      </w:r>
    </w:p>
    <w:p>
      <w:pPr>
        <w:pStyle w:val="FirstParagraph"/>
      </w:pPr>
      <w:r>
        <w:t xml:space="preserve">2022年市三新公司真抓实干、勇毅前行，团结奋斗、锐意进取，人力资源、财务管理和市场化业务集约化管理齐头并进，党建队伍文化协调发展，“六统一”后管理深化稳定协调推进，市县两级三新公司呈现出上下一体、团结协作，滚滚向前的发展劲头、昂扬向上的发展态势。</w:t>
      </w:r>
    </w:p>
    <w:bookmarkStart w:id="20" w:name="一主要指标完成情况"/>
    <w:p>
      <w:pPr>
        <w:pStyle w:val="Heading2"/>
      </w:pPr>
      <w:r>
        <w:t xml:space="preserve">（一）主要指标完成情况</w:t>
      </w:r>
    </w:p>
    <w:p>
      <w:pPr>
        <w:pStyle w:val="FirstParagraph"/>
      </w:pPr>
      <w:r>
        <w:t xml:space="preserve">全年实现产值 35845 万元，利润总额 28.7万元。其中农维费33265.4万元，农维费之外收入2579.8万元，占产值比7.2%。全年签订农维费之外市场化业务合同91份，合同额 1092.6万元，相比“六统一”之前锐减3945.2万元。其中内部市场合同13份，合同额485.7万元，占比44.5%；外部市场合同78份，合同额606.8万元，占比55.5%。</w:t>
      </w:r>
    </w:p>
    <w:p>
      <w:pPr>
        <w:pStyle w:val="BodyText"/>
      </w:pPr>
      <w:r>
        <w:t xml:space="preserve">截止12月31日，供服职工人数为2205人，其中2022年招聘新员工68人，平均年龄46.2岁。“一长三员”235人，占比10.7%，配置率达到100%。三～七级工匠84人，其中三级2人、四级1人、五级8人、六级25人、七级48人。中级工及以上人员占比53.3%。供服职工党员550人，占比24.9%。</w:t>
      </w:r>
    </w:p>
    <w:bookmarkEnd w:id="20"/>
    <w:bookmarkStart w:id="21" w:name="二重点工作举措及成效"/>
    <w:p>
      <w:pPr>
        <w:pStyle w:val="Heading2"/>
      </w:pPr>
      <w:r>
        <w:t xml:space="preserve">（二）重点工作举措及成效</w:t>
      </w:r>
    </w:p>
    <w:p>
      <w:pPr>
        <w:pStyle w:val="FirstParagraph"/>
      </w:pPr>
      <w:r>
        <w:rPr>
          <w:bCs/>
          <w:b/>
        </w:rPr>
        <w:t xml:space="preserve">一是省公司“六统一”改革红利充分释放，广大供服职工干事创业的工作热情凝聚了市县两级三新公司上下团结奋斗的强大合力，形成了蓬勃发展的良好态势。</w:t>
      </w:r>
      <w:r>
        <w:t xml:space="preserve">2022年供服职工工资收入稳步持续增长，集中攻坚补缴医疗和养老保险2670万元，为1305名供服职工解决了历年社保遗留问题。</w:t>
      </w:r>
    </w:p>
    <w:p>
      <w:pPr>
        <w:pStyle w:val="BodyText"/>
      </w:pPr>
      <w:r>
        <w:rPr>
          <w:bCs/>
          <w:b/>
        </w:rPr>
        <w:t xml:space="preserve">二是形成了系统的谋发展、抓过程、促转型、保目标、优服务、夯基础、强党建、促文化、带队伍的普遍共识。</w:t>
      </w:r>
      <w:r>
        <w:t xml:space="preserve">市三新公司确立“一个领先三个A”的奋斗目标，主动担当作为，始终坚持以省公司人资2021年28号文为纲领，严格按照省公司给地市三新公司划定的职责界面，牢牢把握人力资源、财务和市场化工程业务集约化管理这三条主线，建流程、立规则、夯基础。在人力资源管理上，统一规范了分公司月（季）、年度绩效发放和专项奖管理模式。自主开发“一键算薪”数字化应用，贯通组织绩效与个人绩效挂钩的“最后一百米”，实现供电所“月考月兑”100%全覆盖。在财务管理上，将农维费预算管理由年终汇总清算调整为按季度预算管控模式，一举扭转了以往人工成本和管理费进度失衡的粗放管理局面。统一会计核算科目，固化会计核算标准和附件要求，出台《会计基础管理实施细则》，及时弥补了原省公司2012年版《农维费管理办法》的不足。积极响应市公司“合规管理强化年”活动要求，以供电所食堂经费报销为重点，开展财务内控合规劳动竞赛，基层报账员热情响应、积极参与、竞赛氛围浓厚，三新财务基础工作规范化水平在“以赛代训”中得到明显提升。在市场化工程业务管理上，主要发挥企业资质优势参与省公司集中招标承接了市公司主业属地化项目：计量装置建设与改造1300万元、运维检修施工（35KV）250万元。</w:t>
      </w:r>
    </w:p>
    <w:p>
      <w:pPr>
        <w:pStyle w:val="BodyText"/>
      </w:pPr>
      <w:r>
        <w:rPr>
          <w:bCs/>
          <w:b/>
        </w:rPr>
        <w:t xml:space="preserve">三是“五强三优”本部建设初显成效，市三新公司本部</w:t>
      </w:r>
      <w:r>
        <w:rPr>
          <w:bCs/>
          <w:b/>
        </w:rPr>
        <w:t xml:space="preserve">“娘家人”</w:t>
      </w:r>
      <w:r>
        <w:rPr>
          <w:bCs/>
          <w:b/>
        </w:rPr>
        <w:t xml:space="preserve">作用初步彰显，本部工作节奏明显加快，工作质量明显提高。分公司基础薄弱状况得到明显改变，“</w:t>
      </w:r>
      <w:r>
        <w:rPr>
          <w:bCs/>
          <w:b/>
        </w:rPr>
        <w:t xml:space="preserve">各自为政、整体粗放</w:t>
      </w:r>
      <w:r>
        <w:rPr>
          <w:bCs/>
          <w:b/>
        </w:rPr>
        <w:t xml:space="preserve">”得到很大改善。</w:t>
      </w:r>
      <w:r>
        <w:t xml:space="preserve">党支部坚持“三会一课”制度，深化与孝昌季店供电所“红心结对”；打造本部“作风看板”，以人力资源、财务预算、综合事务服务三类岗位人员为主要对象，全面加强作风建设；实施《市县两级三新公司本部“一体化管理方案”》，建立专业对标式考核指标体系，月积分、季汇总、年兑现，通过亮成绩、比贡献，激发两级本部员工干事热情。</w:t>
      </w:r>
    </w:p>
    <w:bookmarkEnd w:id="21"/>
    <w:bookmarkEnd w:id="22"/>
    <w:bookmarkStart w:id="23" w:name="二面临的形势及存在的问题"/>
    <w:p>
      <w:pPr>
        <w:pStyle w:val="Heading1"/>
      </w:pPr>
      <w:r>
        <w:rPr>
          <w:bCs/>
          <w:b/>
        </w:rPr>
        <w:t xml:space="preserve">二、面临的形势及存在的问题</w:t>
      </w:r>
    </w:p>
    <w:p>
      <w:pPr>
        <w:pStyle w:val="FirstParagraph"/>
      </w:pPr>
      <w:r>
        <w:t xml:space="preserve">省公司“六统一”“双回流”政策全面实施后，供服职工薪酬待遇明显提升，职业发展通道明显拓宽，员工的归属感、责任感明显增强，工作主动性、积极性大幅激发。但由于历史原因，加之数字化转型加速，供电所目前仍面临“能登杆、会系统”等核心业务承载力不足、人员素质能力与供电所网格服务和新兴业务拓展不相匹配、科学系统的培训考核激励机制尚未健全、精准及时的绩效考核分配机制还不完善等问题，人力资源仍未充分盘活，制约了供电所的发展。</w:t>
      </w:r>
    </w:p>
    <w:bookmarkEnd w:id="23"/>
    <w:bookmarkStart w:id="29" w:name="三2023年重点工作安排"/>
    <w:p>
      <w:pPr>
        <w:pStyle w:val="Heading1"/>
      </w:pPr>
      <w:r>
        <w:rPr>
          <w:bCs/>
          <w:b/>
        </w:rPr>
        <w:t xml:space="preserve">三、2023年重点工作安排</w:t>
      </w:r>
    </w:p>
    <w:p>
      <w:pPr>
        <w:pStyle w:val="FirstParagraph"/>
      </w:pPr>
      <w:r>
        <w:t xml:space="preserve">学习贯彻习近平新时代中国特色社会主义思想和党的二十大精神，结合李生权董事长、吴英姿总经理调研孝感公司讲话精神，以“一个领先三个A“目标为引领，问题导向、因地制宜、数字驱动和业务方向，围绕“营销、生产、属地协调”三大核心业务，聚焦“能登杆、会系统”等核心技能提升，优化绩效考核分配机制，盘活人力资源，补齐当前核心业务承载力不足等短板，以数字化赋能供电所转型发展，着力培养一支“懂业务、爱农村、爱农民”的乡村供电服务队伍。</w:t>
      </w:r>
    </w:p>
    <w:bookmarkStart w:id="24" w:name="一指标驱动补齐高技能人才占比不足的短板"/>
    <w:p>
      <w:pPr>
        <w:pStyle w:val="Heading2"/>
      </w:pPr>
      <w:r>
        <w:t xml:space="preserve">（一）指标驱动，补齐高技能人才占比不足的短板</w:t>
      </w:r>
    </w:p>
    <w:p>
      <w:pPr>
        <w:pStyle w:val="FirstParagraph"/>
      </w:pPr>
      <w:r>
        <w:t xml:space="preserve">年初，市三新公司提出中级工及以上占比达到65%的年度目标建议被市公司采纳并写入《供电所管理提升三年行动方案》，但因疫情影响省公司延后了当年中级工技能鉴定考核。2023年我们将持续跟进紧盯目标不放松，一是出台技能晋级绩效激励政策，二是精心组织好考前集训，三是分公司分工包保定期组织模拟考试督促学员自学，四是持之以恒坚持举办每周四三新云自习室答疑解惑，五是学员考试学习情况月度例会通报。力争实现现供服职工人才当量密度达到0.6以上，高技能人才比例达到15%以上。</w:t>
      </w:r>
    </w:p>
    <w:bookmarkEnd w:id="24"/>
    <w:bookmarkStart w:id="25" w:name="二久久为功持续抓好一长三员和工匠评价考核"/>
    <w:p>
      <w:pPr>
        <w:pStyle w:val="Heading2"/>
      </w:pPr>
      <w:r>
        <w:t xml:space="preserve">（二）久久为功，持续抓好“一长三员”和工匠评价考核</w:t>
      </w:r>
    </w:p>
    <w:p>
      <w:pPr>
        <w:pStyle w:val="FirstParagraph"/>
      </w:pPr>
      <w:r>
        <w:t xml:space="preserve">结合“班组建设深化年”活动，深化推动“职务+工匠”双通道建设，强化“一长三员”配置后管理，严格上岗条件审核，结合三项制度改革，做好岗位能上能下。统计分析各类人员薪酬水平，出台“一长三员”和工匠薪酬分配指导意见。以价值创造为衡量标准，注重发挥各级工匠在供电网格服务、有源配电网运维、新兴业务拓展中的示范引领能力和对供电所的价值创造能力。分类构建评价考核模型，供电所长突出管理能力、专业能力、协调能力，安全员突出安全监管与现场管控能力，技术员突出专业技术能力，绩效员突出政策学习执行和沟通协调能力，内勤组长突出组织能力与内务管理及培训能力，外勤组长突出组织协调与现场管控及培训能力，培养和选拔一批“精通业务、勇于担当、乐于奉献、公道正派、团结同志”的供电所班组长队伍。</w:t>
      </w:r>
    </w:p>
    <w:bookmarkEnd w:id="25"/>
    <w:bookmarkStart w:id="26" w:name="三应用驱动以一键算薪项目带动人资整体数字化建设"/>
    <w:p>
      <w:pPr>
        <w:pStyle w:val="Heading2"/>
      </w:pPr>
      <w:r>
        <w:t xml:space="preserve">（三）应用驱动，以“一键算薪”项目带动人资整体数字化建设</w:t>
      </w:r>
    </w:p>
    <w:p>
      <w:pPr>
        <w:pStyle w:val="FirstParagraph"/>
      </w:pPr>
      <w:r>
        <w:t xml:space="preserve">“一键算薪”项目是以岗位绩效工资制度为基础，贯通组织绩效与个人绩效，以供电所积分制考核为依据的一套智能化算薪系统，只要输入个人月度积分就能自动算出个人当月绩效并可视化展示，大大提高了薪酬集中审核工作效率。2023年，要进一步推动“一键算薪”深化应用，做实做好供电所“一所一模式”积分库建设和分公司本部绩效考核管理，争取对接融入“供电所综合业务一网通”系统，实现绩效考核过程“一站式”考评，绩效结果“一张图”展示，绩效工资“一键式”发放。</w:t>
      </w:r>
    </w:p>
    <w:bookmarkEnd w:id="26"/>
    <w:bookmarkStart w:id="27" w:name="四精准发力推动建立供服职工金三角培训体系"/>
    <w:p>
      <w:pPr>
        <w:pStyle w:val="Heading2"/>
      </w:pPr>
      <w:r>
        <w:t xml:space="preserve">（四）精准发力，推动建立供服职工“金三角”培训体系</w:t>
      </w:r>
    </w:p>
    <w:p>
      <w:pPr>
        <w:pStyle w:val="FirstParagraph"/>
      </w:pPr>
      <w:r>
        <w:t xml:space="preserve">精准发力，着力解决人力资源现状与公司发展需求不相适应等问题。制定供服职工三年轮训计划，从业务技能提升和心理健康关怀两个维度着手，重点聚焦“一张三员”等关键骨干人才，推动构建以供电所为主体的培训责任体系、以内训师为引领的人才培训支撑体系、以课程开发为核心的培训内容体系，从责任主体、人才支撑、课程内容三个角度形成一个“金三角”培训体系。在供电所层面建立“三新联络员”机制，融合兼职报账员、培训助教、综合事务三项兼职工作，实现每一名供服职工培训“一人一档”，打造“市三新公司-分公司-三新联络员”的三级贯通体系。在市三新公司层面建立首席内训师考核激励机制，大力推广“案例教学”，整合内外部资源，精心打磨开发针对供电所实际需求的培训课程，让供电所真心实意愿意送培、让供服职工心甘情愿参培，让培训不再是“鸡肋”。</w:t>
      </w:r>
    </w:p>
    <w:bookmarkEnd w:id="27"/>
    <w:bookmarkStart w:id="28" w:name="五勇于突围抓好党建队伍建设和企业文化建设工作"/>
    <w:p>
      <w:pPr>
        <w:pStyle w:val="Heading2"/>
      </w:pPr>
      <w:r>
        <w:t xml:space="preserve">（五）勇于“突围”，抓好党建、队伍建设和企业文化建设工作</w:t>
      </w:r>
    </w:p>
    <w:p>
      <w:pPr>
        <w:pStyle w:val="FirstParagraph"/>
      </w:pPr>
      <w:r>
        <w:t xml:space="preserve">在“六统一”“双回流”改革落地背景下，市县两级三新公司本部管理能力和工作水平难以适应当前形势。我们只有旗帜领航、真抓实干、团结奋斗，义不逃责，事不避难。积极应对“退休潮”，以绩效加分等方式鼓励供服职工跨所交流，实现各单位供电所人力资源相对平衡，提高供电所整体承载力。加快推动实现供服职工医保市级统筹，继续深化分公司负责人年度业绩考核体系建设，组建财务专业柔性团队，建立会计科目负责制，压实各分公司数据合规责任。开展“作风建设深化年”活动，更大力度推进市县两级三新公司本部管理一体化。从中原突围精神中汲取智慧和力量，将继承中原突围精神融入到“旗帜领航”党支部建设之中，在转型发展最前沿、服务供电所第一线，切实发挥好党的政治优势、组织优势，激发干部员工勇于“突围”、一往无前的劲头，凝聚精气神，为助力冲刺“华中区域领先、国网第一方阵”目标作出孝感三新贡献。</w:t>
      </w:r>
    </w:p>
    <w:bookmarkEnd w:id="28"/>
    <w:bookmarkEnd w:id="29"/>
    <w:bookmarkStart w:id="30" w:name="四对公司工作的意见和建议"/>
    <w:p>
      <w:pPr>
        <w:pStyle w:val="Heading1"/>
      </w:pPr>
      <w:r>
        <w:rPr>
          <w:bCs/>
          <w:b/>
        </w:rPr>
        <w:t xml:space="preserve">四、对公司工作的意见和建议</w:t>
      </w:r>
    </w:p>
    <w:p>
      <w:pPr>
        <w:pStyle w:val="FirstParagraph"/>
      </w:pPr>
      <w:r>
        <w:t xml:space="preserve">建议:协同加快各职能部门对供电所绩效考核的时效性，有力推动供服职工绩效工资“一键算薪”月考月兑，有效发挥薪酬激励的时效性。</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市三新公司2023年工作思路谋划材料</dc:title>
  <dc:creator/>
  <cp:keywords/>
  <dcterms:created xsi:type="dcterms:W3CDTF">2022-12-30T08:53:21Z</dcterms:created>
  <dcterms:modified xsi:type="dcterms:W3CDTF">2022-12-30T08:53:21Z</dcterms:modified>
</cp:coreProperties>
</file>

<file path=docProps/custom.xml><?xml version="1.0" encoding="utf-8"?>
<Properties xmlns="http://schemas.openxmlformats.org/officeDocument/2006/custom-properties" xmlns:vt="http://schemas.openxmlformats.org/officeDocument/2006/docPropsVTypes"/>
</file>