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704DD">
      <w:pPr>
        <w:pStyle w:val="31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国内电商</w:t>
      </w:r>
    </w:p>
    <w:p w14:paraId="207C7643">
      <w:pPr>
        <w:pStyle w:val="31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用户信息反馈收集操作指引</w:t>
      </w:r>
    </w:p>
    <w:p w14:paraId="205C25C1">
      <w:pPr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文档版本：V1.3</w:t>
      </w:r>
    </w:p>
    <w:p w14:paraId="4D0F9E19">
      <w:pPr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生效日期：2026年</w:t>
      </w: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15"/>
          <w:szCs w:val="15"/>
        </w:rPr>
        <w:t>月1日</w:t>
      </w:r>
    </w:p>
    <w:p w14:paraId="392A3B0C">
      <w:pPr>
        <w:rPr>
          <w:rFonts w:hint="default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编制单位：</w:t>
      </w: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内贸电商部</w:t>
      </w:r>
    </w:p>
    <w:p w14:paraId="25C0F2E0">
      <w:pPr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br w:type="page"/>
      </w:r>
    </w:p>
    <w:p w14:paraId="03C56C28">
      <w:pPr>
        <w:pStyle w:val="3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目录</w:t>
      </w:r>
    </w:p>
    <w:p w14:paraId="1A5712F2">
      <w:pPr>
        <w:ind w:left="432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sz w:val="15"/>
          <w:szCs w:val="15"/>
        </w:rPr>
        <w:t>1. 总则</w:t>
      </w:r>
    </w:p>
    <w:p w14:paraId="633F0593">
      <w:pPr>
        <w:ind w:left="432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sz w:val="15"/>
          <w:szCs w:val="15"/>
        </w:rPr>
        <w:t>2. 分渠道操作指引</w:t>
      </w:r>
    </w:p>
    <w:p w14:paraId="75B09D06">
      <w:pPr>
        <w:ind w:left="432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 w:val="15"/>
          <w:szCs w:val="15"/>
        </w:rPr>
        <w:t>. 违规处罚条例</w:t>
      </w:r>
    </w:p>
    <w:p w14:paraId="2FB7CFEE">
      <w:pPr>
        <w:ind w:left="432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sz w:val="15"/>
          <w:szCs w:val="15"/>
        </w:rPr>
        <w:t>. 附则</w:t>
      </w:r>
    </w:p>
    <w:p w14:paraId="1DF3127C">
      <w:pPr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br w:type="page"/>
      </w:r>
    </w:p>
    <w:p w14:paraId="5F3D6071">
      <w:pPr>
        <w:pStyle w:val="3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1. 总则</w:t>
      </w:r>
    </w:p>
    <w:p w14:paraId="10A164AD">
      <w:pPr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1.1 目标</w:t>
      </w:r>
      <w:r>
        <w:rPr>
          <w:rFonts w:hint="eastAsia" w:ascii="微软雅黑" w:hAnsi="微软雅黑" w:eastAsia="微软雅黑" w:cs="微软雅黑"/>
          <w:sz w:val="15"/>
          <w:szCs w:val="15"/>
        </w:rPr>
        <w:br w:type="textWrapping"/>
      </w:r>
      <w:r>
        <w:rPr>
          <w:rFonts w:hint="eastAsia" w:ascii="微软雅黑" w:hAnsi="微软雅黑" w:eastAsia="微软雅黑" w:cs="微软雅黑"/>
          <w:sz w:val="15"/>
          <w:szCs w:val="15"/>
        </w:rPr>
        <w:t>建立</w:t>
      </w: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国内电商平台</w:t>
      </w:r>
      <w:r>
        <w:rPr>
          <w:rFonts w:hint="eastAsia" w:ascii="微软雅黑" w:hAnsi="微软雅黑" w:eastAsia="微软雅黑" w:cs="微软雅黑"/>
          <w:sz w:val="15"/>
          <w:szCs w:val="15"/>
        </w:rPr>
        <w:t>全渠道、无死角的用户反馈收集网络，确保用户声音"听得见、收得全、录得准"。</w:t>
      </w:r>
    </w:p>
    <w:p w14:paraId="7FFE46CC">
      <w:pPr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1.2 核心原则</w:t>
      </w:r>
      <w:r>
        <w:rPr>
          <w:rFonts w:hint="eastAsia" w:ascii="微软雅黑" w:hAnsi="微软雅黑" w:eastAsia="微软雅黑" w:cs="微软雅黑"/>
          <w:sz w:val="15"/>
          <w:szCs w:val="15"/>
        </w:rPr>
        <w:br w:type="textWrapping"/>
      </w:r>
      <w:r>
        <w:rPr>
          <w:rFonts w:hint="eastAsia" w:ascii="微软雅黑" w:hAnsi="微软雅黑" w:eastAsia="微软雅黑" w:cs="微软雅黑"/>
          <w:sz w:val="15"/>
          <w:szCs w:val="15"/>
        </w:rPr>
        <w:t>- 主动性：主动寻找反馈，不等用户上门。</w:t>
      </w:r>
      <w:r>
        <w:rPr>
          <w:rFonts w:hint="eastAsia" w:ascii="微软雅黑" w:hAnsi="微软雅黑" w:eastAsia="微软雅黑" w:cs="微软雅黑"/>
          <w:sz w:val="15"/>
          <w:szCs w:val="15"/>
        </w:rPr>
        <w:br w:type="textWrapping"/>
      </w:r>
      <w:r>
        <w:rPr>
          <w:rFonts w:hint="eastAsia" w:ascii="微软雅黑" w:hAnsi="微软雅黑" w:eastAsia="微软雅黑" w:cs="微软雅黑"/>
          <w:sz w:val="15"/>
          <w:szCs w:val="15"/>
        </w:rPr>
        <w:t>- 真实性：严禁篡改、屏蔽原始反馈。</w:t>
      </w:r>
      <w:r>
        <w:rPr>
          <w:rFonts w:hint="eastAsia" w:ascii="微软雅黑" w:hAnsi="微软雅黑" w:eastAsia="微软雅黑" w:cs="微软雅黑"/>
          <w:sz w:val="15"/>
          <w:szCs w:val="15"/>
        </w:rPr>
        <w:br w:type="textWrapping"/>
      </w:r>
      <w:r>
        <w:rPr>
          <w:rFonts w:hint="eastAsia" w:ascii="微软雅黑" w:hAnsi="微软雅黑" w:eastAsia="微软雅黑" w:cs="微软雅黑"/>
          <w:sz w:val="15"/>
          <w:szCs w:val="15"/>
        </w:rPr>
        <w:t>- 时效性：严格执行各渠道响应时限。</w:t>
      </w:r>
    </w:p>
    <w:p w14:paraId="394A257F">
      <w:pPr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br w:type="page"/>
      </w:r>
    </w:p>
    <w:p w14:paraId="04951C0E">
      <w:pPr>
        <w:pStyle w:val="3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2. 分渠道操作指引</w:t>
      </w:r>
    </w:p>
    <w:p w14:paraId="0B0229AA">
      <w:pPr>
        <w:pStyle w:val="4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2.1 渠道一：在线客服聊天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714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119419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操作入口</w:t>
            </w:r>
          </w:p>
        </w:tc>
        <w:tc>
          <w:tcPr>
            <w:tcW w:w="4320" w:type="dxa"/>
          </w:tcPr>
          <w:p w14:paraId="1FB5E35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各平台卖家后台客服接待面板（如淘宝千牛工作台、京东客服管家、抖音抖店客服）。</w:t>
            </w:r>
          </w:p>
        </w:tc>
      </w:tr>
      <w:tr w14:paraId="5429C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51913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操作步骤</w:t>
            </w:r>
          </w:p>
        </w:tc>
        <w:tc>
          <w:tcPr>
            <w:tcW w:w="4320" w:type="dxa"/>
          </w:tcPr>
          <w:p w14:paraId="1E51747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1. 实时监听：时刻关注聊天弹窗及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产品问题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预警提示。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情绪识别：捕捉用户输入中的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产品问题反馈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（如：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坏了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、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不充电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、投诉）。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3. 打标记录：在右侧工具栏点击"标记/打标"，选择对应的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星标反馈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分类。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 xml:space="preserve">4. 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登记反馈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登记界面填写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"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反馈信息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"，将聊天上下文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加入文件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并保存。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5. 安抚回应：在聊天窗口进行第一轮即时安抚与沟通。</w:t>
            </w:r>
          </w:p>
        </w:tc>
      </w:tr>
      <w:tr w14:paraId="7F42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1B8C1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责任人</w:t>
            </w:r>
          </w:p>
        </w:tc>
        <w:tc>
          <w:tcPr>
            <w:tcW w:w="4320" w:type="dxa"/>
          </w:tcPr>
          <w:p w14:paraId="04B28FD4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售前，售中，售后客服</w:t>
            </w:r>
          </w:p>
        </w:tc>
      </w:tr>
      <w:tr w14:paraId="0379D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0CAF0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详细要求规范</w:t>
            </w:r>
          </w:p>
        </w:tc>
        <w:tc>
          <w:tcPr>
            <w:tcW w:w="4320" w:type="dxa"/>
          </w:tcPr>
          <w:p w14:paraId="380E7C3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响应时效：工作时间（9:00-2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:00）响应率需 &gt; 95%，平均响应时长 &lt; 30秒。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动作规范：禁止强行结束对话；表示不满的用户，聊天结束后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需安排售后跟进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。</w:t>
            </w:r>
          </w:p>
        </w:tc>
      </w:tr>
    </w:tbl>
    <w:p w14:paraId="1A3DAF82">
      <w:pPr>
        <w:rPr>
          <w:rFonts w:hint="eastAsia" w:ascii="微软雅黑" w:hAnsi="微软雅黑" w:eastAsia="微软雅黑" w:cs="微软雅黑"/>
          <w:sz w:val="15"/>
          <w:szCs w:val="15"/>
        </w:rPr>
      </w:pPr>
    </w:p>
    <w:p w14:paraId="57085967">
      <w:pPr>
        <w:pStyle w:val="4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2.2 渠道二：售后工单系统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34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B0DF7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操作入口</w:t>
            </w:r>
          </w:p>
        </w:tc>
        <w:tc>
          <w:tcPr>
            <w:tcW w:w="4320" w:type="dxa"/>
          </w:tcPr>
          <w:p w14:paraId="788BE2A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电商平台自带售后管理后台（如千牛-售后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京东-售后，抖音-售后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）。</w:t>
            </w:r>
          </w:p>
        </w:tc>
      </w:tr>
      <w:tr w14:paraId="52136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3122B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操作步骤</w:t>
            </w:r>
          </w:p>
        </w:tc>
        <w:tc>
          <w:tcPr>
            <w:tcW w:w="4320" w:type="dxa"/>
          </w:tcPr>
          <w:p w14:paraId="0E0A71E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1. 提取审单：打开待处理售后列表，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查看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新提交的售后申请。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读取原因：重点阅读用户手填的"售后原因"文本框。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3. 主动追问：对含糊原因（如"质量问题"）通过电话/留言追问具体表现。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4. 归类打标：在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登记表填写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"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具体原因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"，选择对应分类标签。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5. 流转处理：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登记表留存记录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，流转至对应责任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人员或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部门（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客服组长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/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运营人员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）。</w:t>
            </w:r>
          </w:p>
        </w:tc>
      </w:tr>
      <w:tr w14:paraId="6615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11D650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责任人</w:t>
            </w:r>
          </w:p>
        </w:tc>
        <w:tc>
          <w:tcPr>
            <w:tcW w:w="4320" w:type="dxa"/>
          </w:tcPr>
          <w:p w14:paraId="745DBCBE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售后客服，客服组长</w:t>
            </w:r>
          </w:p>
        </w:tc>
      </w:tr>
      <w:tr w14:paraId="14EF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BBD65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详细要求规范</w:t>
            </w:r>
          </w:p>
        </w:tc>
        <w:tc>
          <w:tcPr>
            <w:tcW w:w="4320" w:type="dxa"/>
          </w:tcPr>
          <w:p w14:paraId="0B931C5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数据价值：退换货原因是核心产品质量数据源，严禁敷衍归类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与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"其他"。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预警机制：发现同一SKU出现≥3单相同问题时，需立即触发预警并暂停发货核查。</w:t>
            </w:r>
          </w:p>
        </w:tc>
      </w:tr>
    </w:tbl>
    <w:p w14:paraId="5701FC4F">
      <w:pPr>
        <w:rPr>
          <w:rFonts w:hint="eastAsia" w:ascii="微软雅黑" w:hAnsi="微软雅黑" w:eastAsia="微软雅黑" w:cs="微软雅黑"/>
          <w:sz w:val="15"/>
          <w:szCs w:val="15"/>
        </w:rPr>
      </w:pPr>
    </w:p>
    <w:p w14:paraId="66D01A9E">
      <w:pPr>
        <w:pStyle w:val="4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2.3 渠道三：商品评价与追评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FA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B3DB2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操作入口</w:t>
            </w:r>
          </w:p>
        </w:tc>
        <w:tc>
          <w:tcPr>
            <w:tcW w:w="4320" w:type="dxa"/>
          </w:tcPr>
          <w:p w14:paraId="7AACFDC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商家后台"评价管理"模块（如千牛-评价管理、京东商智-评价分析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抖音-评价管理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）。</w:t>
            </w:r>
          </w:p>
        </w:tc>
      </w:tr>
      <w:tr w14:paraId="7EB3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FFC37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操作步骤</w:t>
            </w:r>
          </w:p>
        </w:tc>
        <w:tc>
          <w:tcPr>
            <w:tcW w:w="4320" w:type="dxa"/>
          </w:tcPr>
          <w:p w14:paraId="03686ED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1. 定时巡检：每日上午10:00、下午16:00、登录系统查看。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筛选分级：利用筛选功能找出中差评，判断严重程度。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3. 联系干预：通过订单留言、短信或旺旺联系用户，进行道歉和协商。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4. 问题解决：为用户提供退款/补发等解决方案。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5. 台账记录：将差评内容、图片、用户ID及处理结果录入《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登记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表》。</w:t>
            </w:r>
          </w:p>
        </w:tc>
      </w:tr>
      <w:tr w14:paraId="2EED4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BCFA6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操作人员</w:t>
            </w:r>
          </w:p>
        </w:tc>
        <w:tc>
          <w:tcPr>
            <w:tcW w:w="4320" w:type="dxa"/>
          </w:tcPr>
          <w:p w14:paraId="2780A366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客服组长，运营专员</w:t>
            </w:r>
          </w:p>
        </w:tc>
      </w:tr>
      <w:tr w14:paraId="2AFF5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5E2BD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详细要求规范</w:t>
            </w:r>
          </w:p>
        </w:tc>
        <w:tc>
          <w:tcPr>
            <w:tcW w:w="4320" w:type="dxa"/>
          </w:tcPr>
          <w:p w14:paraId="1D01423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合规底线：严禁通过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线上发送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（如返现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字眼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）要求用户修改评价，避免触犯平台规则。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处理重心：对于已产生的差评，以解决用户实际问题为第一要务，而非单纯纠缠删评。</w:t>
            </w:r>
          </w:p>
        </w:tc>
      </w:tr>
    </w:tbl>
    <w:p w14:paraId="671818ED">
      <w:pPr>
        <w:rPr>
          <w:rFonts w:hint="eastAsia" w:ascii="微软雅黑" w:hAnsi="微软雅黑" w:eastAsia="微软雅黑" w:cs="微软雅黑"/>
          <w:sz w:val="15"/>
          <w:szCs w:val="15"/>
        </w:rPr>
      </w:pPr>
    </w:p>
    <w:p w14:paraId="53F3C34C">
      <w:pPr>
        <w:pStyle w:val="4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2.4 渠道四："问大家"板块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8A4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12982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操作入口</w:t>
            </w:r>
          </w:p>
        </w:tc>
        <w:tc>
          <w:tcPr>
            <w:tcW w:w="4320" w:type="dxa"/>
          </w:tcPr>
          <w:p w14:paraId="6858D74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天猫/淘宝商家后台"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交易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"模块下的"问大家"管理工具。</w:t>
            </w:r>
          </w:p>
        </w:tc>
      </w:tr>
      <w:tr w14:paraId="763CD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F3DA8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操作步骤</w:t>
            </w:r>
          </w:p>
        </w:tc>
        <w:tc>
          <w:tcPr>
            <w:tcW w:w="4320" w:type="dxa"/>
          </w:tcPr>
          <w:p w14:paraId="79AC80A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1. 每日巡查：每日上午9:30检查所有在售SKU的"问大家"区域。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官方作答：针对未回答的提问，使用官方账号进行专业、正向的回答。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3. 痛点抓取：记录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已购客户回复的差评点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（如"这款掉色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充不进电，用一段时间就坏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"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等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）。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4. 数据整理：将高频问题整理至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工单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文档。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5. 跨部门同步：将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反馈的问题点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同步给运营/产品部门优化详情页或改良产品。</w:t>
            </w:r>
          </w:p>
        </w:tc>
      </w:tr>
      <w:tr w14:paraId="4FCBA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A758AA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操作人员</w:t>
            </w:r>
          </w:p>
        </w:tc>
        <w:tc>
          <w:tcPr>
            <w:tcW w:w="4320" w:type="dxa"/>
          </w:tcPr>
          <w:p w14:paraId="261EEEA4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运营专员</w:t>
            </w:r>
          </w:p>
        </w:tc>
      </w:tr>
      <w:tr w14:paraId="3A728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98C5D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详细要求规范</w:t>
            </w:r>
          </w:p>
        </w:tc>
        <w:tc>
          <w:tcPr>
            <w:tcW w:w="4320" w:type="dxa"/>
          </w:tcPr>
          <w:p w14:paraId="236FF79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响应速度：新问题需在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48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小时内进行官方回复，避免无人应答导致流失。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引导规范：官方回答需客观中立，可适当引导至私域客服进行深度沟通。</w:t>
            </w:r>
          </w:p>
        </w:tc>
      </w:tr>
    </w:tbl>
    <w:p w14:paraId="3781282F">
      <w:pPr>
        <w:rPr>
          <w:rFonts w:hint="eastAsia" w:ascii="微软雅黑" w:hAnsi="微软雅黑" w:eastAsia="微软雅黑" w:cs="微软雅黑"/>
          <w:sz w:val="15"/>
          <w:szCs w:val="15"/>
        </w:rPr>
      </w:pPr>
    </w:p>
    <w:p w14:paraId="0D84425A">
      <w:pPr>
        <w:pStyle w:val="4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2.5 渠道五：客户回访（电话/短信）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C3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12DB3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操作入口</w:t>
            </w:r>
          </w:p>
        </w:tc>
        <w:tc>
          <w:tcPr>
            <w:tcW w:w="4320" w:type="dxa"/>
          </w:tcPr>
          <w:p w14:paraId="14F4FE9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CRM客户管理系统、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订单管理界面，通过电话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/短信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联系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。</w:t>
            </w:r>
          </w:p>
        </w:tc>
      </w:tr>
      <w:tr w14:paraId="07A43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C287C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操作步骤</w:t>
            </w:r>
          </w:p>
        </w:tc>
        <w:tc>
          <w:tcPr>
            <w:tcW w:w="4320" w:type="dxa"/>
          </w:tcPr>
          <w:p w14:paraId="7D2E74F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1. 名单抽取：在系统内按条件（如：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商品ID，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大促订单、VIP等级）抽取回访名单。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脚本准备：根据回访目的（满意度/产品体验）制定并熟读话术脚本。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3. 执行外呼/发送：按名单拨打电话或发送调研短信。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4. 灵活追问：根据用户回答进行开放式追问，挖掘真实感受。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5. 系统录入：将回访结果、录音编号或文字记录填入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eastAsia="zh-CN"/>
              </w:rPr>
              <w:t>《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登记表》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。</w:t>
            </w:r>
          </w:p>
        </w:tc>
      </w:tr>
      <w:tr w14:paraId="5D709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0ADA0F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操作人员</w:t>
            </w:r>
          </w:p>
        </w:tc>
        <w:tc>
          <w:tcPr>
            <w:tcW w:w="4320" w:type="dxa"/>
          </w:tcPr>
          <w:p w14:paraId="3365408F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客服组长，售后技术支持</w:t>
            </w:r>
          </w:p>
        </w:tc>
      </w:tr>
      <w:tr w14:paraId="12C1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BE0F8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详细要求规范</w:t>
            </w:r>
          </w:p>
        </w:tc>
        <w:tc>
          <w:tcPr>
            <w:tcW w:w="4320" w:type="dxa"/>
          </w:tcPr>
          <w:p w14:paraId="0D25025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合规与记录：外呼需先说明身份及回访目的，全程录音（须提前告知）；记录需包含具体产品缺陷描述，拒绝无效反馈。</w:t>
            </w:r>
          </w:p>
        </w:tc>
      </w:tr>
    </w:tbl>
    <w:p w14:paraId="37DC6897">
      <w:pPr>
        <w:ind w:firstLine="720" w:firstLineChars="0"/>
        <w:rPr>
          <w:rFonts w:hint="eastAsia" w:ascii="微软雅黑" w:hAnsi="微软雅黑" w:eastAsia="微软雅黑" w:cs="微软雅黑"/>
          <w:sz w:val="15"/>
          <w:szCs w:val="15"/>
        </w:rPr>
      </w:pPr>
    </w:p>
    <w:p w14:paraId="4275C7CE">
      <w:pPr>
        <w:pStyle w:val="4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2.6 渠道六：投诉专线/平台介入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2B7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32497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操作入口</w:t>
            </w:r>
          </w:p>
        </w:tc>
        <w:tc>
          <w:tcPr>
            <w:tcW w:w="4320" w:type="dxa"/>
          </w:tcPr>
          <w:p w14:paraId="6AE95F4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第三方投诉平台企业后台（如黑猫投诉）、政府监管平台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电商平台维权中心。</w:t>
            </w:r>
          </w:p>
        </w:tc>
      </w:tr>
      <w:tr w14:paraId="7FA6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6E2CA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操作步骤</w:t>
            </w:r>
          </w:p>
        </w:tc>
        <w:tc>
          <w:tcPr>
            <w:tcW w:w="4320" w:type="dxa"/>
          </w:tcPr>
          <w:p w14:paraId="5AA73A8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1. 全网监控：使用舆情工具或人工搜索品牌词，每日排查新投诉。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预警上报：发现本公司相关投诉后，30分钟内拉群上报客服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组长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/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市场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部。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3. 调取信息：根据投诉人提供的订单号或电话，在内部系统查询详情。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4. 拟定方案：与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部门经理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协商后，拟定解决方案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超出常规问题上报公司解决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5. 闭环复盘：解决后在平台回复结果，并出具《重大投诉复盘报告》。</w:t>
            </w:r>
          </w:p>
        </w:tc>
      </w:tr>
      <w:tr w14:paraId="136D7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A4AD3B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操作人员</w:t>
            </w:r>
          </w:p>
        </w:tc>
        <w:tc>
          <w:tcPr>
            <w:tcW w:w="4320" w:type="dxa"/>
          </w:tcPr>
          <w:p w14:paraId="5C066723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客服组长</w:t>
            </w:r>
          </w:p>
        </w:tc>
      </w:tr>
      <w:tr w14:paraId="378BB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DB290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详细要求规范</w:t>
            </w:r>
          </w:p>
        </w:tc>
        <w:tc>
          <w:tcPr>
            <w:tcW w:w="4320" w:type="dxa"/>
          </w:tcPr>
          <w:p w14:paraId="6A7A109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响应时效：接到平台转办通知后，1小时内必须给出初步响应方案。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权限控制：此类投诉影响大，严禁一线客服随意承诺，必须由主管级以上介入。</w:t>
            </w:r>
          </w:p>
        </w:tc>
      </w:tr>
    </w:tbl>
    <w:p w14:paraId="2DCBB706">
      <w:pPr>
        <w:rPr>
          <w:rFonts w:hint="eastAsia" w:ascii="微软雅黑" w:hAnsi="微软雅黑" w:eastAsia="微软雅黑" w:cs="微软雅黑"/>
          <w:sz w:val="15"/>
          <w:szCs w:val="15"/>
        </w:rPr>
      </w:pPr>
    </w:p>
    <w:p w14:paraId="2795F899">
      <w:pPr>
        <w:pStyle w:val="4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2.7 渠道七：社交媒体（双微一抖红）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375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4F927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操作入口</w:t>
            </w:r>
          </w:p>
        </w:tc>
        <w:tc>
          <w:tcPr>
            <w:tcW w:w="4320" w:type="dxa"/>
          </w:tcPr>
          <w:p w14:paraId="75A267E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各社交平台官方账号后台、品牌舆情监控系统（如微博微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视频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、抖音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小红书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等）。</w:t>
            </w:r>
          </w:p>
        </w:tc>
      </w:tr>
      <w:tr w14:paraId="03133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D032A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操作步骤</w:t>
            </w:r>
          </w:p>
        </w:tc>
        <w:tc>
          <w:tcPr>
            <w:tcW w:w="4320" w:type="dxa"/>
          </w:tcPr>
          <w:p w14:paraId="7EE1AD3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1. 关键词搜索：每日上午利用工具搜索"品牌名+负面词（如避雷/垃圾）"。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真伪研判：通过用户历史发帖判断是真实消费者吐槽还是同行恶意抹黑。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3. 官方互动：在真实负面帖子下，用官方账号以拟人化语气真诚回复并致歉。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4. 私域引流：通过评论区或私信引导用户至官方客服渠道（如私信小编）。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5. 内部建档：将截图、链接及处理进度记录在《社媒舆情处理表》中。</w:t>
            </w:r>
          </w:p>
        </w:tc>
      </w:tr>
      <w:tr w14:paraId="17BFC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82767C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操作人员</w:t>
            </w:r>
          </w:p>
        </w:tc>
        <w:tc>
          <w:tcPr>
            <w:tcW w:w="4320" w:type="dxa"/>
          </w:tcPr>
          <w:p w14:paraId="3F2AA363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市场部专员</w:t>
            </w:r>
          </w:p>
        </w:tc>
      </w:tr>
      <w:tr w14:paraId="37E42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6006A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详细要求规范</w:t>
            </w:r>
          </w:p>
        </w:tc>
        <w:tc>
          <w:tcPr>
            <w:tcW w:w="4320" w:type="dxa"/>
          </w:tcPr>
          <w:p w14:paraId="0E1D929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介入尺度：以公关语态真诚沟通；严禁与恶意同行在评论区互怼。</w:t>
            </w:r>
          </w:p>
        </w:tc>
      </w:tr>
    </w:tbl>
    <w:p w14:paraId="340B8CBA">
      <w:pPr>
        <w:rPr>
          <w:rFonts w:hint="eastAsia" w:ascii="微软雅黑" w:hAnsi="微软雅黑" w:eastAsia="微软雅黑" w:cs="微软雅黑"/>
          <w:sz w:val="15"/>
          <w:szCs w:val="15"/>
        </w:rPr>
      </w:pPr>
    </w:p>
    <w:p w14:paraId="26104D46">
      <w:pPr>
        <w:pStyle w:val="4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2.8 渠道八：App/小程序内反馈入口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574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C4A36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操作入口</w:t>
            </w:r>
          </w:p>
        </w:tc>
        <w:tc>
          <w:tcPr>
            <w:tcW w:w="4320" w:type="dxa"/>
          </w:tcPr>
          <w:p w14:paraId="267C8C2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前端用户反馈表单提交后，后端对应的数据看板或工单管理系统。</w:t>
            </w:r>
          </w:p>
        </w:tc>
      </w:tr>
      <w:tr w14:paraId="6B3E2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C65324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4F80BD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操作步骤</w:t>
            </w:r>
          </w:p>
        </w:tc>
        <w:tc>
          <w:tcPr>
            <w:tcW w:w="4320" w:type="dxa"/>
          </w:tcPr>
          <w:p w14:paraId="56D88B1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1. 设置入口：在App/小程序的"我的-设置-意见反馈"中配置结构化表单。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行为触发：监控用户在特定节点（如支付失败、App闪退）是否触发轻量级反馈浮窗。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3. 数据接收：技术人员将前端提交的表单数据接入中央工单系统。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4. 分类分发：客服主管在工单系统根据问题类型（Bug/体验建议）进行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归类汇总登记到《登记表》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5. 修复回访：产品/技术修复后，通过站内信或短信通知用户。</w:t>
            </w:r>
          </w:p>
        </w:tc>
      </w:tr>
      <w:tr w14:paraId="56E86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95AF2B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操作人员</w:t>
            </w:r>
          </w:p>
        </w:tc>
        <w:tc>
          <w:tcPr>
            <w:tcW w:w="4320" w:type="dxa"/>
          </w:tcPr>
          <w:p w14:paraId="10C6C0D8">
            <w:pPr>
              <w:spacing w:after="0" w:line="240" w:lineRule="auto"/>
              <w:rPr>
                <w:rFonts w:hint="default" w:ascii="微软雅黑" w:hAnsi="微软雅黑" w:eastAsia="微软雅黑" w:cs="微软雅黑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售后技术支持</w:t>
            </w:r>
          </w:p>
        </w:tc>
      </w:tr>
      <w:tr w14:paraId="63B9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23CCB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详细要求规范</w:t>
            </w:r>
          </w:p>
        </w:tc>
        <w:tc>
          <w:tcPr>
            <w:tcW w:w="4320" w:type="dxa"/>
          </w:tcPr>
          <w:p w14:paraId="1C2140F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处理流程：需在24小时内由技术或产品团队给出初步排期或答复。</w:t>
            </w:r>
          </w:p>
        </w:tc>
      </w:tr>
    </w:tbl>
    <w:p w14:paraId="56E887C4">
      <w:pPr>
        <w:rPr>
          <w:rFonts w:hint="eastAsia" w:ascii="微软雅黑" w:hAnsi="微软雅黑" w:eastAsia="微软雅黑" w:cs="微软雅黑"/>
          <w:sz w:val="15"/>
          <w:szCs w:val="15"/>
        </w:rPr>
      </w:pPr>
    </w:p>
    <w:p w14:paraId="348CA031">
      <w:pPr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br w:type="page"/>
      </w:r>
    </w:p>
    <w:p w14:paraId="6E101789">
      <w:pPr>
        <w:rPr>
          <w:rFonts w:hint="eastAsia" w:ascii="微软雅黑" w:hAnsi="微软雅黑" w:eastAsia="微软雅黑" w:cs="微软雅黑"/>
          <w:b/>
          <w:bCs/>
          <w:color w:val="4F80BD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color w:val="4F80BD"/>
          <w:sz w:val="15"/>
          <w:szCs w:val="15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bCs/>
          <w:color w:val="4F80BD"/>
          <w:sz w:val="15"/>
          <w:szCs w:val="15"/>
        </w:rPr>
        <w:t>. 违规处罚条例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9B6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1618F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违规类别</w:t>
            </w:r>
          </w:p>
        </w:tc>
        <w:tc>
          <w:tcPr>
            <w:tcW w:w="2880" w:type="dxa"/>
          </w:tcPr>
          <w:p w14:paraId="4B986D6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具体表现</w:t>
            </w:r>
          </w:p>
        </w:tc>
        <w:tc>
          <w:tcPr>
            <w:tcW w:w="2880" w:type="dxa"/>
          </w:tcPr>
          <w:p w14:paraId="4625298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处罚措施</w:t>
            </w:r>
          </w:p>
        </w:tc>
      </w:tr>
      <w:tr w14:paraId="41B1F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A5E24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数据造假类（零容忍）</w:t>
            </w:r>
          </w:p>
        </w:tc>
        <w:tc>
          <w:tcPr>
            <w:tcW w:w="2880" w:type="dxa"/>
          </w:tcPr>
          <w:p w14:paraId="393AD0B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 xml:space="preserve">1. 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平台回复中出现返现字眼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伪造反馈或篡改原始内容。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3. 隐瞒不报重大投诉或批量问题。</w:t>
            </w:r>
          </w:p>
        </w:tc>
        <w:tc>
          <w:tcPr>
            <w:tcW w:w="2880" w:type="dxa"/>
          </w:tcPr>
          <w:p w14:paraId="406AE8F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1. 扣除当月绩效20%，通报批评。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调离岗位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eastAsia="zh-CN"/>
              </w:rPr>
              <w:t>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3. 情节严重者辞退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eastAsia="zh-CN"/>
              </w:rPr>
              <w:t>。</w:t>
            </w:r>
          </w:p>
        </w:tc>
      </w:tr>
      <w:tr w14:paraId="4DC0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2647D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操作失误类（警告/记过）</w:t>
            </w:r>
          </w:p>
        </w:tc>
        <w:tc>
          <w:tcPr>
            <w:tcW w:w="2880" w:type="dxa"/>
          </w:tcPr>
          <w:p w14:paraId="7228E5D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1. 漏录/迟录反馈信息。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分类错误（频繁归入"其他"）。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3. 话术违规（与用户互怼、言语冲突）。</w:t>
            </w:r>
          </w:p>
        </w:tc>
        <w:tc>
          <w:tcPr>
            <w:tcW w:w="2880" w:type="dxa"/>
          </w:tcPr>
          <w:p w14:paraId="6016C5E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 xml:space="preserve">1. 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首次警告整改，第二次开始当月绩效扣除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10%。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责令重新培训，考试不合格暂停权限。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3. 公开检讨，扣除当月绩效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0%。</w:t>
            </w:r>
          </w:p>
        </w:tc>
      </w:tr>
      <w:tr w14:paraId="35536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9D143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消极怠工类</w:t>
            </w:r>
          </w:p>
        </w:tc>
        <w:tc>
          <w:tcPr>
            <w:tcW w:w="2880" w:type="dxa"/>
          </w:tcPr>
          <w:p w14:paraId="7CC781A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1. 未完成回访任务。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回访记录敷衍了事（如只填"挺好的"）。</w:t>
            </w:r>
          </w:p>
        </w:tc>
        <w:tc>
          <w:tcPr>
            <w:tcW w:w="2880" w:type="dxa"/>
          </w:tcPr>
          <w:p w14:paraId="0826448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 xml:space="preserve">1. 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首次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警告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第二次扣除部分绩效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。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2. 召回重做，扣除当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  <w:lang w:val="en-US" w:eastAsia="zh-CN"/>
              </w:rPr>
              <w:t>月</w:t>
            </w: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部分绩效。</w:t>
            </w:r>
          </w:p>
        </w:tc>
      </w:tr>
    </w:tbl>
    <w:p w14:paraId="2098306B">
      <w:pPr>
        <w:rPr>
          <w:rFonts w:hint="eastAsia" w:ascii="微软雅黑" w:hAnsi="微软雅黑" w:eastAsia="微软雅黑" w:cs="微软雅黑"/>
          <w:sz w:val="15"/>
          <w:szCs w:val="15"/>
        </w:rPr>
      </w:pPr>
    </w:p>
    <w:p w14:paraId="289C01BC">
      <w:pPr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br w:type="page"/>
      </w:r>
    </w:p>
    <w:p w14:paraId="5555F60F">
      <w:pPr>
        <w:pStyle w:val="3"/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15"/>
          <w:szCs w:val="15"/>
        </w:rPr>
        <w:t>. 附则</w:t>
      </w:r>
    </w:p>
    <w:p w14:paraId="08271861">
      <w:pPr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</w:rPr>
        <w:t>1. 申诉机制：员工如对违规处罚有异议，可在收到处罚通知3个工作日内向人力资源部提起申诉。</w:t>
      </w:r>
    </w:p>
    <w:p w14:paraId="0B1A272B">
      <w:pPr>
        <w:rPr>
          <w:rFonts w:hint="eastAsia" w:ascii="微软雅黑" w:hAnsi="微软雅黑" w:eastAsia="微软雅黑" w:cs="微软雅黑"/>
          <w:sz w:val="15"/>
          <w:szCs w:val="15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15"/>
          <w:szCs w:val="15"/>
        </w:rPr>
        <w:t>. 生效执行：本规定自2026年</w:t>
      </w: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15"/>
          <w:szCs w:val="15"/>
        </w:rPr>
        <w:t>月1日起正式执行，全员需签署《知悉确认书》。</w:t>
      </w:r>
    </w:p>
    <w:p w14:paraId="18380DB9">
      <w:pPr>
        <w:rPr>
          <w:rFonts w:hint="eastAsia" w:ascii="微软雅黑" w:hAnsi="微软雅黑" w:eastAsia="微软雅黑" w:cs="微软雅黑"/>
          <w:sz w:val="15"/>
          <w:szCs w:val="15"/>
        </w:rPr>
      </w:pPr>
      <w:bookmarkStart w:id="0" w:name="_GoBack"/>
      <w:bookmarkEnd w:id="0"/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CE7E9">
    <w:pPr>
      <w:pStyle w:val="25"/>
      <w:jc w:val="center"/>
    </w:pPr>
    <w:r>
      <w:rPr>
        <w:rFonts w:ascii="宋体" w:hAnsi="宋体" w:eastAsia="宋体"/>
        <w:sz w:val="32"/>
      </w:rPr>
      <w:t>国内电商用户信息反馈收集操作指引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60378"/>
    <w:rsid w:val="06EA2590"/>
    <w:rsid w:val="0FCE3662"/>
    <w:rsid w:val="1FF31AF9"/>
    <w:rsid w:val="22D94AB8"/>
    <w:rsid w:val="37545188"/>
    <w:rsid w:val="397C53EF"/>
    <w:rsid w:val="3B0F6933"/>
    <w:rsid w:val="49B968BA"/>
    <w:rsid w:val="61E02AC4"/>
    <w:rsid w:val="63BE0C6F"/>
    <w:rsid w:val="6556714D"/>
    <w:rsid w:val="68460921"/>
    <w:rsid w:val="693246B3"/>
    <w:rsid w:val="6E0A777F"/>
    <w:rsid w:val="7139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2132</Words>
  <Characters>2235</Characters>
  <Lines>0</Lines>
  <Paragraphs>0</Paragraphs>
  <TotalTime>3</TotalTime>
  <ScaleCrop>false</ScaleCrop>
  <LinksUpToDate>false</LinksUpToDate>
  <CharactersWithSpaces>2293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Lively</cp:lastModifiedBy>
  <dcterms:modified xsi:type="dcterms:W3CDTF">2026-06-10T09:35:27Z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{"Label":"1","ContentProducer":"001191440300708461136T1IVWN","ProduceID":"0b5d4735e7f0b5f0b15a64ee38a6ec5b-7z5aslcurds2f4qunygombplsqqw533muwlwmzex","ReservedCode1":"{\"Type\":\" TC260PG\",\"Version\":1,\"Bindings\":[{\"Type\":\"soft\",\"AlgID\":\"sm3\",\"Value\":\"92d486286ce168de6202de27fa9900240236898e2f9800a6f3a30f96b3357da0\"},{\"Type\":\"hash\",\"AlgID\":\"sm3\",\"Value\":\"31a8303d3389e86db1bdec87597e2a13b88cf2477fe6e9029727bad1dcecf88c\"}],\"PubSD\":[{\"Type\":\"DS\",\"AlgID\":\"sm2\",\"TBSData\":{\"Type\":\"Binding\",\"BType\":\"hash\"},\"Signature\":\"3046022100cb32ce5889916731eb875258b78d0b6e928e6dd60abdc5230fd3530842faf7f8022100961c137200e01ebf6cc19f0bc2dfc96c2215b42c8196dfb0116add123646f1e7\"},{\"Type\":\"PubKey\",\"AlgID\":\"sm2\",\"KeyValue\":\"0407f79b28a17a752b3aae4305c98b48978213832729a2571850b1310b2bc9fe8fee039ccf25ebfeac27502414d9fcef792d777183c98893d226171c2f7a3289a2\"}],\"Extension\":{\"Timestamp\":1778656286,\"KeyVersion\":\"v1-Owd2uMESYLo311\"}}","ContentPropagator":"001191440300708461136T1IVWN","PropagateID":"0b5d4735e7f0b5f0b15a64ee38a6ec5b-7z5aslcurds2f4qunygombplsqqw533muwlwmzex","ReservedCode2":"{\"Type\":\" TC260PG\",\"Version\":1,\"Bindings\":[{\"Type\":\"soft\",\"AlgID\":\"sm3\",\"Value\":\"92d486286ce168de6202de27fa9900240236898e2f9800a6f3a30f96b3357da0\"},{\"Type\":\"hash\",\"AlgID\":\"sm3\",\"Value\":\"31a8303d3389e86db1bdec87597e2a13b88cf2477fe6e9029727bad1dcecf88c\"}],\"PubSD\":[{\"Type\":\"DS\",\"AlgID\":\"sm2\",\"TBSData\":{\"Type\":\"Binding\",\"BType\":\"hash\"},\"Signature\":\"3045022100b5f45363c20238e6e73d123adb0c800929497c1cc59348118a031d454809cec8022018f6fcd17171090f0859089991a247d56ea923fd235d539a5235a6a3ee9fc801\"},{\"Type\":\"PubKey\",\"AlgID\":\"sm2\",\"KeyValue\":\"0407f79b28a17a752b3aae4305c98b48978213832729a2571850b1310b2bc9fe8fee039ccf25ebfeac27502414d9fcef792d777183c98893d226171c2f7a3289a2\"}],\"Extension\":{\"Timestamp\":1778656286,\"KeyVersion\":\"v1-Owd2uMESYLo311\"}}"}</vt:lpwstr>
  </property>
  <property fmtid="{D5CDD505-2E9C-101B-9397-08002B2CF9AE}" pid="3" name="KSOTemplateDocerSaveRecord">
    <vt:lpwstr>eyJoZGlkIjoiZjgxM2M5ZDI3YTRmYzdmNzljZmNjZGQ0ZDI3ZWQyMGUiLCJ1c2VySWQiOiI1NjM1MTUwNzgifQ==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29693ECC71404885914B5FCE1382526F_12</vt:lpwstr>
  </property>
</Properties>
</file>