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85EAF">
      <w:pPr>
        <w:spacing w:before="3600"/>
        <w:ind w:firstLine="0"/>
        <w:jc w:val="center"/>
      </w:pPr>
      <w:r>
        <w:rPr>
          <w:rFonts w:hint="eastAsia" w:eastAsia="黑体"/>
          <w:b/>
          <w:spacing w:val="60"/>
          <w:sz w:val="52"/>
          <w:lang w:val="en-US" w:eastAsia="zh-CN"/>
        </w:rPr>
        <w:t>外贸</w:t>
      </w:r>
      <w:r>
        <w:rPr>
          <w:rFonts w:ascii="Times New Roman" w:hAnsi="Times New Roman" w:eastAsia="黑体"/>
          <w:b/>
          <w:spacing w:val="60"/>
          <w:sz w:val="52"/>
        </w:rPr>
        <w:t>电商紧急异常处理问题</w:t>
      </w:r>
    </w:p>
    <w:p w14:paraId="69C7109F">
      <w:pPr>
        <w:spacing w:before="200" w:after="600"/>
        <w:ind w:firstLine="0"/>
        <w:jc w:val="center"/>
      </w:pPr>
      <w:r>
        <w:rPr>
          <w:rFonts w:ascii="Times New Roman" w:hAnsi="Times New Roman" w:eastAsia="黑体"/>
          <w:b/>
          <w:spacing w:val="60"/>
          <w:sz w:val="52"/>
        </w:rPr>
        <w:t>异常级别判定标准</w:t>
      </w:r>
    </w:p>
    <w:p w14:paraId="71698070">
      <w:pPr>
        <w:spacing w:before="800" w:after="200"/>
        <w:ind w:firstLine="0"/>
        <w:jc w:val="center"/>
      </w:pPr>
      <w:r>
        <w:rPr>
          <w:rFonts w:ascii="Times New Roman" w:hAnsi="Times New Roman" w:eastAsia="宋体"/>
          <w:color w:val="666666"/>
          <w:sz w:val="28"/>
        </w:rPr>
        <w:t>（P0-P3 四级分类管理体系）</w:t>
      </w:r>
    </w:p>
    <w:p w14:paraId="602E465C">
      <w:pPr>
        <w:pBdr>
          <w:bottom w:val="single" w:color="000000" w:sz="6" w:space="1"/>
        </w:pBdr>
        <w:spacing w:before="1200"/>
        <w:ind w:firstLine="0"/>
        <w:jc w:val="center"/>
      </w:pPr>
    </w:p>
    <w:p w14:paraId="01A683D7">
      <w:pPr>
        <w:spacing w:before="1600"/>
        <w:ind w:firstLine="0"/>
        <w:jc w:val="center"/>
      </w:pPr>
      <w:r>
        <w:rPr>
          <w:rFonts w:ascii="Times New Roman" w:hAnsi="Times New Roman" w:eastAsia="宋体"/>
          <w:sz w:val="24"/>
        </w:rPr>
        <w:t>版本：V1.0</w:t>
      </w:r>
    </w:p>
    <w:p w14:paraId="0B54D86F">
      <w:pPr>
        <w:spacing w:before="200"/>
        <w:ind w:firstLine="0"/>
        <w:jc w:val="center"/>
      </w:pPr>
      <w:r>
        <w:rPr>
          <w:rFonts w:ascii="Times New Roman" w:hAnsi="Times New Roman" w:eastAsia="宋体"/>
          <w:sz w:val="24"/>
        </w:rPr>
        <w:t>发布日期：2026年5月</w:t>
      </w:r>
    </w:p>
    <w:p w14:paraId="3EB4A77B">
      <w:pPr>
        <w:sectPr>
          <w:pgSz w:w="11906" w:h="16838"/>
          <w:pgMar w:top="1440" w:right="1440" w:bottom="1440" w:left="1440" w:header="720" w:footer="720" w:gutter="0"/>
          <w:cols w:space="720" w:num="1"/>
          <w:titlePg/>
        </w:sectPr>
      </w:pPr>
    </w:p>
    <w:p w14:paraId="0DBD272F">
      <w:pPr>
        <w:pStyle w:val="2"/>
        <w:pageBreakBefore w:val="0"/>
      </w:pPr>
      <w:r>
        <w:t>目  录</w:t>
      </w:r>
    </w:p>
    <w:p w14:paraId="0E70EADC">
      <w:r>
        <w:fldChar w:fldCharType="begin"/>
      </w:r>
      <w:r>
        <w:instrText xml:space="preserve"> TOC \o "1-2" \h \z \u </w:instrText>
      </w:r>
      <w:r>
        <w:fldChar w:fldCharType="separate"/>
      </w:r>
    </w:p>
    <w:p w14:paraId="262F19D7">
      <w:pPr>
        <w:pStyle w:val="5"/>
      </w:pPr>
      <w:r>
        <w:t>一、总则</w:t>
      </w:r>
      <w:r>
        <w:tab/>
      </w:r>
      <w:r>
        <w:t>1</w:t>
      </w:r>
    </w:p>
    <w:p w14:paraId="3C79CB54">
      <w:pPr>
        <w:pStyle w:val="6"/>
      </w:pPr>
      <w:r>
        <w:t>1.1 目的</w:t>
      </w:r>
      <w:r>
        <w:tab/>
      </w:r>
      <w:r>
        <w:t>1</w:t>
      </w:r>
    </w:p>
    <w:p w14:paraId="7E4F7DF9">
      <w:pPr>
        <w:pStyle w:val="6"/>
      </w:pPr>
      <w:r>
        <w:t>1.2 适用范围</w:t>
      </w:r>
      <w:r>
        <w:tab/>
      </w:r>
      <w:r>
        <w:t>1</w:t>
      </w:r>
    </w:p>
    <w:p w14:paraId="4C5D94BA">
      <w:pPr>
        <w:pStyle w:val="6"/>
      </w:pPr>
      <w:r>
        <w:t>1.3 判定原则</w:t>
      </w:r>
      <w:r>
        <w:tab/>
      </w:r>
      <w:r>
        <w:t>1</w:t>
      </w:r>
    </w:p>
    <w:p w14:paraId="0B6C24EF">
      <w:pPr>
        <w:pStyle w:val="5"/>
      </w:pPr>
      <w:r>
        <w:t>二、名词解释</w:t>
      </w:r>
      <w:r>
        <w:tab/>
      </w:r>
      <w:r>
        <w:t>2</w:t>
      </w:r>
    </w:p>
    <w:p w14:paraId="34D2D76B">
      <w:pPr>
        <w:pStyle w:val="5"/>
      </w:pPr>
      <w:r>
        <w:t>三、异常级别分类标准</w:t>
      </w:r>
      <w:r>
        <w:tab/>
      </w:r>
      <w:r>
        <w:t>4</w:t>
      </w:r>
    </w:p>
    <w:p w14:paraId="3988168A">
      <w:pPr>
        <w:pStyle w:val="6"/>
      </w:pPr>
      <w:r>
        <w:t>3.1 P0 级（致命/封店）</w:t>
      </w:r>
      <w:r>
        <w:tab/>
      </w:r>
      <w:r>
        <w:t>4</w:t>
      </w:r>
    </w:p>
    <w:p w14:paraId="320B8EF4">
      <w:pPr>
        <w:pStyle w:val="6"/>
      </w:pPr>
      <w:r>
        <w:t>3.2 P1 级（高危/下架）</w:t>
      </w:r>
      <w:r>
        <w:tab/>
      </w:r>
      <w:r>
        <w:t>5</w:t>
      </w:r>
    </w:p>
    <w:p w14:paraId="507171F0">
      <w:pPr>
        <w:pStyle w:val="6"/>
      </w:pPr>
      <w:r>
        <w:t>3.3 P2 级（中危/体验）</w:t>
      </w:r>
      <w:r>
        <w:tab/>
      </w:r>
      <w:r>
        <w:t>6</w:t>
      </w:r>
    </w:p>
    <w:p w14:paraId="6D9AF52E">
      <w:pPr>
        <w:pStyle w:val="6"/>
      </w:pPr>
      <w:r>
        <w:t>3.4 P3 级（低危/常规）</w:t>
      </w:r>
      <w:r>
        <w:tab/>
      </w:r>
      <w:r>
        <w:t>7</w:t>
      </w:r>
    </w:p>
    <w:p w14:paraId="110DD82C">
      <w:pPr>
        <w:pStyle w:val="5"/>
      </w:pPr>
      <w:r>
        <w:t>四、判定维度与流程</w:t>
      </w:r>
      <w:r>
        <w:tab/>
      </w:r>
      <w:r>
        <w:t>8</w:t>
      </w:r>
    </w:p>
    <w:p w14:paraId="21C6CD0E">
      <w:pPr>
        <w:pStyle w:val="6"/>
      </w:pPr>
      <w:r>
        <w:t>4.1 判定维度说明</w:t>
      </w:r>
      <w:r>
        <w:tab/>
      </w:r>
      <w:r>
        <w:t>8</w:t>
      </w:r>
    </w:p>
    <w:p w14:paraId="5786A275">
      <w:pPr>
        <w:pStyle w:val="6"/>
      </w:pPr>
      <w:r>
        <w:t>4.2 判定流程图</w:t>
      </w:r>
      <w:r>
        <w:tab/>
      </w:r>
      <w:r>
        <w:t>9</w:t>
      </w:r>
    </w:p>
    <w:p w14:paraId="22D67664">
      <w:pPr>
        <w:pStyle w:val="6"/>
      </w:pPr>
      <w:r>
        <w:t>4.3 判定操作步骤</w:t>
      </w:r>
      <w:r>
        <w:tab/>
      </w:r>
      <w:r>
        <w:t>9</w:t>
      </w:r>
    </w:p>
    <w:p w14:paraId="3684A64D">
      <w:pPr>
        <w:pStyle w:val="5"/>
      </w:pPr>
      <w:r>
        <w:t>五、响应与升级机制</w:t>
      </w:r>
      <w:r>
        <w:tab/>
      </w:r>
      <w:r>
        <w:t>10</w:t>
      </w:r>
    </w:p>
    <w:p w14:paraId="3C762097">
      <w:pPr>
        <w:pStyle w:val="6"/>
      </w:pPr>
      <w:r>
        <w:t>5.1 响应时效要求</w:t>
      </w:r>
      <w:r>
        <w:tab/>
      </w:r>
      <w:r>
        <w:t>10</w:t>
      </w:r>
    </w:p>
    <w:p w14:paraId="0BAFACB0">
      <w:pPr>
        <w:pStyle w:val="6"/>
      </w:pPr>
      <w:r>
        <w:t>5.2 升级路径</w:t>
      </w:r>
      <w:r>
        <w:tab/>
      </w:r>
      <w:r>
        <w:t>10</w:t>
      </w:r>
    </w:p>
    <w:p w14:paraId="658A01A7">
      <w:pPr>
        <w:pStyle w:val="6"/>
      </w:pPr>
      <w:r>
        <w:t>5.3 强制应急动作</w:t>
      </w:r>
      <w:r>
        <w:tab/>
      </w:r>
      <w:r>
        <w:t>11</w:t>
      </w:r>
    </w:p>
    <w:p w14:paraId="7E81A9F9">
      <w:pPr>
        <w:pStyle w:val="5"/>
      </w:pPr>
      <w:r>
        <w:t>六、附则</w:t>
      </w:r>
      <w:r>
        <w:tab/>
      </w:r>
      <w:r>
        <w:t>12</w:t>
      </w:r>
    </w:p>
    <w:p w14:paraId="5344C3DD">
      <w:r>
        <w:fldChar w:fldCharType="end"/>
      </w:r>
    </w:p>
    <w:p w14:paraId="01966276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552EFF73">
      <w:pPr>
        <w:pStyle w:val="2"/>
      </w:pPr>
      <w:r>
        <w:t>一、总则</w:t>
      </w:r>
    </w:p>
    <w:p w14:paraId="54F0F47A">
      <w:pPr>
        <w:pStyle w:val="3"/>
      </w:pPr>
      <w:r>
        <w:t>1.1 目的</w:t>
      </w:r>
    </w:p>
    <w:p w14:paraId="3D4F2633">
      <w:r>
        <w:t>为规范</w:t>
      </w:r>
      <w:r>
        <w:rPr>
          <w:rFonts w:hint="eastAsia"/>
          <w:lang w:val="en-US" w:eastAsia="zh-CN"/>
        </w:rPr>
        <w:t>外贸</w:t>
      </w:r>
      <w:r>
        <w:t>电商业务运营中各类异常问题的处理流程，明确异常事件的严重程度分级标准，确保异常情况能够得到及时、有效的响应和处置，特制定本判定标准。</w:t>
      </w:r>
    </w:p>
    <w:p w14:paraId="12D033B4">
      <w:r>
        <w:t>本标准旨在建立一套统一的异常级别判定体系，使各岗位人员在面对不同类型的异常问题时，能够快速准确地判定问题级别，并按照相应的流程进行处理，最大程度降低异常事件对公司运营、客户体验和品牌声誉的影响。</w:t>
      </w:r>
    </w:p>
    <w:p w14:paraId="617659A0">
      <w:pPr>
        <w:pStyle w:val="3"/>
      </w:pPr>
      <w:r>
        <w:t>1.2 适用范围</w:t>
      </w:r>
    </w:p>
    <w:p w14:paraId="612B48A8">
      <w:r>
        <w:t>本标准适用于公司所有电商平台的运营活动，包括但不限于：</w:t>
      </w:r>
    </w:p>
    <w:p w14:paraId="42E65F16">
      <w:pPr>
        <w:numPr>
          <w:ilvl w:val="0"/>
          <w:numId w:val="1"/>
        </w:numPr>
        <w:ind w:firstLine="0"/>
      </w:pPr>
      <w:r>
        <w:t>亚马逊（Amazon）、沃尔玛（Walmart）等第三方平台店铺运营；</w:t>
      </w:r>
    </w:p>
    <w:p w14:paraId="18796763">
      <w:pPr>
        <w:numPr>
          <w:ilvl w:val="0"/>
          <w:numId w:val="1"/>
        </w:numPr>
        <w:ind w:firstLine="0"/>
      </w:pPr>
      <w:r>
        <w:t>独立站（DTC）及社交电商渠道的销售活动；</w:t>
      </w:r>
    </w:p>
    <w:p w14:paraId="5D9E1549">
      <w:pPr>
        <w:numPr>
          <w:ilvl w:val="0"/>
          <w:numId w:val="1"/>
        </w:numPr>
        <w:ind w:firstLine="0"/>
      </w:pPr>
      <w:r>
        <w:t>产品上架、销售、售后、物流等全链路业务环节；</w:t>
      </w:r>
    </w:p>
    <w:p w14:paraId="536A44ED">
      <w:pPr>
        <w:numPr>
          <w:ilvl w:val="0"/>
          <w:numId w:val="1"/>
        </w:numPr>
        <w:ind w:firstLine="0"/>
      </w:pPr>
      <w:r>
        <w:t>涉及产品质量、客户投诉、平台合规、法律风险等各类异常事件。</w:t>
      </w:r>
    </w:p>
    <w:p w14:paraId="56D91B9D">
      <w:pPr>
        <w:numPr>
          <w:ilvl w:val="0"/>
          <w:numId w:val="1"/>
        </w:numPr>
        <w:ind w:firstLine="0"/>
      </w:pPr>
      <w:r>
        <w:rPr>
          <w:rFonts w:hint="eastAsia"/>
          <w:lang w:val="en-US" w:eastAsia="zh-CN"/>
        </w:rPr>
        <w:t>本版本以亚马逊美国站作为试用</w:t>
      </w:r>
      <w:bookmarkStart w:id="0" w:name="_GoBack"/>
      <w:bookmarkEnd w:id="0"/>
    </w:p>
    <w:p w14:paraId="5C8FFADA">
      <w:pPr>
        <w:pStyle w:val="3"/>
      </w:pPr>
      <w:r>
        <w:t>1.3 判定原则</w:t>
      </w:r>
    </w:p>
    <w:p w14:paraId="483C4689">
      <w:pPr>
        <w:numPr>
          <w:ilvl w:val="0"/>
          <w:numId w:val="2"/>
        </w:numPr>
        <w:ind w:firstLine="0"/>
      </w:pPr>
      <w:r>
        <w:rPr>
          <w:b/>
        </w:rPr>
        <w:t>及时性原则：</w:t>
      </w:r>
      <w:r>
        <w:t>异常事件发生后，应在最短时间内完成级别判定并启动相应处理流程，避免因延迟响应导致损失扩大。</w:t>
      </w:r>
    </w:p>
    <w:p w14:paraId="67779C4E">
      <w:pPr>
        <w:numPr>
          <w:ilvl w:val="0"/>
          <w:numId w:val="2"/>
        </w:numPr>
        <w:ind w:firstLine="0"/>
      </w:pPr>
      <w:r>
        <w:rPr>
          <w:b/>
        </w:rPr>
        <w:t>就高不就低原则：</w:t>
      </w:r>
      <w:r>
        <w:t>当异常事件同时满足多个级别的判定条件时，以最高级别为准进行判定和处理。</w:t>
      </w:r>
    </w:p>
    <w:p w14:paraId="14466F32">
      <w:pPr>
        <w:numPr>
          <w:ilvl w:val="0"/>
          <w:numId w:val="2"/>
        </w:numPr>
        <w:ind w:firstLine="0"/>
      </w:pPr>
      <w:r>
        <w:rPr>
          <w:b/>
        </w:rPr>
        <w:t>动态调整原则：</w:t>
      </w:r>
      <w:r>
        <w:t>异常事件的级别应根据事态发展进行动态评估和调整，如情况恶化应及时升级处理。</w:t>
      </w:r>
    </w:p>
    <w:p w14:paraId="52C74660">
      <w:pPr>
        <w:numPr>
          <w:ilvl w:val="0"/>
          <w:numId w:val="2"/>
        </w:numPr>
        <w:ind w:firstLine="0"/>
      </w:pPr>
      <w:r>
        <w:rPr>
          <w:b/>
        </w:rPr>
        <w:t>完整记录原则：</w:t>
      </w:r>
      <w:r>
        <w:t>所有异常事件的判定过程、处理措施和结果应完整记录，作为后续复盘和改进的依据。</w:t>
      </w:r>
    </w:p>
    <w:p w14:paraId="2BBACA9B">
      <w:pPr>
        <w:pStyle w:val="2"/>
      </w:pPr>
      <w:r>
        <w:t>二、名词解释</w:t>
      </w:r>
    </w:p>
    <w:p w14:paraId="55BF8A0F">
      <w:r>
        <w:t>本章节对标准中涉及的专业术语和重要概念进行解释说明，以便于各岗位人员准确理解和执行判定标准。</w:t>
      </w:r>
    </w:p>
    <w:p w14:paraId="6ABFD843">
      <w:pPr>
        <w:pStyle w:val="3"/>
      </w:pPr>
      <w:r>
        <w:t>2.1 平台合规类术语</w:t>
      </w:r>
    </w:p>
    <w:p w14:paraId="0CB38E25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账户被封/资金冻结（Account Suspension）</w:t>
      </w:r>
      <w:r>
        <w:t>——指因违反平台规则或政策，导致卖家账户被平台暂停使用，账户内资金被冻结无法正常提现的情况。通常由知识产权投诉、售假、操纵评论、绩效指标不达标等原因引起。</w:t>
      </w:r>
    </w:p>
    <w:p w14:paraId="3D0ACE59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临时限制令（TRO）</w:t>
      </w:r>
      <w:r>
        <w:t>——TRO 全称 Temporary Restraining Order，即临时限制令。是美国法院在知识产权诉讼中签发的一种紧急禁令，要求被告（卖家）立即停止涉嫌侵权的销售行为，并冻结相关账户资金。TRO 有效期通常为14天，可申请延长。</w:t>
      </w:r>
    </w:p>
    <w:p w14:paraId="18F6AA11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黄牌警告</w:t>
      </w:r>
      <w:r>
        <w:t>——亚马逊平台对卖家账户的一种警告措施，表示账户存在违规行为但尚未达到封店程度。若在规定的时限内（通常为72小时）未采取有效整改措施，可能升级为红牌或账户停用。</w:t>
      </w:r>
    </w:p>
    <w:p w14:paraId="6FB49513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Listing 被强制下架（Suppressed）</w:t>
      </w:r>
      <w:r>
        <w:t>——指商品详情页（Listing）因不符合平台要求（如缺少必要信息、违规内容、客户投诉等）被平台隐藏或下架，消费者无法通过搜索或链接访问该商品页面。</w:t>
      </w:r>
    </w:p>
    <w:p w14:paraId="466AFF0C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Buy Box 丢失</w:t>
      </w:r>
      <w:r>
        <w:t>——Buy Box（购物车框）是亚马逊商品详情页右侧的购买区域。Buy Box 丢失意味着卖家不再是该商品的默认购买选项，导致销量大幅下降。常见原因包括价格不具竞争力、账户绩效问题、库存不足等。</w:t>
      </w:r>
    </w:p>
    <w:p w14:paraId="37EAEFF0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账户健康分（Account Health）</w:t>
      </w:r>
      <w:r>
        <w:t>——亚马逊平台对卖家账户健康状况的评分指标，满分通常为1000分。当健康分低于200分时，账户可能面临限制或停用风险。</w:t>
      </w:r>
    </w:p>
    <w:p w14:paraId="567A5C2B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ODR（订单缺陷率）</w:t>
      </w:r>
      <w:r>
        <w:t>——Order Defect Rate 的缩写，是衡量卖家订单质量的重要指标。计算公式为：缺陷订单数 / 总订单数 × 100%。缺陷订单包括差评（1-2星）、A-to-Z索赔、信用卡拒付等。亚马逊要求ODR低于1%。</w:t>
      </w:r>
    </w:p>
    <w:p w14:paraId="13D01BD8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配送绩效超标（Late Shipment）</w:t>
      </w:r>
      <w:r>
        <w:t>——指订单实际发货时间超过平台承诺的发货时间，或物流跟踪信息显示包裹未在承诺时间内送达。持续超标将影响账户绩效和买家购物体验。</w:t>
      </w:r>
    </w:p>
    <w:p w14:paraId="52A0E5A6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DSR 评分</w:t>
      </w:r>
      <w:r>
        <w:t>——Detailed Seller Ratings 的缩写，即卖家详细评分。买家可从商品描述准确性、沟通质量、发货速度三个方面对卖家进行1-5星评分。DSR评分低于4.6分可能影响账户健康。</w:t>
      </w:r>
    </w:p>
    <w:p w14:paraId="46D7B9D9">
      <w:pPr>
        <w:pStyle w:val="3"/>
      </w:pPr>
      <w:r>
        <w:t>2.2 客户伤害类术语</w:t>
      </w:r>
    </w:p>
    <w:p w14:paraId="328E5CA3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人身伤害</w:t>
      </w:r>
      <w:r>
        <w:t>——指因产品缺陷、设计问题或使用不当导致消费者身体受到伤害的情况，包括但不限于划伤、烫伤、电击、中毒等。</w:t>
      </w:r>
    </w:p>
    <w:p w14:paraId="0C6880D2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永久性伤残</w:t>
      </w:r>
      <w:r>
        <w:t>——指因产品原因导致的不可逆的身体损伤或功能障碍，严重影响受害者的正常生活和工作能力。</w:t>
      </w:r>
    </w:p>
    <w:p w14:paraId="74666310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群体健康危害</w:t>
      </w:r>
      <w:r>
        <w:t>——指同一产品问题影响多名消费者的身体健康，如批量产品含有害物质、引发过敏或疾病等，具有公共卫生风险。</w:t>
      </w:r>
    </w:p>
    <w:p w14:paraId="4581A9BE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儿童误食风险</w:t>
      </w:r>
      <w:r>
        <w:t>——指产品含有小零件、纽扣电池、磁铁或其他可能被儿童误吞的部件，存在窒息、中毒、肠道损伤等安全隐患。</w:t>
      </w:r>
    </w:p>
    <w:p w14:paraId="66607CA0">
      <w:pPr>
        <w:pStyle w:val="3"/>
      </w:pPr>
      <w:r>
        <w:t>2.3 法律法规类术语</w:t>
      </w:r>
    </w:p>
    <w:p w14:paraId="5EFF2F78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CPSC</w:t>
      </w:r>
      <w:r>
        <w:t>——Consumer Product Safety Commission 的缩写，即美国消费品安全委员会。负责制定消费品安全标准，对存在安全隐患的产品进行调查和召回。</w:t>
      </w:r>
    </w:p>
    <w:p w14:paraId="4C9E1E44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FDA</w:t>
      </w:r>
      <w:r>
        <w:t>——Food and Drug Administration 的缩写，即美国食品药品监督管理局。负责监管食品、药品、医疗器械、化妆品等产品的安全性和有效性。</w:t>
      </w:r>
    </w:p>
    <w:p w14:paraId="21238C8A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FCC</w:t>
      </w:r>
      <w:r>
        <w:t>——Federal Communications Commission 的缩写，即美国联邦通信委员会。负责监管无线电、电视、电信、卫星和有线通信等电子设备，要求相关产品必须通过FCC认证。</w:t>
      </w:r>
    </w:p>
    <w:p w14:paraId="29FD944E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CE 认证</w:t>
      </w:r>
      <w:r>
        <w:t>——Conformite Europeenne 的缩写，即欧洲合格认证。是产品进入欧盟市场的强制性安全认证标志，表明产品符合欧盟相关指令要求。</w:t>
      </w:r>
    </w:p>
    <w:p w14:paraId="52355111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GDPR</w:t>
      </w:r>
      <w:r>
        <w:t>——General Data Protection Regulation 的缩写，即欧盟《通用数据保护条例》。规定了个人数据收集、处理、存储的严格要求，违规可能面临高达全球营收4%的罚款。</w:t>
      </w:r>
    </w:p>
    <w:p w14:paraId="61DBE05C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CCPA</w:t>
      </w:r>
      <w:r>
        <w:t>——California Consumer Privacy Act 的缩写，即《加州消费者隐私法案》。美国加州的数据保护法律，赋予消费者对其个人信息的知情权、删除权和选择退出权。</w:t>
      </w:r>
    </w:p>
    <w:p w14:paraId="27DD9C66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FTC</w:t>
      </w:r>
      <w:r>
        <w:t>——Federal Trade Commission 的缩写，即美国联邦贸易委员会。负责执行消费者保护法和反垄断法，对虚假宣传、欺诈性商业行为进行监管和处罚。</w:t>
      </w:r>
    </w:p>
    <w:p w14:paraId="6880A118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TRO（法律层面）</w:t>
      </w:r>
      <w:r>
        <w:t>——Temporary Restraining Order，临时限制令。法院在民事诉讼中签发的一种紧急禁令，禁止被告在案件审理期间从事特定行为，常用于知识产权侵权案件中冻结卖家账户资金。</w:t>
      </w:r>
    </w:p>
    <w:p w14:paraId="5E68E992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Class Action</w:t>
      </w:r>
      <w:r>
        <w:t>——集体诉讼。指一名或数名原告代表具有相同利益诉求的群体向法院提起的诉讼。在电商领域，常见于产品质量问题、数据泄露、虚假宣传等涉及大量消费者权益的案件。</w:t>
      </w:r>
    </w:p>
    <w:p w14:paraId="7CC1BE69">
      <w:pPr>
        <w:pStyle w:val="3"/>
      </w:pPr>
      <w:r>
        <w:t>2.4 其他术语</w:t>
      </w:r>
    </w:p>
    <w:p w14:paraId="0D1B1C7F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SKU</w:t>
      </w:r>
      <w:r>
        <w:t>——Stock Keeping Unit 的缩写，即库存保有单位。是库存管理中的最小计量单位，每个SKU对应唯一的商品编码，用于区分不同规格、颜色、型号的产品。</w:t>
      </w:r>
    </w:p>
    <w:p w14:paraId="034E8876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POA</w:t>
      </w:r>
      <w:r>
        <w:t>——Plan of Action 的缩写，即行动计划书。是卖家在账户被平台暂停或商品下架时，向平台提交的整改方案文件，需包含问题根因分析、已采取的措施和预防措施三部分。</w:t>
      </w:r>
    </w:p>
    <w:p w14:paraId="66DF5951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AG Office</w:t>
      </w:r>
      <w:r>
        <w:t>——Attorney General Office 的缩写，即州检察长办公室。美国各州负责消费者权益保护和法律执行的机构，可代表消费者对企业提起集体诉讼。</w:t>
      </w:r>
    </w:p>
    <w:p w14:paraId="6B886EA7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BBB</w:t>
      </w:r>
      <w:r>
        <w:t>——Better Business Bureau 的缩写，即美国商业改进局。非营利性组织，负责收集和处理消费者对企业服务的投诉，并对企业进行评级（A+至F）。</w:t>
      </w:r>
    </w:p>
    <w:p w14:paraId="0A4AB2C2">
      <w:pPr>
        <w:spacing w:before="120" w:after="80"/>
        <w:ind w:firstLine="0"/>
      </w:pPr>
      <w:r>
        <w:rPr>
          <w:rFonts w:ascii="Times New Roman" w:hAnsi="Times New Roman" w:eastAsia="黑体"/>
          <w:b/>
          <w:sz w:val="24"/>
        </w:rPr>
        <w:t>FCC ID</w:t>
      </w:r>
      <w:r>
        <w:t>——美国联邦通信委员会为通过认证的电子设备分配的唯一标识符。产品标签上必须标注FCC ID，以证明该设备已通过FCC认证。</w:t>
      </w:r>
    </w:p>
    <w:p w14:paraId="732A1E66">
      <w:pPr>
        <w:pStyle w:val="2"/>
      </w:pPr>
      <w:r>
        <w:t>三、异常级别分类标准</w:t>
      </w:r>
    </w:p>
    <w:p w14:paraId="46317591">
      <w:r>
        <w:t>本章节按照异常事件的严重程度，将其划分为 P0（致命）、P1（高危）、P2（中危）、P3（低危）四个级别。各级别的判定标准如下：</w:t>
      </w:r>
    </w:p>
    <w:p w14:paraId="742C3F14">
      <w:pPr>
        <w:pStyle w:val="3"/>
      </w:pPr>
      <w:r>
        <w:t>3.1 P0 级（致命/封店）</w:t>
      </w:r>
    </w:p>
    <w:p w14:paraId="3E7C5C92">
      <w:r>
        <w:t>P0级异常是指对公司生存和发展构成致命威胁的紧急事件，可能导致店铺被封、资金被冻结、面临重大法律诉讼或造成严重人身伤害。此类异常需要最高优先级的响应和处理。</w:t>
      </w:r>
    </w:p>
    <w:tbl>
      <w:tblPr>
        <w:tblStyle w:val="7"/>
        <w:tblW w:w="5000" w:type="pct"/>
        <w:tblInd w:w="0" w:type="dxa"/>
        <w:tblBorders>
          <w:top w:val="single" w:color="333333" w:sz="8" w:space="0"/>
          <w:left w:val="single" w:color="CCCCCC" w:sz="4" w:space="0"/>
          <w:bottom w:val="single" w:color="333333" w:sz="8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6"/>
        <w:gridCol w:w="7410"/>
      </w:tblGrid>
      <w:tr w14:paraId="197B44A3">
        <w:trPr>
          <w:tblHeader/>
        </w:trPr>
        <w:tc>
          <w:tcPr>
            <w:tcW w:w="0" w:type="auto"/>
            <w:shd w:val="clear" w:color="auto" w:fill="E8E8E8"/>
          </w:tcPr>
          <w:p w14:paraId="47EC7535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判定维度</w:t>
            </w:r>
          </w:p>
        </w:tc>
        <w:tc>
          <w:tcPr>
            <w:tcW w:w="0" w:type="auto"/>
            <w:shd w:val="clear" w:color="auto" w:fill="E8E8E8"/>
          </w:tcPr>
          <w:p w14:paraId="1AE5AACF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判定标准（红线定义）</w:t>
            </w:r>
          </w:p>
        </w:tc>
      </w:tr>
      <w:tr w14:paraId="3352F3DC">
        <w:tc>
          <w:tcPr>
            <w:tcW w:w="0" w:type="auto"/>
          </w:tcPr>
          <w:p w14:paraId="6FE9E4D4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平台合规</w:t>
            </w:r>
          </w:p>
        </w:tc>
        <w:tc>
          <w:tcPr>
            <w:tcW w:w="0" w:type="auto"/>
          </w:tcPr>
          <w:p w14:paraId="634BEA6C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账户被封/资金冻结（Account Suspension）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TRO临时限制令（资金冻结）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亚马逊黄牌警告（72小时内不解决封店）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店铺被监管/清退</w:t>
            </w:r>
          </w:p>
        </w:tc>
      </w:tr>
      <w:tr w14:paraId="22C45C4B">
        <w:tc>
          <w:tcPr>
            <w:tcW w:w="0" w:type="auto"/>
          </w:tcPr>
          <w:p w14:paraId="6BCD60F7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客户伤害</w:t>
            </w:r>
          </w:p>
        </w:tc>
        <w:tc>
          <w:tcPr>
            <w:tcW w:w="0" w:type="auto"/>
          </w:tcPr>
          <w:p w14:paraId="1733E155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人身伤害/死亡风险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永久性伤残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群体性健康危害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儿童误食窒息风险</w:t>
            </w:r>
          </w:p>
        </w:tc>
      </w:tr>
      <w:tr w14:paraId="76D7A164">
        <w:tc>
          <w:tcPr>
            <w:tcW w:w="0" w:type="auto"/>
          </w:tcPr>
          <w:p w14:paraId="54EFA14B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法律法规</w:t>
            </w:r>
          </w:p>
        </w:tc>
        <w:tc>
          <w:tcPr>
            <w:tcW w:w="0" w:type="auto"/>
          </w:tcPr>
          <w:p w14:paraId="1B5C61AF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CPSC/FDA强制召回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FTC欺诈指控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刑事诉讼风险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数据泄露集体诉讼（GDPR/CCPA）</w:t>
            </w:r>
          </w:p>
        </w:tc>
      </w:tr>
    </w:tbl>
    <w:p w14:paraId="6247A33C">
      <w:r>
        <w:t>跨境电商典型示例：电池起火/爆炸导致客户烧伤；电机过热引发火灾；触电致死风险（绝缘失效）；CPSC强制召回指令；集体诉讼（Class Action）立案。</w:t>
      </w:r>
    </w:p>
    <w:p w14:paraId="101BAA04">
      <w:pPr>
        <w:pStyle w:val="3"/>
      </w:pPr>
      <w:r>
        <w:t>3.2 P1 级（高危/下架）</w:t>
      </w:r>
    </w:p>
    <w:p w14:paraId="6D6E75D7">
      <w:r>
        <w:t>P1级异常是指对业务运营造成重大影响的严重事件，可能导致商品被强制下架、Buy Box丢失、品牌声誉受损或面临法律风险。需要紧急响应并在24小时内制定解决方案。</w:t>
      </w:r>
    </w:p>
    <w:tbl>
      <w:tblPr>
        <w:tblStyle w:val="7"/>
        <w:tblW w:w="5000" w:type="pct"/>
        <w:tblInd w:w="0" w:type="dxa"/>
        <w:tblBorders>
          <w:top w:val="single" w:color="333333" w:sz="8" w:space="0"/>
          <w:left w:val="single" w:color="CCCCCC" w:sz="4" w:space="0"/>
          <w:bottom w:val="single" w:color="333333" w:sz="8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1"/>
        <w:gridCol w:w="7235"/>
      </w:tblGrid>
      <w:tr w14:paraId="394B37FF">
        <w:trPr>
          <w:tblHeader/>
        </w:trPr>
        <w:tc>
          <w:tcPr>
            <w:tcW w:w="0" w:type="auto"/>
            <w:shd w:val="clear" w:color="auto" w:fill="E8E8E8"/>
          </w:tcPr>
          <w:p w14:paraId="5893D300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判定维度</w:t>
            </w:r>
          </w:p>
        </w:tc>
        <w:tc>
          <w:tcPr>
            <w:tcW w:w="0" w:type="auto"/>
            <w:shd w:val="clear" w:color="auto" w:fill="E8E8E8"/>
          </w:tcPr>
          <w:p w14:paraId="4CFCBCF5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判定标准（红线定义）</w:t>
            </w:r>
          </w:p>
        </w:tc>
      </w:tr>
      <w:tr w14:paraId="2214BC69">
        <w:tc>
          <w:tcPr>
            <w:tcW w:w="0" w:type="auto"/>
          </w:tcPr>
          <w:p w14:paraId="3C82C07B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平台合规</w:t>
            </w:r>
          </w:p>
        </w:tc>
        <w:tc>
          <w:tcPr>
            <w:tcW w:w="0" w:type="auto"/>
          </w:tcPr>
          <w:p w14:paraId="44A690D9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Listing被强制下架（Suppressed）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Buy Box丢失/品类权限被移除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账户健康分（Account Health）&lt;200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其他店铺商品被下架/限制权重</w:t>
            </w:r>
          </w:p>
        </w:tc>
      </w:tr>
      <w:tr w14:paraId="1630DEDE">
        <w:tc>
          <w:tcPr>
            <w:tcW w:w="0" w:type="auto"/>
          </w:tcPr>
          <w:p w14:paraId="10EFF521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客户伤害</w:t>
            </w:r>
          </w:p>
        </w:tc>
        <w:tc>
          <w:tcPr>
            <w:tcW w:w="0" w:type="auto"/>
          </w:tcPr>
          <w:p w14:paraId="538A4DB8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潜在安全隐患（电池鼓包/玻璃裂纹）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批量产品失效（&gt;10%客诉率）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精神损害（隐私泄露恐惧）</w:t>
            </w:r>
          </w:p>
        </w:tc>
      </w:tr>
      <w:tr w14:paraId="21ED3895">
        <w:tc>
          <w:tcPr>
            <w:tcW w:w="0" w:type="auto"/>
          </w:tcPr>
          <w:p w14:paraId="113296F5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法律法规</w:t>
            </w:r>
          </w:p>
        </w:tc>
        <w:tc>
          <w:tcPr>
            <w:tcW w:w="0" w:type="auto"/>
          </w:tcPr>
          <w:p w14:paraId="5A160D9F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消费者集体投诉（AG Office投诉）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平台合规调查介入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知识产权诉讼（专利/商标）</w:t>
            </w:r>
          </w:p>
        </w:tc>
      </w:tr>
    </w:tbl>
    <w:p w14:paraId="4A538D8B">
      <w:r>
        <w:t>跨境电商典型示例：KOL差评视频（&gt;10万播放）提及安全隐患；标题侵权被TRO；FDA医疗宣称警告；虚假宣传被FTC调查。</w:t>
      </w:r>
    </w:p>
    <w:p w14:paraId="55D51D61">
      <w:pPr>
        <w:pStyle w:val="3"/>
      </w:pPr>
      <w:r>
        <w:t>3.3 P2 级（中危/体验）</w:t>
      </w:r>
    </w:p>
    <w:p w14:paraId="6EF1D618">
      <w:r>
        <w:t>P2级异常是指对客户购物体验和店铺运营造成中等影响的事件，虽然不会立即导致严重后果，但如不及时处理可能升级为更高级别异常。需要在72小时内制定并执行解决方案。</w:t>
      </w:r>
    </w:p>
    <w:tbl>
      <w:tblPr>
        <w:tblStyle w:val="7"/>
        <w:tblW w:w="5000" w:type="pct"/>
        <w:tblInd w:w="0" w:type="dxa"/>
        <w:tblBorders>
          <w:top w:val="single" w:color="333333" w:sz="8" w:space="0"/>
          <w:left w:val="single" w:color="CCCCCC" w:sz="4" w:space="0"/>
          <w:bottom w:val="single" w:color="333333" w:sz="8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1"/>
        <w:gridCol w:w="7315"/>
      </w:tblGrid>
      <w:tr w14:paraId="45DA5D23">
        <w:trPr>
          <w:tblHeader/>
        </w:trPr>
        <w:tc>
          <w:tcPr>
            <w:tcW w:w="0" w:type="auto"/>
            <w:shd w:val="clear" w:color="auto" w:fill="E8E8E8"/>
          </w:tcPr>
          <w:p w14:paraId="50C8BCC8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判定维度</w:t>
            </w:r>
          </w:p>
        </w:tc>
        <w:tc>
          <w:tcPr>
            <w:tcW w:w="0" w:type="auto"/>
            <w:shd w:val="clear" w:color="auto" w:fill="E8E8E8"/>
          </w:tcPr>
          <w:p w14:paraId="57947A86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判定标准（红线定义）</w:t>
            </w:r>
          </w:p>
        </w:tc>
      </w:tr>
      <w:tr w14:paraId="05504A91">
        <w:tc>
          <w:tcPr>
            <w:tcW w:w="0" w:type="auto"/>
          </w:tcPr>
          <w:p w14:paraId="006D3546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平台合规</w:t>
            </w:r>
          </w:p>
        </w:tc>
        <w:tc>
          <w:tcPr>
            <w:tcW w:w="0" w:type="auto"/>
          </w:tcPr>
          <w:p w14:paraId="16C29DCE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ODR（订单缺陷率）&gt;1%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退货率异常升高-高退货率标签（&gt;8%）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配送绩效超标（Late Shipment）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负面Feedback批量增长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DSR评分下降（&lt;4.6）</w:t>
            </w:r>
          </w:p>
        </w:tc>
      </w:tr>
      <w:tr w14:paraId="4C9CE1CD">
        <w:tc>
          <w:tcPr>
            <w:tcW w:w="0" w:type="auto"/>
          </w:tcPr>
          <w:p w14:paraId="3FF8C7FD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客户伤害</w:t>
            </w:r>
          </w:p>
        </w:tc>
        <w:tc>
          <w:tcPr>
            <w:tcW w:w="0" w:type="auto"/>
          </w:tcPr>
          <w:p w14:paraId="0451F2BA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轻度财产损失（产品损坏）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使用体验严重受损（功能失效）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误判健康数据（体脂率偏差导致焦虑）</w:t>
            </w:r>
          </w:p>
        </w:tc>
      </w:tr>
      <w:tr w14:paraId="1DDB032D">
        <w:tc>
          <w:tcPr>
            <w:tcW w:w="0" w:type="auto"/>
          </w:tcPr>
          <w:p w14:paraId="135DDB71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法律法规</w:t>
            </w:r>
          </w:p>
        </w:tc>
        <w:tc>
          <w:tcPr>
            <w:tcW w:w="0" w:type="auto"/>
          </w:tcPr>
          <w:p w14:paraId="4B71CAB6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一般性消费者投诉（BBB投诉）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标签合规问题（FCC ID缺失）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质检报告过期/缺失</w:t>
            </w:r>
          </w:p>
        </w:tc>
      </w:tr>
    </w:tbl>
    <w:p w14:paraId="3D1C84B1">
      <w:r>
        <w:t>跨境电商典型示例：物流破损率&gt;5%；续航严重虚标（实际&lt;50%标注）；按摩头断裂卡死；说明书缺失导致批量退货；蓝牙连接失败率&gt;30%。</w:t>
      </w:r>
    </w:p>
    <w:p w14:paraId="65AF2BFA">
      <w:pPr>
        <w:pStyle w:val="3"/>
      </w:pPr>
      <w:r>
        <w:t>3.4 P3 级（低危/常规）</w:t>
      </w:r>
    </w:p>
    <w:p w14:paraId="171AD984">
      <w:r>
        <w:t>P3级异常是指日常运营中常见的轻微问题，对业务和用户体验影响较小，可通过常规流程进行处理。</w:t>
      </w:r>
    </w:p>
    <w:tbl>
      <w:tblPr>
        <w:tblStyle w:val="7"/>
        <w:tblW w:w="5000" w:type="pct"/>
        <w:tblInd w:w="0" w:type="dxa"/>
        <w:tblBorders>
          <w:top w:val="single" w:color="333333" w:sz="8" w:space="0"/>
          <w:left w:val="single" w:color="CCCCCC" w:sz="4" w:space="0"/>
          <w:bottom w:val="single" w:color="333333" w:sz="8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1"/>
        <w:gridCol w:w="7225"/>
      </w:tblGrid>
      <w:tr w14:paraId="0FA31756">
        <w:trPr>
          <w:tblHeader/>
        </w:trPr>
        <w:tc>
          <w:tcPr>
            <w:tcW w:w="0" w:type="auto"/>
            <w:shd w:val="clear" w:color="auto" w:fill="E8E8E8"/>
          </w:tcPr>
          <w:p w14:paraId="7F4016B2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判定维度</w:t>
            </w:r>
          </w:p>
        </w:tc>
        <w:tc>
          <w:tcPr>
            <w:tcW w:w="0" w:type="auto"/>
            <w:shd w:val="clear" w:color="auto" w:fill="E8E8E8"/>
          </w:tcPr>
          <w:p w14:paraId="31AEDB7D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判定标准（红线定义）</w:t>
            </w:r>
          </w:p>
        </w:tc>
      </w:tr>
      <w:tr w14:paraId="71E9E365">
        <w:tc>
          <w:tcPr>
            <w:tcW w:w="0" w:type="auto"/>
          </w:tcPr>
          <w:p w14:paraId="3E055113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平台合规</w:t>
            </w:r>
          </w:p>
        </w:tc>
        <w:tc>
          <w:tcPr>
            <w:tcW w:w="0" w:type="auto"/>
          </w:tcPr>
          <w:p w14:paraId="45BE4E92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个别差评（非恶意）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一般性咨询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产品改进建议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轻微描述不符（色差/尺寸误差&lt;5%）</w:t>
            </w:r>
          </w:p>
        </w:tc>
      </w:tr>
      <w:tr w14:paraId="716094A7">
        <w:tc>
          <w:tcPr>
            <w:tcW w:w="0" w:type="auto"/>
          </w:tcPr>
          <w:p w14:paraId="63FED501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售后服务</w:t>
            </w:r>
          </w:p>
        </w:tc>
        <w:tc>
          <w:tcPr>
            <w:tcW w:w="0" w:type="auto"/>
          </w:tcPr>
          <w:p w14:paraId="7A227C0E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保修期内正常维修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配件更换需求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发票开具申请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退换货申请（符合政策）</w:t>
            </w:r>
          </w:p>
        </w:tc>
      </w:tr>
      <w:tr w14:paraId="5668E6F2">
        <w:tc>
          <w:tcPr>
            <w:tcW w:w="0" w:type="auto"/>
          </w:tcPr>
          <w:p w14:paraId="24E40872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运营优化</w:t>
            </w:r>
          </w:p>
        </w:tc>
        <w:tc>
          <w:tcPr>
            <w:tcW w:w="0" w:type="auto"/>
          </w:tcPr>
          <w:p w14:paraId="21185F09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产品功能优化建议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包装改进建议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营销活动反馈</w:t>
            </w:r>
            <w:r>
              <w:br w:type="textWrapping"/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竞品对比咨询</w:t>
            </w:r>
          </w:p>
        </w:tc>
      </w:tr>
    </w:tbl>
    <w:p w14:paraId="31675A22">
      <w:r>
        <w:t>跨境电商典型示例：按摩头使用方法咨询；档位选择建议；轻微噪音抱怨（&lt;5db偏差）；收纳包异味；颜色轻微色差。</w:t>
      </w:r>
    </w:p>
    <w:p w14:paraId="55C40D99">
      <w:pPr>
        <w:pStyle w:val="2"/>
      </w:pPr>
      <w:r>
        <w:t>四、判定维度与流程</w:t>
      </w:r>
    </w:p>
    <w:p w14:paraId="4443957F">
      <w:r>
        <w:t>本章节说明异常级别判定的核心维度和具体操作流程，确保判定过程的一致性和准确性。</w:t>
      </w:r>
    </w:p>
    <w:p w14:paraId="6A35D5F4">
      <w:pPr>
        <w:pStyle w:val="3"/>
      </w:pPr>
      <w:r>
        <w:t>4.1 判定维度说明</w:t>
      </w:r>
    </w:p>
    <w:p w14:paraId="12BDB2D2">
      <w:r>
        <w:t>异常级别判定主要从以下三个维度进行综合评估：</w:t>
      </w:r>
    </w:p>
    <w:p w14:paraId="09F4B4AE">
      <w:pPr>
        <w:pStyle w:val="4"/>
      </w:pPr>
      <w:r>
        <w:t>4.1.1 平台合规维度</w:t>
      </w:r>
    </w:p>
    <w:p w14:paraId="06418218">
      <w:r>
        <w:t>评估异常事件对平台账户健康度和正常运营的影响程度。需关注以下指标：</w:t>
      </w:r>
    </w:p>
    <w:p w14:paraId="7EB98A5F">
      <w:pPr>
        <w:numPr>
          <w:ilvl w:val="0"/>
          <w:numId w:val="1"/>
        </w:numPr>
        <w:ind w:firstLine="0"/>
      </w:pPr>
      <w:r>
        <w:t>账户状态：是否收到平台警告、限制或暂停通知；</w:t>
      </w:r>
    </w:p>
    <w:p w14:paraId="5F8C99AC">
      <w:pPr>
        <w:numPr>
          <w:ilvl w:val="0"/>
          <w:numId w:val="1"/>
        </w:numPr>
        <w:ind w:firstLine="0"/>
      </w:pPr>
      <w:r>
        <w:t>绩效指标：ODR、退货率、DSR评分等是否超出平台阈值；</w:t>
      </w:r>
    </w:p>
    <w:p w14:paraId="52813DE0">
      <w:pPr>
        <w:numPr>
          <w:ilvl w:val="0"/>
          <w:numId w:val="1"/>
        </w:numPr>
        <w:ind w:firstLine="0"/>
      </w:pPr>
      <w:r>
        <w:t>资金风险：账户资金是否被冻结或存在冻结风险；</w:t>
      </w:r>
    </w:p>
    <w:p w14:paraId="1096C250">
      <w:pPr>
        <w:numPr>
          <w:ilvl w:val="0"/>
          <w:numId w:val="1"/>
        </w:numPr>
        <w:ind w:firstLine="0"/>
      </w:pPr>
      <w:r>
        <w:t>商品状态：Listing是否被下架、Buy Box是否丢失；</w:t>
      </w:r>
    </w:p>
    <w:p w14:paraId="54DD5CA3">
      <w:pPr>
        <w:numPr>
          <w:ilvl w:val="0"/>
          <w:numId w:val="1"/>
        </w:numPr>
        <w:ind w:firstLine="0"/>
      </w:pPr>
      <w:r>
        <w:t>整改时限：平台是否设定了整改截止日期。</w:t>
      </w:r>
    </w:p>
    <w:p w14:paraId="5E625C95">
      <w:pPr>
        <w:pStyle w:val="4"/>
      </w:pPr>
      <w:r>
        <w:t>4.1.2 客户伤害维度</w:t>
      </w:r>
    </w:p>
    <w:p w14:paraId="2A356E43">
      <w:r>
        <w:t>评估异常事件对消费者造成的实际或潜在伤害程度。需考虑以下因素：</w:t>
      </w:r>
    </w:p>
    <w:p w14:paraId="28986C35">
      <w:pPr>
        <w:numPr>
          <w:ilvl w:val="0"/>
          <w:numId w:val="1"/>
        </w:numPr>
        <w:ind w:firstLine="0"/>
      </w:pPr>
      <w:r>
        <w:t>伤害类型：人身伤害、财产损失、精神损害；</w:t>
      </w:r>
    </w:p>
    <w:p w14:paraId="6C93B603">
      <w:pPr>
        <w:numPr>
          <w:ilvl w:val="0"/>
          <w:numId w:val="1"/>
        </w:numPr>
        <w:ind w:firstLine="0"/>
      </w:pPr>
      <w:r>
        <w:t>伤害程度：轻微、中度、严重、致命；</w:t>
      </w:r>
    </w:p>
    <w:p w14:paraId="7046177C">
      <w:pPr>
        <w:numPr>
          <w:ilvl w:val="0"/>
          <w:numId w:val="1"/>
        </w:numPr>
        <w:ind w:firstLine="0"/>
      </w:pPr>
      <w:r>
        <w:t>影响范围：个别客户、批量客户、群体性事件；</w:t>
      </w:r>
    </w:p>
    <w:p w14:paraId="5EA0C597">
      <w:pPr>
        <w:numPr>
          <w:ilvl w:val="0"/>
          <w:numId w:val="1"/>
        </w:numPr>
        <w:ind w:firstLine="0"/>
      </w:pPr>
      <w:r>
        <w:t>客户群体：普通成人、儿童、老年人、孕妇等特殊群体；</w:t>
      </w:r>
    </w:p>
    <w:p w14:paraId="775627C2">
      <w:pPr>
        <w:numPr>
          <w:ilvl w:val="0"/>
          <w:numId w:val="1"/>
        </w:numPr>
        <w:ind w:firstLine="0"/>
      </w:pPr>
      <w:r>
        <w:t>潜在风险：是否存在可预见的持续性伤害风险。</w:t>
      </w:r>
    </w:p>
    <w:p w14:paraId="7B019CEE">
      <w:pPr>
        <w:pStyle w:val="4"/>
      </w:pPr>
      <w:r>
        <w:t>4.1.3 法律法规维度</w:t>
      </w:r>
    </w:p>
    <w:p w14:paraId="61C92039">
      <w:r>
        <w:t>评估异常事件涉及的法律合规风险和监管处罚可能性。需关注以下方面：</w:t>
      </w:r>
    </w:p>
    <w:p w14:paraId="47376B92">
      <w:pPr>
        <w:numPr>
          <w:ilvl w:val="0"/>
          <w:numId w:val="1"/>
        </w:numPr>
        <w:ind w:firstLine="0"/>
      </w:pPr>
      <w:r>
        <w:t>监管机构：CPSC、FDA、FTC、FCC等是否已介入或可能介入；</w:t>
      </w:r>
    </w:p>
    <w:p w14:paraId="3E94713E">
      <w:pPr>
        <w:numPr>
          <w:ilvl w:val="0"/>
          <w:numId w:val="1"/>
        </w:numPr>
        <w:ind w:firstLine="0"/>
      </w:pPr>
      <w:r>
        <w:t>法律诉讼：是否面临集体诉讼、TRO、刑事诉讼等法律风险；</w:t>
      </w:r>
    </w:p>
    <w:p w14:paraId="546989F3">
      <w:pPr>
        <w:numPr>
          <w:ilvl w:val="0"/>
          <w:numId w:val="1"/>
        </w:numPr>
        <w:ind w:firstLine="0"/>
      </w:pPr>
      <w:r>
        <w:t>强制召回：是否收到或可能收到产品召回指令；</w:t>
      </w:r>
    </w:p>
    <w:p w14:paraId="4C7AE2F6">
      <w:pPr>
        <w:numPr>
          <w:ilvl w:val="0"/>
          <w:numId w:val="1"/>
        </w:numPr>
        <w:ind w:firstLine="0"/>
      </w:pPr>
      <w:r>
        <w:t>数据合规：是否存在GDPR、CCPA等数据保护法规的违规风险；</w:t>
      </w:r>
    </w:p>
    <w:p w14:paraId="55E51DDA">
      <w:pPr>
        <w:numPr>
          <w:ilvl w:val="0"/>
          <w:numId w:val="1"/>
        </w:numPr>
        <w:ind w:firstLine="0"/>
      </w:pPr>
      <w:r>
        <w:t>认证合规：产品是否具备所需的认证（CE、FCC等）及标签标识。</w:t>
      </w:r>
    </w:p>
    <w:p w14:paraId="778F22C8">
      <w:pPr>
        <w:pStyle w:val="3"/>
      </w:pPr>
      <w:r>
        <w:t>4.2 判定流程图</w:t>
      </w:r>
    </w:p>
    <w:p w14:paraId="042F97AE">
      <w:r>
        <w:t>异常级别判定的标准流程如下：</w:t>
      </w:r>
    </w:p>
    <w:p w14:paraId="614A9E89">
      <w:pPr>
        <w:pBdr>
          <w:left w:val="single" w:color="333333" w:sz="12" w:space="8"/>
        </w:pBdr>
        <w:spacing w:before="160" w:after="80"/>
        <w:ind w:firstLine="0"/>
      </w:pPr>
      <w:r>
        <w:rPr>
          <w:rFonts w:ascii="Times New Roman" w:hAnsi="Times New Roman" w:eastAsia="黑体"/>
          <w:b/>
          <w:sz w:val="24"/>
        </w:rPr>
        <w:t>第一步：异常事件报告</w:t>
      </w:r>
      <w:r>
        <w:rPr>
          <w:rFonts w:ascii="Times New Roman" w:hAnsi="Times New Roman" w:eastAsia="宋体"/>
          <w:sz w:val="24"/>
        </w:rPr>
        <w:t xml:space="preserve">  异常事件发现人（客服、运营、品控等）应在发现异常后的30分钟内，通过指定渠道（如钉钉、企业微信或内部系统）进行事件报告，报告内容应包括：事件描述、发现时间、涉及产品/订单、初步影响评估。</w:t>
      </w:r>
    </w:p>
    <w:p w14:paraId="0FC36490">
      <w:pPr>
        <w:pBdr>
          <w:left w:val="single" w:color="333333" w:sz="12" w:space="8"/>
        </w:pBdr>
        <w:spacing w:before="160" w:after="80"/>
        <w:ind w:firstLine="0"/>
      </w:pPr>
      <w:r>
        <w:rPr>
          <w:rFonts w:ascii="Times New Roman" w:hAnsi="Times New Roman" w:eastAsia="黑体"/>
          <w:b/>
          <w:sz w:val="24"/>
        </w:rPr>
        <w:t>第二步：信息收集与核实</w:t>
      </w:r>
      <w:r>
        <w:rPr>
          <w:rFonts w:ascii="Times New Roman" w:hAnsi="Times New Roman" w:eastAsia="宋体"/>
          <w:sz w:val="24"/>
        </w:rPr>
        <w:t xml:space="preserve">  异常处理负责人接到报告后，应立即开展信息收集工作，包括：核实事件真实性、收集相关证据（截图、订单信息、客户反馈等）、评估影响范围、确认是否涉及多个平台或产品线。信息收集应在响应时效要求的1/3时间内完成。</w:t>
      </w:r>
    </w:p>
    <w:p w14:paraId="0196B92B">
      <w:pPr>
        <w:pBdr>
          <w:left w:val="single" w:color="333333" w:sz="12" w:space="8"/>
        </w:pBdr>
        <w:spacing w:before="160" w:after="80"/>
        <w:ind w:firstLine="0"/>
      </w:pPr>
      <w:r>
        <w:rPr>
          <w:rFonts w:ascii="Times New Roman" w:hAnsi="Times New Roman" w:eastAsia="黑体"/>
          <w:b/>
          <w:sz w:val="24"/>
        </w:rPr>
        <w:t>第三步：多维度评估</w:t>
      </w:r>
      <w:r>
        <w:rPr>
          <w:rFonts w:ascii="Times New Roman" w:hAnsi="Times New Roman" w:eastAsia="宋体"/>
          <w:sz w:val="24"/>
        </w:rPr>
        <w:t xml:space="preserve">  按照4.1节的三个判定维度（平台合规、客户伤害、法律法规）分别进行评估，确定每个维度的严重程度。评估时应参考第三章的分类标准，使用"就高不就低"原则。</w:t>
      </w:r>
    </w:p>
    <w:p w14:paraId="1376EE84">
      <w:pPr>
        <w:pBdr>
          <w:left w:val="single" w:color="333333" w:sz="12" w:space="8"/>
        </w:pBdr>
        <w:spacing w:before="160" w:after="80"/>
        <w:ind w:firstLine="0"/>
      </w:pPr>
      <w:r>
        <w:rPr>
          <w:rFonts w:ascii="Times New Roman" w:hAnsi="Times New Roman" w:eastAsia="黑体"/>
          <w:b/>
          <w:sz w:val="24"/>
        </w:rPr>
        <w:t>第四步：级别判定</w:t>
      </w:r>
      <w:r>
        <w:rPr>
          <w:rFonts w:ascii="Times New Roman" w:hAnsi="Times New Roman" w:eastAsia="宋体"/>
          <w:sz w:val="24"/>
        </w:rPr>
        <w:t xml:space="preserve">  综合三个维度的评估结果，按照最高维度确定异常级别（P0/P1/P2/P3）。判定结果应由至少两名具有判定权限的人员共同确认，P0级异常需经部门总监审批。</w:t>
      </w:r>
    </w:p>
    <w:p w14:paraId="6C2FF8C8">
      <w:pPr>
        <w:pBdr>
          <w:left w:val="single" w:color="333333" w:sz="12" w:space="8"/>
        </w:pBdr>
        <w:spacing w:before="160" w:after="80"/>
        <w:ind w:firstLine="0"/>
      </w:pPr>
      <w:r>
        <w:rPr>
          <w:rFonts w:ascii="Times New Roman" w:hAnsi="Times New Roman" w:eastAsia="黑体"/>
          <w:b/>
          <w:sz w:val="24"/>
        </w:rPr>
        <w:t>第五步：启动响应</w:t>
      </w:r>
      <w:r>
        <w:rPr>
          <w:rFonts w:ascii="Times New Roman" w:hAnsi="Times New Roman" w:eastAsia="宋体"/>
          <w:sz w:val="24"/>
        </w:rPr>
        <w:t xml:space="preserve">  根据判定的异常级别，启动对应的响应机制和应急动作（详见第五章）。同时建立事件跟踪档案，记录处理过程和关键节点。</w:t>
      </w:r>
    </w:p>
    <w:p w14:paraId="295CDC2C">
      <w:pPr>
        <w:pBdr>
          <w:left w:val="single" w:color="333333" w:sz="12" w:space="8"/>
        </w:pBdr>
        <w:spacing w:before="160" w:after="80"/>
        <w:ind w:firstLine="0"/>
      </w:pPr>
      <w:r>
        <w:rPr>
          <w:rFonts w:ascii="Times New Roman" w:hAnsi="Times New Roman" w:eastAsia="黑体"/>
          <w:b/>
          <w:sz w:val="24"/>
        </w:rPr>
        <w:t>第六步：动态监控与调整</w:t>
      </w:r>
      <w:r>
        <w:rPr>
          <w:rFonts w:ascii="Times New Roman" w:hAnsi="Times New Roman" w:eastAsia="宋体"/>
          <w:sz w:val="24"/>
        </w:rPr>
        <w:t xml:space="preserve">  在异常处理过程中，应持续监控事态发展。如情况发生变化（恶化或好转），应及时重新评估并调整异常级别和处理措施。</w:t>
      </w:r>
    </w:p>
    <w:p w14:paraId="47B26A57">
      <w:pPr>
        <w:pBdr>
          <w:left w:val="single" w:color="333333" w:sz="12" w:space="8"/>
        </w:pBdr>
        <w:spacing w:before="160" w:after="80"/>
        <w:ind w:firstLine="0"/>
      </w:pPr>
      <w:r>
        <w:rPr>
          <w:rFonts w:ascii="Times New Roman" w:hAnsi="Times New Roman" w:eastAsia="黑体"/>
          <w:b/>
          <w:sz w:val="24"/>
        </w:rPr>
        <w:t>第七步：结案与复盘</w:t>
      </w:r>
      <w:r>
        <w:rPr>
          <w:rFonts w:ascii="Times New Roman" w:hAnsi="Times New Roman" w:eastAsia="宋体"/>
          <w:sz w:val="24"/>
        </w:rPr>
        <w:t xml:space="preserve">  异常事件处理完毕后，应进行结案评估，确认问题是否彻底解决。P0/P1级异常需进行专项复盘，总结经验教训，完善预防措施。</w:t>
      </w:r>
    </w:p>
    <w:p w14:paraId="75FB7E0E">
      <w:pPr>
        <w:pStyle w:val="3"/>
      </w:pPr>
      <w:r>
        <w:t>4.3 判定操作步骤</w:t>
      </w:r>
    </w:p>
    <w:p w14:paraId="4986D315">
      <w:r>
        <w:t>以下为判定操作的快速参考指南：</w:t>
      </w:r>
    </w:p>
    <w:p w14:paraId="45EECEEA">
      <w:pPr>
        <w:numPr>
          <w:ilvl w:val="0"/>
          <w:numId w:val="2"/>
        </w:numPr>
        <w:ind w:firstLine="0"/>
      </w:pPr>
      <w:r>
        <w:rPr>
          <w:b/>
        </w:rPr>
        <w:t>确认异常类型：</w:t>
      </w:r>
      <w:r>
        <w:t>判断异常属于平台合规、客户伤害还是法律法规问题。</w:t>
      </w:r>
    </w:p>
    <w:p w14:paraId="503C9294">
      <w:pPr>
        <w:numPr>
          <w:ilvl w:val="0"/>
          <w:numId w:val="2"/>
        </w:numPr>
        <w:ind w:firstLine="0"/>
      </w:pPr>
      <w:r>
        <w:rPr>
          <w:b/>
        </w:rPr>
        <w:t>对照判定标准：</w:t>
      </w:r>
      <w:r>
        <w:t>查阅第三章对应级别的判定标准，确认是否满足条件。</w:t>
      </w:r>
    </w:p>
    <w:p w14:paraId="444C2629">
      <w:pPr>
        <w:numPr>
          <w:ilvl w:val="0"/>
          <w:numId w:val="2"/>
        </w:numPr>
        <w:ind w:firstLine="0"/>
      </w:pPr>
      <w:r>
        <w:rPr>
          <w:b/>
        </w:rPr>
        <w:t>评估影响范围：</w:t>
      </w:r>
      <w:r>
        <w:t>确定受影响的客户数量、订单数量、产品范围。</w:t>
      </w:r>
    </w:p>
    <w:p w14:paraId="7C01E98E">
      <w:pPr>
        <w:numPr>
          <w:ilvl w:val="0"/>
          <w:numId w:val="2"/>
        </w:numPr>
        <w:ind w:firstLine="0"/>
      </w:pPr>
      <w:r>
        <w:rPr>
          <w:b/>
        </w:rPr>
        <w:t>判断紧急程度：</w:t>
      </w:r>
      <w:r>
        <w:t>评估是否需要立即采取行动，以及不采取行动的后果。</w:t>
      </w:r>
    </w:p>
    <w:p w14:paraId="15B0E485">
      <w:pPr>
        <w:numPr>
          <w:ilvl w:val="0"/>
          <w:numId w:val="2"/>
        </w:numPr>
        <w:ind w:firstLine="0"/>
      </w:pPr>
      <w:r>
        <w:rPr>
          <w:b/>
        </w:rPr>
        <w:t>确定最终级别：</w:t>
      </w:r>
      <w:r>
        <w:t>综合以上信息，确定P0-P3的最终级别。</w:t>
      </w:r>
    </w:p>
    <w:p w14:paraId="192646CB">
      <w:pPr>
        <w:numPr>
          <w:ilvl w:val="0"/>
          <w:numId w:val="2"/>
        </w:numPr>
        <w:ind w:firstLine="0"/>
      </w:pPr>
      <w:r>
        <w:rPr>
          <w:b/>
        </w:rPr>
        <w:t>记录判定依据：</w:t>
      </w:r>
      <w:r>
        <w:t>详细记录判定过程和依据，便于后续审核和复盘。</w:t>
      </w:r>
    </w:p>
    <w:p w14:paraId="2D190062">
      <w:pPr>
        <w:pStyle w:val="2"/>
      </w:pPr>
      <w:r>
        <w:t>五、响应与升级机制</w:t>
      </w:r>
    </w:p>
    <w:p w14:paraId="076F8362">
      <w:r>
        <w:t>本章节规定各级别异常的响应时效要求、升级路径和强制应急动作。</w:t>
      </w:r>
    </w:p>
    <w:p w14:paraId="0916987C">
      <w:pPr>
        <w:pStyle w:val="3"/>
      </w:pPr>
      <w:r>
        <w:t>5.1 响应时效要求</w:t>
      </w:r>
    </w:p>
    <w:tbl>
      <w:tblPr>
        <w:tblStyle w:val="7"/>
        <w:tblW w:w="5000" w:type="pct"/>
        <w:tblInd w:w="0" w:type="dxa"/>
        <w:tblBorders>
          <w:top w:val="single" w:color="333333" w:sz="8" w:space="0"/>
          <w:left w:val="single" w:color="CCCCCC" w:sz="4" w:space="0"/>
          <w:bottom w:val="single" w:color="333333" w:sz="8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7"/>
        <w:gridCol w:w="2403"/>
        <w:gridCol w:w="2785"/>
        <w:gridCol w:w="1691"/>
      </w:tblGrid>
      <w:tr w14:paraId="6B9E41B8">
        <w:trPr>
          <w:tblHeader/>
        </w:trPr>
        <w:tc>
          <w:tcPr>
            <w:tcW w:w="0" w:type="auto"/>
            <w:shd w:val="clear" w:color="auto" w:fill="E8E8E8"/>
          </w:tcPr>
          <w:p w14:paraId="77C15300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异常级别</w:t>
            </w:r>
          </w:p>
        </w:tc>
        <w:tc>
          <w:tcPr>
            <w:tcW w:w="0" w:type="auto"/>
            <w:shd w:val="clear" w:color="auto" w:fill="E8E8E8"/>
          </w:tcPr>
          <w:p w14:paraId="09F610C4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响应时效</w:t>
            </w:r>
          </w:p>
        </w:tc>
        <w:tc>
          <w:tcPr>
            <w:tcW w:w="0" w:type="auto"/>
            <w:shd w:val="clear" w:color="auto" w:fill="E8E8E8"/>
          </w:tcPr>
          <w:p w14:paraId="7B711DD6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方案时效</w:t>
            </w:r>
          </w:p>
        </w:tc>
        <w:tc>
          <w:tcPr>
            <w:tcW w:w="0" w:type="auto"/>
            <w:shd w:val="clear" w:color="auto" w:fill="E8E8E8"/>
          </w:tcPr>
          <w:p w14:paraId="6BA0FF53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处理模式</w:t>
            </w:r>
          </w:p>
        </w:tc>
      </w:tr>
      <w:tr w14:paraId="6E1A4970">
        <w:tc>
          <w:tcPr>
            <w:tcW w:w="0" w:type="auto"/>
          </w:tcPr>
          <w:p w14:paraId="5389B3FC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P0 致命/封店</w:t>
            </w:r>
          </w:p>
        </w:tc>
        <w:tc>
          <w:tcPr>
            <w:tcW w:w="0" w:type="auto"/>
          </w:tcPr>
          <w:p w14:paraId="5A4DC682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30分钟内响应</w:t>
            </w:r>
          </w:p>
        </w:tc>
        <w:tc>
          <w:tcPr>
            <w:tcW w:w="0" w:type="auto"/>
          </w:tcPr>
          <w:p w14:paraId="60A21287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6小时内出方案</w:t>
            </w:r>
          </w:p>
        </w:tc>
        <w:tc>
          <w:tcPr>
            <w:tcW w:w="0" w:type="auto"/>
          </w:tcPr>
          <w:p w14:paraId="617D4BD8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立即执行</w:t>
            </w:r>
          </w:p>
        </w:tc>
      </w:tr>
      <w:tr w14:paraId="18B6C577">
        <w:tc>
          <w:tcPr>
            <w:tcW w:w="0" w:type="auto"/>
          </w:tcPr>
          <w:p w14:paraId="03C3465A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P1 高危/下架</w:t>
            </w:r>
          </w:p>
        </w:tc>
        <w:tc>
          <w:tcPr>
            <w:tcW w:w="0" w:type="auto"/>
          </w:tcPr>
          <w:p w14:paraId="30EE0B9B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2小时内响应</w:t>
            </w:r>
          </w:p>
        </w:tc>
        <w:tc>
          <w:tcPr>
            <w:tcW w:w="0" w:type="auto"/>
          </w:tcPr>
          <w:p w14:paraId="71BAC5E0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24小时内出方案</w:t>
            </w:r>
          </w:p>
        </w:tc>
        <w:tc>
          <w:tcPr>
            <w:tcW w:w="0" w:type="auto"/>
          </w:tcPr>
          <w:p w14:paraId="1C130AA7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紧急处理</w:t>
            </w:r>
          </w:p>
        </w:tc>
      </w:tr>
      <w:tr w14:paraId="37A8C963">
        <w:tc>
          <w:tcPr>
            <w:tcW w:w="0" w:type="auto"/>
          </w:tcPr>
          <w:p w14:paraId="1B05B120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P2 中危/体验</w:t>
            </w:r>
          </w:p>
        </w:tc>
        <w:tc>
          <w:tcPr>
            <w:tcW w:w="0" w:type="auto"/>
          </w:tcPr>
          <w:p w14:paraId="6E8BF017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6小时内响应</w:t>
            </w:r>
          </w:p>
        </w:tc>
        <w:tc>
          <w:tcPr>
            <w:tcW w:w="0" w:type="auto"/>
          </w:tcPr>
          <w:p w14:paraId="141C288A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72小时内出方案</w:t>
            </w:r>
          </w:p>
        </w:tc>
        <w:tc>
          <w:tcPr>
            <w:tcW w:w="0" w:type="auto"/>
          </w:tcPr>
          <w:p w14:paraId="5E31FFE5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标准SOP</w:t>
            </w:r>
          </w:p>
        </w:tc>
      </w:tr>
      <w:tr w14:paraId="4AC2F961">
        <w:tc>
          <w:tcPr>
            <w:tcW w:w="0" w:type="auto"/>
          </w:tcPr>
          <w:p w14:paraId="3EC4E71C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P3 低危/常规</w:t>
            </w:r>
          </w:p>
        </w:tc>
        <w:tc>
          <w:tcPr>
            <w:tcW w:w="0" w:type="auto"/>
          </w:tcPr>
          <w:p w14:paraId="77368B36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24小时内响应</w:t>
            </w:r>
          </w:p>
        </w:tc>
        <w:tc>
          <w:tcPr>
            <w:tcW w:w="0" w:type="auto"/>
          </w:tcPr>
          <w:p w14:paraId="4CB6B6E1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常规处理</w:t>
            </w:r>
          </w:p>
        </w:tc>
        <w:tc>
          <w:tcPr>
            <w:tcW w:w="0" w:type="auto"/>
          </w:tcPr>
          <w:p w14:paraId="6EE5E2E5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常规流程</w:t>
            </w:r>
          </w:p>
        </w:tc>
      </w:tr>
    </w:tbl>
    <w:p w14:paraId="3CDF1C1D">
      <w:pPr>
        <w:pStyle w:val="3"/>
      </w:pPr>
      <w:r>
        <w:t>5.2 升级路径</w:t>
      </w:r>
    </w:p>
    <w:p w14:paraId="78217508">
      <w:r>
        <w:t>各级别异常的升级路径和责任人如下：</w:t>
      </w:r>
    </w:p>
    <w:tbl>
      <w:tblPr>
        <w:tblStyle w:val="7"/>
        <w:tblW w:w="5000" w:type="pct"/>
        <w:tblInd w:w="0" w:type="dxa"/>
        <w:tblBorders>
          <w:top w:val="single" w:color="333333" w:sz="8" w:space="0"/>
          <w:left w:val="single" w:color="CCCCCC" w:sz="4" w:space="0"/>
          <w:bottom w:val="single" w:color="333333" w:sz="8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5"/>
        <w:gridCol w:w="1882"/>
        <w:gridCol w:w="5649"/>
      </w:tblGrid>
      <w:tr w14:paraId="49D630F9">
        <w:trPr>
          <w:tblHeader/>
        </w:trPr>
        <w:tc>
          <w:tcPr>
            <w:tcW w:w="0" w:type="auto"/>
            <w:shd w:val="clear" w:color="auto" w:fill="E8E8E8"/>
          </w:tcPr>
          <w:p w14:paraId="37548BFB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异常级别</w:t>
            </w:r>
          </w:p>
        </w:tc>
        <w:tc>
          <w:tcPr>
            <w:tcW w:w="0" w:type="auto"/>
            <w:shd w:val="clear" w:color="auto" w:fill="E8E8E8"/>
          </w:tcPr>
          <w:p w14:paraId="3212935C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责任人</w:t>
            </w:r>
          </w:p>
        </w:tc>
        <w:tc>
          <w:tcPr>
            <w:tcW w:w="0" w:type="auto"/>
            <w:shd w:val="clear" w:color="auto" w:fill="E8E8E8"/>
          </w:tcPr>
          <w:p w14:paraId="4D0AF72A">
            <w:pPr>
              <w:spacing w:before="40" w:after="40" w:line="28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升级路径</w:t>
            </w:r>
          </w:p>
        </w:tc>
      </w:tr>
      <w:tr w14:paraId="5EAF530A">
        <w:tc>
          <w:tcPr>
            <w:tcW w:w="0" w:type="auto"/>
          </w:tcPr>
          <w:p w14:paraId="7601016B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P0</w:t>
            </w:r>
          </w:p>
        </w:tc>
        <w:tc>
          <w:tcPr>
            <w:tcW w:w="0" w:type="auto"/>
          </w:tcPr>
          <w:p w14:paraId="71A8BF6B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危机小组</w:t>
            </w:r>
          </w:p>
        </w:tc>
        <w:tc>
          <w:tcPr>
            <w:tcW w:w="0" w:type="auto"/>
          </w:tcPr>
          <w:p w14:paraId="4C3BA7A5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CEO + 运营总监 + 法务 + 研发总监</w:t>
            </w:r>
          </w:p>
        </w:tc>
      </w:tr>
      <w:tr w14:paraId="27A1A19E">
        <w:tc>
          <w:tcPr>
            <w:tcW w:w="0" w:type="auto"/>
          </w:tcPr>
          <w:p w14:paraId="228DCC37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P1</w:t>
            </w:r>
          </w:p>
        </w:tc>
        <w:tc>
          <w:tcPr>
            <w:tcW w:w="0" w:type="auto"/>
          </w:tcPr>
          <w:p w14:paraId="64DD8542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运营负责人</w:t>
            </w:r>
          </w:p>
        </w:tc>
        <w:tc>
          <w:tcPr>
            <w:tcW w:w="0" w:type="auto"/>
          </w:tcPr>
          <w:p w14:paraId="311F2B33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售后专员 + 产品经理</w:t>
            </w:r>
          </w:p>
        </w:tc>
      </w:tr>
      <w:tr w14:paraId="5AFC7CF2">
        <w:tc>
          <w:tcPr>
            <w:tcW w:w="0" w:type="auto"/>
          </w:tcPr>
          <w:p w14:paraId="5E35496A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P2</w:t>
            </w:r>
          </w:p>
        </w:tc>
        <w:tc>
          <w:tcPr>
            <w:tcW w:w="0" w:type="auto"/>
          </w:tcPr>
          <w:p w14:paraId="652767E7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团队主管</w:t>
            </w:r>
          </w:p>
        </w:tc>
        <w:tc>
          <w:tcPr>
            <w:tcW w:w="0" w:type="auto"/>
          </w:tcPr>
          <w:p w14:paraId="646DD8DD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售后负责人 + 物流专员</w:t>
            </w:r>
          </w:p>
        </w:tc>
      </w:tr>
      <w:tr w14:paraId="2A352978">
        <w:tc>
          <w:tcPr>
            <w:tcW w:w="0" w:type="auto"/>
          </w:tcPr>
          <w:p w14:paraId="5D7EC000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P3</w:t>
            </w:r>
          </w:p>
        </w:tc>
        <w:tc>
          <w:tcPr>
            <w:tcW w:w="0" w:type="auto"/>
          </w:tcPr>
          <w:p w14:paraId="5BEB88B6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客服专员</w:t>
            </w:r>
          </w:p>
        </w:tc>
        <w:tc>
          <w:tcPr>
            <w:tcW w:w="0" w:type="auto"/>
          </w:tcPr>
          <w:p w14:paraId="594091FD">
            <w:pPr>
              <w:spacing w:before="40" w:after="4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常规处理</w:t>
            </w:r>
          </w:p>
        </w:tc>
      </w:tr>
    </w:tbl>
    <w:p w14:paraId="721D8324">
      <w:pPr>
        <w:pStyle w:val="3"/>
      </w:pPr>
      <w:r>
        <w:t>5.3 强制应急动作</w:t>
      </w:r>
    </w:p>
    <w:p w14:paraId="3BDDAAF3">
      <w:r>
        <w:t>各级别异常发生后，应立即执行以下强制应急动作：</w:t>
      </w:r>
    </w:p>
    <w:p w14:paraId="7A1B8926">
      <w:pPr>
        <w:pStyle w:val="4"/>
      </w:pPr>
      <w:r>
        <w:t>5.3.1 P0 级强制应急动作</w:t>
      </w:r>
    </w:p>
    <w:p w14:paraId="58979D11">
      <w:pPr>
        <w:numPr>
          <w:ilvl w:val="0"/>
          <w:numId w:val="2"/>
        </w:numPr>
        <w:ind w:firstLine="0"/>
      </w:pPr>
      <w:r>
        <w:rPr>
          <w:b/>
        </w:rPr>
        <w:t>立即执行：</w:t>
      </w:r>
      <w:r>
        <w:t>全渠道下架停售</w:t>
      </w:r>
    </w:p>
    <w:p w14:paraId="20984C0D">
      <w:pPr>
        <w:numPr>
          <w:ilvl w:val="0"/>
          <w:numId w:val="2"/>
        </w:numPr>
        <w:ind w:firstLine="0"/>
      </w:pPr>
      <w:r>
        <w:rPr>
          <w:b/>
        </w:rPr>
        <w:t>启动保险理赔：</w:t>
      </w:r>
      <w:r>
        <w:t>联系保险公司启动产品责任险理赔程序</w:t>
      </w:r>
    </w:p>
    <w:p w14:paraId="6176C547">
      <w:pPr>
        <w:numPr>
          <w:ilvl w:val="0"/>
          <w:numId w:val="2"/>
        </w:numPr>
        <w:ind w:firstLine="0"/>
      </w:pPr>
      <w:r>
        <w:rPr>
          <w:b/>
        </w:rPr>
        <w:t>法务准备应诉：</w:t>
      </w:r>
      <w:r>
        <w:t>法务部门准备应对可能的法律诉讼</w:t>
      </w:r>
    </w:p>
    <w:p w14:paraId="24B2CC91">
      <w:pPr>
        <w:numPr>
          <w:ilvl w:val="0"/>
          <w:numId w:val="2"/>
        </w:numPr>
        <w:ind w:firstLine="0"/>
      </w:pPr>
      <w:r>
        <w:rPr>
          <w:b/>
        </w:rPr>
        <w:t>向监管部门提交报告：</w:t>
      </w:r>
      <w:r>
        <w:t>主动向相关监管部门报告事件情况</w:t>
      </w:r>
    </w:p>
    <w:p w14:paraId="33C7D1EA">
      <w:pPr>
        <w:pStyle w:val="4"/>
      </w:pPr>
      <w:r>
        <w:t>5.3.2 P1 级强制应急动作</w:t>
      </w:r>
    </w:p>
    <w:p w14:paraId="5ED1C1C9">
      <w:pPr>
        <w:numPr>
          <w:ilvl w:val="0"/>
          <w:numId w:val="2"/>
        </w:numPr>
        <w:ind w:firstLine="0"/>
      </w:pPr>
      <w:r>
        <w:rPr>
          <w:b/>
        </w:rPr>
        <w:t>暂停该SKU销售：</w:t>
      </w:r>
      <w:r>
        <w:t>立即停止涉事SKU的销售活动</w:t>
      </w:r>
    </w:p>
    <w:p w14:paraId="7BF02673">
      <w:pPr>
        <w:numPr>
          <w:ilvl w:val="0"/>
          <w:numId w:val="2"/>
        </w:numPr>
        <w:ind w:firstLine="0"/>
      </w:pPr>
      <w:r>
        <w:rPr>
          <w:b/>
        </w:rPr>
        <w:t>启动紧急换货/退款：</w:t>
      </w:r>
      <w:r>
        <w:t>为受影响客户启动紧急换货或退款流程</w:t>
      </w:r>
    </w:p>
    <w:p w14:paraId="30F3759D">
      <w:pPr>
        <w:numPr>
          <w:ilvl w:val="0"/>
          <w:numId w:val="2"/>
        </w:numPr>
        <w:ind w:firstLine="0"/>
      </w:pPr>
      <w:r>
        <w:rPr>
          <w:b/>
        </w:rPr>
        <w:t>向平台提交POA：</w:t>
      </w:r>
      <w:r>
        <w:t>编写并提交行动计划书（Plan of Action）</w:t>
      </w:r>
    </w:p>
    <w:p w14:paraId="2967E221">
      <w:pPr>
        <w:numPr>
          <w:ilvl w:val="0"/>
          <w:numId w:val="2"/>
        </w:numPr>
        <w:ind w:firstLine="0"/>
      </w:pPr>
      <w:r>
        <w:rPr>
          <w:b/>
        </w:rPr>
        <w:t>公关部舆情监控：</w:t>
      </w:r>
      <w:r>
        <w:t>监控网络舆情，准备危机公关预案</w:t>
      </w:r>
    </w:p>
    <w:p w14:paraId="0261860E">
      <w:pPr>
        <w:pStyle w:val="4"/>
      </w:pPr>
      <w:r>
        <w:t>5.3.3 P2 级标准SOP</w:t>
      </w:r>
    </w:p>
    <w:p w14:paraId="13303817">
      <w:pPr>
        <w:numPr>
          <w:ilvl w:val="0"/>
          <w:numId w:val="2"/>
        </w:numPr>
        <w:ind w:firstLine="0"/>
      </w:pPr>
      <w:r>
        <w:rPr>
          <w:b/>
        </w:rPr>
        <w:t>统计受影响订单：</w:t>
      </w:r>
      <w:r>
        <w:t>统计并记录所有受影响的订单信息</w:t>
      </w:r>
    </w:p>
    <w:p w14:paraId="5E44E43E">
      <w:pPr>
        <w:numPr>
          <w:ilvl w:val="0"/>
          <w:numId w:val="2"/>
        </w:numPr>
        <w:ind w:firstLine="0"/>
      </w:pPr>
      <w:r>
        <w:rPr>
          <w:b/>
        </w:rPr>
        <w:t>主动补发/部分退款：</w:t>
      </w:r>
      <w:r>
        <w:t>主动联系客户提供补发或部分退款方案</w:t>
      </w:r>
    </w:p>
    <w:p w14:paraId="73A68364">
      <w:pPr>
        <w:numPr>
          <w:ilvl w:val="0"/>
          <w:numId w:val="2"/>
        </w:numPr>
        <w:ind w:firstLine="0"/>
      </w:pPr>
      <w:r>
        <w:rPr>
          <w:b/>
        </w:rPr>
        <w:t>优化Listing说明：</w:t>
      </w:r>
      <w:r>
        <w:t>更新商品详情页，补充必要的产品说明和注意事项</w:t>
      </w:r>
    </w:p>
    <w:p w14:paraId="12C5463F">
      <w:pPr>
        <w:numPr>
          <w:ilvl w:val="0"/>
          <w:numId w:val="2"/>
        </w:numPr>
        <w:ind w:firstLine="0"/>
      </w:pPr>
      <w:r>
        <w:rPr>
          <w:b/>
        </w:rPr>
        <w:t>向物流方索赔：</w:t>
      </w:r>
      <w:r>
        <w:t>因物流原因导致的异常，向物流服务商发起索赔</w:t>
      </w:r>
    </w:p>
    <w:p w14:paraId="21DDCC16">
      <w:pPr>
        <w:pStyle w:val="4"/>
      </w:pPr>
      <w:r>
        <w:t>5.3.4 P3 级常规流程</w:t>
      </w:r>
    </w:p>
    <w:p w14:paraId="7C3602F6">
      <w:pPr>
        <w:numPr>
          <w:ilvl w:val="0"/>
          <w:numId w:val="2"/>
        </w:numPr>
        <w:ind w:firstLine="0"/>
      </w:pPr>
      <w:r>
        <w:rPr>
          <w:b/>
        </w:rPr>
        <w:t>标准话术回复：</w:t>
      </w:r>
      <w:r>
        <w:t>使用标准客服话术回复客户咨询和投诉</w:t>
      </w:r>
    </w:p>
    <w:p w14:paraId="5214703E">
      <w:pPr>
        <w:numPr>
          <w:ilvl w:val="0"/>
          <w:numId w:val="2"/>
        </w:numPr>
        <w:ind w:firstLine="0"/>
      </w:pPr>
      <w:r>
        <w:rPr>
          <w:b/>
        </w:rPr>
        <w:t>发送视频教程：</w:t>
      </w:r>
      <w:r>
        <w:t>针对产品使用问题，发送视频教程或图文指南</w:t>
      </w:r>
    </w:p>
    <w:p w14:paraId="4A0067F1">
      <w:pPr>
        <w:numPr>
          <w:ilvl w:val="0"/>
          <w:numId w:val="2"/>
        </w:numPr>
        <w:ind w:firstLine="0"/>
      </w:pPr>
      <w:r>
        <w:rPr>
          <w:b/>
        </w:rPr>
        <w:t>小额优惠券补偿：</w:t>
      </w:r>
      <w:r>
        <w:t>对于轻微不满，提供小额优惠券作为补偿</w:t>
      </w:r>
    </w:p>
    <w:p w14:paraId="6FDE7169">
      <w:pPr>
        <w:numPr>
          <w:ilvl w:val="0"/>
          <w:numId w:val="2"/>
        </w:numPr>
        <w:ind w:firstLine="0"/>
      </w:pPr>
      <w:r>
        <w:rPr>
          <w:b/>
        </w:rPr>
        <w:t>邀评（好评时）：</w:t>
      </w:r>
      <w:r>
        <w:t>在问题解决后，邀请满意的客户留下好评</w:t>
      </w:r>
    </w:p>
    <w:p w14:paraId="6DCE5AA6">
      <w:pPr>
        <w:pStyle w:val="2"/>
      </w:pPr>
      <w:r>
        <w:t>六、附则</w:t>
      </w:r>
    </w:p>
    <w:p w14:paraId="2BBB398D">
      <w:pPr>
        <w:pStyle w:val="3"/>
      </w:pPr>
      <w:r>
        <w:t>6.1 标准修订</w:t>
      </w:r>
    </w:p>
    <w:p w14:paraId="1A562375">
      <w:r>
        <w:t>本标准由运营管理部门负责制定和解释，根据业务发展和平台政策变化，每年至少进行一次全面评审和必要修订。</w:t>
      </w:r>
    </w:p>
    <w:p w14:paraId="1DAAD85B">
      <w:pPr>
        <w:pStyle w:val="3"/>
      </w:pPr>
      <w:r>
        <w:t>6.2 生效日期</w:t>
      </w:r>
    </w:p>
    <w:p w14:paraId="7E9B2DAB">
      <w:r>
        <w:t>本标准自发布之日起生效，原有相关规定与本标准不一致的，以本标准为准。</w:t>
      </w:r>
    </w:p>
    <w:p w14:paraId="2B6DB967"/>
    <w:p w14:paraId="27D91D3B"/>
    <w:p w14:paraId="3D12C252">
      <w:pPr>
        <w:spacing w:before="800"/>
        <w:ind w:firstLine="0"/>
        <w:jc w:val="right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sz w:val="24"/>
        </w:rPr>
        <w:t>编制部门：</w:t>
      </w:r>
      <w:r>
        <w:rPr>
          <w:rFonts w:hint="eastAsia"/>
          <w:sz w:val="24"/>
          <w:lang w:val="en-US" w:eastAsia="zh-CN"/>
        </w:rPr>
        <w:t>外贸电商部</w:t>
      </w:r>
    </w:p>
    <w:p w14:paraId="16E7E4D4">
      <w:pPr>
        <w:ind w:firstLine="0"/>
        <w:jc w:val="right"/>
      </w:pPr>
      <w:r>
        <w:rPr>
          <w:rFonts w:ascii="Times New Roman" w:hAnsi="Times New Roman" w:eastAsia="宋体"/>
          <w:sz w:val="24"/>
        </w:rPr>
        <w:t>发布日期：2026年5月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E37C2">
    <w:pPr>
      <w:jc w:val="center"/>
    </w:pPr>
    <w:r>
      <w:rPr>
        <w:rFonts w:ascii="Times New Roman" w:hAnsi="Times New Roman" w:eastAsia="宋体"/>
        <w:color w:val="666666"/>
        <w:sz w:val="18"/>
      </w:rPr>
      <w:t xml:space="preserve">第 </w:t>
    </w:r>
    <w:r>
      <w:rPr>
        <w:rFonts w:ascii="Times New Roman" w:hAnsi="Times New Roman" w:eastAsia="宋体"/>
        <w:color w:val="666666"/>
        <w:sz w:val="18"/>
      </w:rPr>
      <w:fldChar w:fldCharType="begin"/>
    </w:r>
    <w:r>
      <w:rPr>
        <w:rFonts w:ascii="Times New Roman" w:hAnsi="Times New Roman" w:eastAsia="宋体"/>
        <w:color w:val="666666"/>
        <w:sz w:val="18"/>
      </w:rPr>
      <w:instrText xml:space="preserve"> PAGE </w:instrText>
    </w:r>
    <w:r>
      <w:rPr>
        <w:rFonts w:ascii="Times New Roman" w:hAnsi="Times New Roman" w:eastAsia="宋体"/>
        <w:color w:val="666666"/>
        <w:sz w:val="18"/>
      </w:rPr>
      <w:fldChar w:fldCharType="separate"/>
    </w:r>
    <w:r>
      <w:rPr>
        <w:rFonts w:ascii="Times New Roman" w:hAnsi="Times New Roman" w:eastAsia="宋体"/>
        <w:color w:val="666666"/>
        <w:sz w:val="18"/>
      </w:rPr>
      <w:t>1</w:t>
    </w:r>
    <w:r>
      <w:rPr>
        <w:rFonts w:ascii="Times New Roman" w:hAnsi="Times New Roman" w:eastAsia="宋体"/>
        <w:color w:val="666666"/>
        <w:sz w:val="18"/>
      </w:rPr>
      <w:fldChar w:fldCharType="end"/>
    </w:r>
    <w:r>
      <w:rPr>
        <w:rFonts w:ascii="Times New Roman" w:hAnsi="Times New Roman" w:eastAsia="宋体"/>
        <w:color w:val="666666"/>
        <w:sz w:val="18"/>
      </w:rPr>
      <w:t xml:space="preserve"> 页 / 共 </w:t>
    </w:r>
    <w:r>
      <w:rPr>
        <w:rFonts w:ascii="Times New Roman" w:hAnsi="Times New Roman" w:eastAsia="宋体"/>
        <w:color w:val="666666"/>
        <w:sz w:val="18"/>
      </w:rPr>
      <w:fldChar w:fldCharType="begin"/>
    </w:r>
    <w:r>
      <w:rPr>
        <w:rFonts w:ascii="Times New Roman" w:hAnsi="Times New Roman" w:eastAsia="宋体"/>
        <w:color w:val="666666"/>
        <w:sz w:val="18"/>
      </w:rPr>
      <w:instrText xml:space="preserve"> NUMPAGES </w:instrText>
    </w:r>
    <w:r>
      <w:rPr>
        <w:rFonts w:ascii="Times New Roman" w:hAnsi="Times New Roman" w:eastAsia="宋体"/>
        <w:color w:val="666666"/>
        <w:sz w:val="18"/>
      </w:rPr>
      <w:fldChar w:fldCharType="separate"/>
    </w:r>
    <w:r>
      <w:rPr>
        <w:rFonts w:ascii="Times New Roman" w:hAnsi="Times New Roman" w:eastAsia="宋体"/>
        <w:color w:val="666666"/>
        <w:sz w:val="18"/>
      </w:rPr>
      <w:t>1</w:t>
    </w:r>
    <w:r>
      <w:rPr>
        <w:rFonts w:ascii="Times New Roman" w:hAnsi="Times New Roman" w:eastAsia="宋体"/>
        <w:color w:val="666666"/>
        <w:sz w:val="18"/>
      </w:rPr>
      <w:fldChar w:fldCharType="end"/>
    </w:r>
    <w:r>
      <w:rPr>
        <w:rFonts w:ascii="Times New Roman" w:hAnsi="Times New Roman" w:eastAsia="宋体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FAC0D">
    <w:pPr>
      <w:pBdr>
        <w:bottom w:val="single" w:color="999999" w:sz="4" w:space="1"/>
      </w:pBdr>
      <w:jc w:val="center"/>
    </w:pPr>
    <w:r>
      <w:rPr>
        <w:rFonts w:ascii="Times New Roman" w:hAnsi="Times New Roman" w:eastAsia="宋体"/>
        <w:color w:val="666666"/>
        <w:sz w:val="18"/>
      </w:rPr>
      <w:t>电商紧急异常处理问题  异常级别判定标准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DBE59"/>
    <w:multiLevelType w:val="singleLevel"/>
    <w:tmpl w:val="F7DDBE59"/>
    <w:lvl w:ilvl="0" w:tentative="0">
      <w:start w:val="0"/>
      <w:numFmt w:val="decimal"/>
      <w:lvlText w:val="%1."/>
      <w:lvlJc w:val="left"/>
      <w:pPr>
        <w:ind w:left="720" w:hanging="360"/>
      </w:pPr>
    </w:lvl>
  </w:abstractNum>
  <w:abstractNum w:abstractNumId="1">
    <w:nsid w:val="1F5D2A7F"/>
    <w:multiLevelType w:val="singleLevel"/>
    <w:tmpl w:val="1F5D2A7F"/>
    <w:lvl w:ilvl="0" w:tentative="0">
      <w:start w:val="0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F737C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360" w:lineRule="auto"/>
      <w:ind w:firstLine="480"/>
    </w:pPr>
    <w:rPr>
      <w:rFonts w:ascii="Times New Roman" w:hAnsi="Times New Roman" w:eastAsia="宋体"/>
      <w:color w:val="000000"/>
      <w:sz w:val="24"/>
      <w:szCs w:val="22"/>
    </w:rPr>
  </w:style>
  <w:style w:type="paragraph" w:styleId="2">
    <w:name w:val="heading 1"/>
    <w:basedOn w:val="1"/>
    <w:uiPriority w:val="0"/>
    <w:pPr>
      <w:keepNext/>
      <w:keepLines/>
      <w:pageBreakBefore/>
      <w:spacing w:before="400" w:after="240"/>
      <w:ind w:firstLine="0"/>
      <w:jc w:val="center"/>
      <w:outlineLvl w:val="0"/>
    </w:pPr>
    <w:rPr>
      <w:rFonts w:ascii="Times New Roman" w:hAnsi="Times New Roman" w:eastAsia="黑体"/>
      <w:b/>
      <w:color w:val="000000"/>
      <w:sz w:val="36"/>
    </w:rPr>
  </w:style>
  <w:style w:type="paragraph" w:styleId="3">
    <w:name w:val="heading 2"/>
    <w:basedOn w:val="1"/>
    <w:uiPriority w:val="0"/>
    <w:pPr>
      <w:keepNext/>
      <w:keepLines/>
      <w:spacing w:before="320" w:after="160"/>
      <w:ind w:firstLine="0"/>
      <w:outlineLvl w:val="1"/>
    </w:pPr>
    <w:rPr>
      <w:rFonts w:ascii="Times New Roman" w:hAnsi="Times New Roman" w:eastAsia="黑体"/>
      <w:b/>
      <w:color w:val="000000"/>
      <w:sz w:val="28"/>
    </w:rPr>
  </w:style>
  <w:style w:type="paragraph" w:styleId="4">
    <w:name w:val="heading 3"/>
    <w:basedOn w:val="1"/>
    <w:uiPriority w:val="0"/>
    <w:pPr>
      <w:keepNext/>
      <w:keepLines/>
      <w:spacing w:before="240" w:after="120"/>
      <w:ind w:firstLine="0"/>
      <w:outlineLvl w:val="2"/>
    </w:pPr>
    <w:rPr>
      <w:rFonts w:ascii="Times New Roman" w:hAnsi="Times New Roman" w:eastAsia="黑体"/>
      <w:b/>
      <w:color w:val="000000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uiPriority w:val="0"/>
    <w:pPr>
      <w:tabs>
        <w:tab w:val="right" w:leader="dot" w:pos="9350"/>
      </w:tabs>
      <w:spacing w:before="120" w:after="60"/>
      <w:ind w:firstLine="0"/>
    </w:pPr>
    <w:rPr>
      <w:rFonts w:ascii="Times New Roman" w:hAnsi="Times New Roman" w:eastAsia="宋体"/>
      <w:b/>
      <w:sz w:val="24"/>
    </w:rPr>
  </w:style>
  <w:style w:type="paragraph" w:styleId="6">
    <w:name w:val="toc 2"/>
    <w:basedOn w:val="1"/>
    <w:uiPriority w:val="0"/>
    <w:pPr>
      <w:tabs>
        <w:tab w:val="right" w:leader="dot" w:pos="9350"/>
      </w:tabs>
      <w:spacing w:before="60" w:after="40"/>
      <w:ind w:left="480" w:firstLine="0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7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2026-05-12T20:19:35Z</dcterms:created>
  <dc:creator>Data</dc:creator>
  <cp:lastModifiedBy>陈华军</cp:lastModifiedBy>
  <dcterms:modified xsi:type="dcterms:W3CDTF">2026-05-12T20:26:54Z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CA3AF714C9485F588E1C036AB24F900C_42</vt:lpwstr>
  </property>
</Properties>
</file>