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数组之中奇数之和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1·定义两个函数，一个是主函数main用于给数组赋值等，一个是子函数weg用于求</w:t>
      </w:r>
      <w:r>
        <w:rPr>
          <w:rFonts w:hint="eastAsia"/>
          <w:lang w:eastAsia="zh-CN"/>
        </w:rPr>
        <w:t>数组之中奇数之和</w:t>
      </w:r>
      <w:r>
        <w:rPr>
          <w:rFonts w:hint="eastAsia"/>
          <w:lang w:val="en-US" w:eastAsia="zh-CN"/>
        </w:rPr>
        <w:t>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2·使用指针变量作为函数参数，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3·在主函数里给数组赋值a[5]，定义指针变量*s等，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4·在主函数里调用子函数weg，并给子函数赋予实参，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5·子函数返回类型为空，不指定返回值，即不用return类型返回主函数，由子函数直接输出结果，后结束程序。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E39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2016-12-29T07:13:55Z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