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09A6F">
      <w:pPr>
        <w:pStyle w:val="2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成都长霖新能源有限公司</w:t>
      </w:r>
      <w:ind w:firstLineChars="0"/>
    </w:p>
    <w:p w14:paraId="6DB9CF54">
      <w:pPr>
        <w:pStyle w:val="2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员工招聘管理办法（送审稿）</w:t>
      </w:r>
      <w:ind w:firstLineChars="0"/>
    </w:p>
    <w:p w14:paraId="7EAE256B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第一章 总则</w:t>
      </w:r>
      <w:ind w:firstLineChars="0"/>
    </w:p>
    <w:p w14:paraId="466FDBB4">
      <w:pPr>
        <w:widowControl/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第一条　为规范成都长霖新能源有限公司（以下简称“公司”）员工招聘管理，根据《中华人民共和国劳动法》《中华人民共和国劳动合同法》等国家有关规定，以及《公司章程》《增资协议》等公司制度文件，制定本办法。</w:t>
      </w:r>
      <w:ind w:firstLineChars="200"/>
    </w:p>
    <w:p w14:paraId="302944A4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第二条 适用范围</w:t>
      </w:r>
      <w:ind w:firstLineChars="0"/>
    </w:p>
    <w:p w14:paraId="4FA2B813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本办法适用于公司及所属项目公司社会招聘、校园招聘全部岗位，包含部长级管理岗、专业技术岗、组员级普通岗位。公司总经理、财务总监依据公司章程由董事会聘任解聘，不适用本办法。</w:t>
      </w:r>
      <w:ind w:firstLineChars="200"/>
    </w:p>
    <w:p w14:paraId="32AAADD9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第三条 工作原则</w:t>
      </w:r>
      <w:ind w:firstLineChars="0"/>
    </w:p>
    <w:p w14:paraId="73A326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编制预算管控原则：招聘工作严格在核定人员编制、年度人力成本预算框架内开展；突破编制总额的，须按制度报董事会审议。</w:t>
      </w:r>
      <w:ind w:firstLineChars="200"/>
    </w:p>
    <w:p w14:paraId="423FEC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公开透明原则：招聘公告、资格审查、面试组织、考察体检、拟录用公示等关键环节规范实施，重要信息依规公开，接受股东单位监督。</w:t>
      </w:r>
      <w:ind w:firstLineChars="200"/>
    </w:p>
    <w:p w14:paraId="25C241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集体决策原则：全部岗位录用须经公司招聘评审小组集体审议同意，不实行个人单独审批，杜绝先招录、后补流程。</w:t>
      </w:r>
      <w:ind w:firstLineChars="200"/>
    </w:p>
    <w:p w14:paraId="469726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回避保密原则：参与招聘的评审小组成员、面试评委、经办人员存在利害关系的必须主动回避；招聘题库、评分材料、候选人个人信息严格保密。</w:t>
      </w:r>
      <w:ind w:firstLineChars="200"/>
    </w:p>
    <w:p w14:paraId="7D2F88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程序闭环原则：严格执行需求审核、公告发布、资格审查、面试、集体评审、背景调查、体检、录用入职全流程，不得颠倒、删减法定及制度规定环节。内部推荐、股东推荐、关联单位调动人员，均须完整履行全套招聘程序，不得简化流程。</w:t>
      </w:r>
      <w:ind w:firstLineChars="200"/>
    </w:p>
    <w:p w14:paraId="46048A11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第四条 组织职责</w:t>
      </w:r>
      <w:ind w:firstLineChars="0"/>
    </w:p>
    <w:p w14:paraId="4C1D3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招聘评审小组：组长由董事长担任，成员包含总经理、财务总监、综合部负责人、股东方委派董事；负责审议招聘计划、岗位条件、薪酬区间，审议候选人全部材料，作出录用或不予录用决定，处理招聘争议事项，可结合总经理办公会审议，紧急事项采用传签方式决策。</w:t>
      </w:r>
      <w:ind w:firstLineChars="200"/>
    </w:p>
    <w:p w14:paraId="2290EA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综合部（归口部门）：负责招聘计划编制、渠道管理、公告发布、简历归集、资格审查、面试组织、背景调查、体检组织、档案归档，落实股东单位反馈意见。</w:t>
      </w:r>
      <w:ind w:firstLineChars="200"/>
    </w:p>
    <w:p w14:paraId="676A1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用人部门：负责提出岗位需求，编制岗位说明书，参与简历筛选、专业面试，出具专业维度录用参考意见。</w:t>
      </w:r>
      <w:ind w:firstLineChars="200"/>
    </w:p>
    <w:p w14:paraId="48CDB5DF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第二章 招聘计划与岗位需求管理</w:t>
      </w:r>
      <w:ind w:firstLineChars="0"/>
    </w:p>
    <w:p w14:paraId="42967A68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第五条 年度招聘计划</w:t>
      </w:r>
      <w:ind w:firstLineChars="0"/>
    </w:p>
    <w:p w14:paraId="2FC73BC8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综合部每年第四季度牵头编制下一年度招聘计划，列明岗位名称、招聘人数、任职条件、招聘渠道、预计到岗时间、人力成本测算，报总经理批准后执行。</w:t>
      </w:r>
      <w:ind w:firstLineChars="200"/>
    </w:p>
    <w:p w14:paraId="0601BA28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第六条 计划外岗位需求</w:t>
      </w:r>
      <w:ind w:firstLineChars="0"/>
    </w:p>
    <w:p w14:paraId="418F5705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因项目新增、人员离职、资产交割确需补充人员的，由用人部门填报《招聘需求表》，同步编制岗位说明书，明确岗位职责、任职条件、薪酬区间。综合部完成编制、预算、薪酬标准合规性审核后报总经理批准。</w:t>
      </w:r>
      <w:ind w:firstLineChars="200"/>
    </w:p>
    <w:p w14:paraId="1BA97A5F">
      <w:pPr>
        <w:pStyle w:val="5"/>
        <w:keepNext w:val="0"/>
        <w:keepLines w:val="0"/>
        <w:widowControl/>
        <w:suppressLineNumbers w:val="0"/>
        <w:spacing w:before="0" w:after="0" w:line="560" w:lineRule="exact"/>
        <w:ind w:left="720"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岗位需求未经审批，不得发布招聘公告、不得开展面试工作。</w:t>
      </w:r>
      <w:ind w:firstLineChars="200"/>
    </w:p>
    <w:p w14:paraId="14394ECE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第七条 岗位说明书管理</w:t>
      </w:r>
      <w:ind w:firstLineChars="0"/>
    </w:p>
    <w:p w14:paraId="1A242784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岗位说明书与《招聘需求表》为招聘实施唯一依据，所有招聘条件不得超出已审批文件范围，严禁设置指向性、歧视性招聘条件。财务部岗位招聘，财务总监必须参与面试并签署专业意见。</w:t>
      </w:r>
      <w:ind w:firstLineChars="200"/>
    </w:p>
    <w:p w14:paraId="75C82246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第三章 招聘方式及公告发布</w:t>
      </w:r>
      <w:ind w:firstLineChars="0"/>
    </w:p>
    <w:p w14:paraId="40B2C8C4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第八条 招聘方式</w:t>
      </w:r>
      <w:ind w:firstLineChars="0"/>
    </w:p>
    <w:p w14:paraId="7A44B4FB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招聘以公开社会招聘为主，按需开展校园招聘；符合制度规定情形，经总经理批准，报招聘评审小组备案后，可实施定向引进。</w:t>
      </w:r>
      <w:ind w:firstLineChars="200"/>
    </w:p>
    <w:p w14:paraId="1EFF8EC2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定向引进适用情形：</w:t>
      </w:r>
      <w:ind w:firstLineChars="200"/>
    </w:p>
    <w:p w14:paraId="31A6EC9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（一）公司紧缺急需且市场供给有限的专业人才；</w:t>
      </w:r>
      <w:ind w:firstLineChars="200"/>
    </w:p>
    <w:p w14:paraId="62E7F5B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after="0" w:line="560" w:lineRule="exact"/>
        <w:ind w:right="0" w:rightChars="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（二）股东方及关联企业系统内调动的人员。</w:t>
      </w:r>
      <w:ind w:firstLineChars="200"/>
    </w:p>
    <w:p w14:paraId="32560DE7">
      <w:pPr>
        <w:pStyle w:val="5"/>
        <w:keepNext w:val="0"/>
        <w:keepLines w:val="0"/>
        <w:widowControl/>
        <w:suppressLineNumbers w:val="0"/>
        <w:spacing w:before="0" w:after="0" w:line="560" w:lineRule="exact"/>
        <w:ind w:left="720"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定向引进仍须履行资格审查、评审小组审议、背调体检全套程序。</w:t>
      </w:r>
      <w:ind w:firstLineChars="200"/>
    </w:p>
    <w:p w14:paraId="6C2BC1AE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第九条 招聘渠道</w:t>
      </w:r>
      <w:ind w:firstLineChars="0"/>
    </w:p>
    <w:p w14:paraId="383FDB36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招聘渠道包含：商业招聘网站、高等院校就业平台、股东方及合作单位推荐、公司内部员工推荐、专业猎头机构。批量同类岗位或者紧急需求，可以组织专场招聘。</w:t>
      </w:r>
      <w:ind w:firstLineChars="200"/>
    </w:p>
    <w:p w14:paraId="503A1A20">
      <w:pPr>
        <w:pStyle w:val="5"/>
        <w:keepNext w:val="0"/>
        <w:keepLines w:val="0"/>
        <w:widowControl/>
        <w:suppressLineNumbers w:val="0"/>
        <w:spacing w:before="0" w:after="0" w:line="560" w:lineRule="exact"/>
        <w:ind w:left="720"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内部推荐、股东及合作单位推荐仅作为简历来源渠道，不豁免公开招聘流程，推荐候选人与外部应聘人员执行完全相同的资格审查、面试、评分、评审、背调体检标准，不得给予特殊优待。猎头为本办法补充招聘渠道，不属于原管理办法列明渠道。</w:t>
      </w:r>
      <w:ind w:firstLineChars="200"/>
    </w:p>
    <w:p w14:paraId="18F309F9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第十条 招聘公告发布</w:t>
      </w:r>
      <w:ind w:firstLineChars="0"/>
    </w:p>
    <w:p w14:paraId="61E29E9D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需求审批完成后2个工作日内，综合部组织发布招聘公告。公告内容包含岗位名称、招聘人数、岗位职责、任职条件、薪酬区间、报名方式、报名截止时间、监督反馈渠道。</w:t>
      </w:r>
      <w:ind w:firstLineChars="200"/>
    </w:p>
    <w:p w14:paraId="6C41E3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发布渠道：主流商业招聘平台、高校就业平台，可叠加股东单位推荐、猎头、内部推荐渠道；管理类重点岗位同步抄送交投集团备案。</w:t>
      </w:r>
      <w:ind w:firstLineChars="200"/>
    </w:p>
    <w:p w14:paraId="378889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简历统一归集：设置统一接收渠道，不私下零散接收简历，全部简历台账留存归档；内部推荐、股东单位推荐简历同样归入统一简历池。</w:t>
      </w:r>
      <w:ind w:firstLineChars="200"/>
    </w:p>
    <w:p w14:paraId="6A17B36E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第十一条 应聘基本准入条件</w:t>
      </w:r>
      <w:ind w:firstLineChars="0"/>
    </w:p>
    <w:p w14:paraId="1CA0273D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应聘人员应当遵纪守法，品行端正，无违法违纪及不良信用记录；具备岗位匹配专业能力；身心健康可履职；年龄原则上不超过50周岁。</w:t>
      </w:r>
      <w:ind w:firstLineChars="200"/>
    </w:p>
    <w:p w14:paraId="7B018057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有下列情形之一的，不得录用： （一）因犯罪受过刑事处罚的； （二）曾被开除公职或者党籍的； （三）涉嫌违纪违法正在接受审查调查的； （四）被依法列入失信联合惩戒对象的； （五）提供虚假材料或者在招聘中作弊的； （六）录用后构成回避关系的。 存在上述不得录用情形的，直接取消应聘资格。</w:t>
      </w:r>
      <w:ind w:firstLineChars="200"/>
    </w:p>
    <w:p w14:paraId="1D0E5C54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第四章 资格审查</w:t>
      </w:r>
      <w:ind w:firstLineChars="0"/>
    </w:p>
    <w:p w14:paraId="5829728B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第十二条 资格初审</w:t>
      </w:r>
      <w:ind w:firstLineChars="0"/>
    </w:p>
    <w:p w14:paraId="3CB5BA11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招聘发布后3个工作日内，由综合部会同用人部门对照公告及岗位说明书开展资格审查，资格审查贯穿招聘全部流程，后续任一环节发现材料造假，立即取消应聘资格。内部推荐、股东推荐候选人同样执行统一资格审查标准。</w:t>
      </w:r>
      <w:ind w:firstLineChars="200"/>
    </w:p>
    <w:p w14:paraId="0A4D55FF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第十三条 面试入围管理</w:t>
      </w:r>
      <w:ind w:firstLineChars="0"/>
    </w:p>
    <w:p w14:paraId="4DC85CBF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资格审查合格人员进入面试池。原则上岗位面试入围人员不少于招聘计划的1∶3；紧缺人才达不到该比例，须提交专项情况说明，提交招聘评审小组审议同意后方可组织面试。候选人主动放弃面试造成比例不足，可正常组织面试并书面记录情况。</w:t>
      </w:r>
      <w:ind w:firstLineChars="200"/>
    </w:p>
    <w:p w14:paraId="13E6F871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第五章 面试组织实施</w:t>
      </w:r>
      <w:ind w:firstLineChars="0"/>
    </w:p>
    <w:p w14:paraId="1C901619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第十四条 面试分层设置及考察重点</w:t>
      </w:r>
      <w:ind w:firstLineChars="0"/>
    </w:p>
    <w:p w14:paraId="3D9136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部长级及以上岗位：综合部 HR 面试→业务领导复试→分管领导或总经理终试，视情况可以增加复试环节，合计不少于3轮。</w:t>
      </w:r>
      <w:ind w:firstLineChars="200"/>
    </w:p>
    <w:p w14:paraId="46B5E5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560" w:lineRule="exact"/>
        <w:ind w:left="144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HR 面试：重点核查基本素质、职业稳定性、沟通表达、薪酬预期及到岗时间；</w:t>
      </w:r>
      <w:ind w:firstLineChars="200"/>
    </w:p>
    <w:p w14:paraId="436D52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560" w:lineRule="exact"/>
        <w:ind w:left="144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业务复试：重点测评专业能力、项目经验、岗位匹配程度；</w:t>
      </w:r>
      <w:ind w:firstLineChars="200"/>
    </w:p>
    <w:p w14:paraId="5A693D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560" w:lineRule="exact"/>
        <w:ind w:left="144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总经理终面：重点评判综合素质、价值理念、责任意识与发展潜力。</w:t>
      </w:r>
      <w:ind w:firstLineChars="200"/>
    </w:p>
    <w:p w14:paraId="0550DE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组员级岗位：综合部与用人部门联合同场面试（评委≥2人），总经理终面（可视频面试或者书面评审），合计2轮。</w:t>
      </w:r>
      <w:ind w:firstLineChars="200"/>
    </w:p>
    <w:p w14:paraId="7031106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560" w:lineRule="exact"/>
        <w:ind w:left="144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联合面试：综合部侧重基本素养、职业稳定性；用人部门侧重专业能力、岗位匹配；</w:t>
      </w:r>
      <w:ind w:firstLineChars="200"/>
    </w:p>
    <w:p w14:paraId="331CA0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560" w:lineRule="exact"/>
        <w:ind w:left="144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总经理终面：重点评判综合素质、工作态度及岗位适配性。</w:t>
      </w:r>
      <w:ind w:firstLineChars="200"/>
    </w:p>
    <w:p w14:paraId="2592F972">
      <w:pPr>
        <w:pStyle w:val="5"/>
        <w:keepNext w:val="0"/>
        <w:keepLines w:val="0"/>
        <w:widowControl/>
        <w:suppressLineNumbers w:val="0"/>
        <w:spacing w:before="0" w:after="0" w:line="560" w:lineRule="exact"/>
        <w:ind w:left="720"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财务、技术类岗位可开展专业能力笔试测评，测评结果仅作为面试参考，不计入硬性综合成绩。</w:t>
      </w:r>
      <w:ind w:firstLineChars="200"/>
    </w:p>
    <w:p w14:paraId="6B294C52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第十五条 面试公平管控要求</w:t>
      </w:r>
      <w:ind w:firstLineChars="0"/>
    </w:p>
    <w:p w14:paraId="2E4633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评委与回避：评委严格执行回避制度，不得参与该候选人评审工作。内部推荐人、股东推荐相关人员，如担任评委存在利害关系的应当回避。</w:t>
      </w:r>
      <w:ind w:firstLineChars="200"/>
    </w:p>
    <w:p w14:paraId="03C8B0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统一面试标准：同一岗位使用统一结构化面试提纲，统一评价维度；评委独立填写《面试评分表》，不得互相交流暗示。</w:t>
      </w:r>
      <w:ind w:firstLineChars="200"/>
    </w:p>
    <w:p w14:paraId="5DF590B3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第六章 集体评审、背景调查与体检</w:t>
      </w:r>
      <w:ind w:firstLineChars="0"/>
    </w:p>
    <w:p w14:paraId="2588BC7A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第十六条 招聘评审小组综合评审</w:t>
      </w:r>
      <w:ind w:firstLineChars="0"/>
    </w:p>
    <w:p w14:paraId="26796D28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面试结束后综合部归集全套资料：《招聘需求表》、岗位说明书、候选人简历（含内部推荐、股东推荐简历）、面试评估表，提交招聘评审小组开展集体审议。</w:t>
      </w:r>
      <w:ind w:firstLineChars="200"/>
    </w:p>
    <w:p w14:paraId="2BE07AA6">
      <w:pPr>
        <w:pStyle w:val="5"/>
        <w:keepNext w:val="0"/>
        <w:keepLines w:val="0"/>
        <w:widowControl/>
        <w:suppressLineNumbers w:val="0"/>
        <w:spacing w:before="0" w:after="0" w:line="560" w:lineRule="exact"/>
        <w:ind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评审小组实行一人一票，过半数同意方可通过；意见不一致则暂缓录用，补充核实材料后重新审议；暂缓满10个工作日未重启审议，终止本次岗位招聘。审议过程形成书面记录，参会人员签字归档。紧急情况采用传签表决，传签记录视同会议记录。</w:t>
      </w:r>
      <w:ind w:firstLineChars="200"/>
    </w:p>
    <w:p w14:paraId="0BA7114C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第十七条 背景调查</w:t>
      </w:r>
      <w:ind w:firstLineChars="0"/>
    </w:p>
    <w:p w14:paraId="58F03AB3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评审小组过半数同意后2个工作日内，综合部启动背景调查，开展前必须取得候选人《个人信息查询授权书》，未取得授权不得开展敏感信息核验。</w:t>
      </w:r>
      <w:ind w:firstLineChars="200"/>
    </w:p>
    <w:p w14:paraId="5978FF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部长级及以上、财务部岗位：核验学历履历、离职原因，访谈前雇主；核验社保、个税等履历佐证材料；财务部岗位同步核查个人征信、无犯罪记录。候选人不便现单位背调的可暂缓该项，书面注明，入职前完成补充核查。</w:t>
      </w:r>
      <w:ind w:firstLineChars="200"/>
    </w:p>
    <w:p w14:paraId="64FC32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其他岗位：核验学历学位、工作履历、无犯罪记录。 背调发现履历、学历重大造假，直接不予录用。</w:t>
      </w:r>
      <w:ind w:firstLineChars="200"/>
    </w:p>
    <w:p w14:paraId="2B683D02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第十八条 体检</w:t>
      </w:r>
      <w:ind w:firstLineChars="0"/>
    </w:p>
    <w:p w14:paraId="06F04C27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背景调查无重大问题，通知候选人提交三级甲等及以上医院入职体检报告，报告3个月内有效。财务、工程运维岗位按需增加职业健康项目。体检不合格不予录用。</w:t>
      </w:r>
      <w:ind w:firstLineChars="200"/>
    </w:p>
    <w:p w14:paraId="2908BA08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第七章 公示、录用及入职办理</w:t>
      </w:r>
      <w:ind w:firstLineChars="0"/>
    </w:p>
    <w:p w14:paraId="026904C6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第十九条 拟录用公示</w:t>
      </w:r>
      <w:ind w:firstLineChars="0"/>
    </w:p>
    <w:p w14:paraId="015B3495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完成背景调查、体检均合格后，形成拟录用人员信息，报送交投及各股东单位备案。在原招聘公告渠道开展公示，公示期不少于5个工作日。公示内容包含拟录用岗位、姓名、学历、主要工作履历、异议反馈渠道。 收到公示异议，综合部开展核查并出具书面核查结论；查实不符合录用条件的取消录用，可按招聘流程组织补招。</w:t>
      </w:r>
      <w:ind w:firstLineChars="200"/>
    </w:p>
    <w:p w14:paraId="57F4B28E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第二十条 录用通知及入职</w:t>
      </w:r>
      <w:ind w:firstLineChars="0"/>
    </w:p>
    <w:p w14:paraId="510DEEB7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公示无异议后，综合部于2个工作日出具正式录用通知，明确岗位、薪酬标准、试用期、报到材料，薪酬严格执行公司经股东共识确认的薪酬、社保公积金制度。</w:t>
      </w:r>
      <w:ind w:firstLineChars="200"/>
    </w:p>
    <w:p w14:paraId="1AFEC6C5">
      <w:pPr>
        <w:pStyle w:val="5"/>
        <w:keepNext w:val="0"/>
        <w:keepLines w:val="0"/>
        <w:widowControl/>
        <w:suppressLineNumbers w:val="0"/>
        <w:spacing w:before="0" w:after="0" w:line="560" w:lineRule="exact"/>
        <w:ind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录用人员试用期一般不超过3个月，最长不超过6个月，具体按照劳动合同约定期限执行。试用期满由用人部门出具考核意见，经综合部审查、总经理审批后转正；试用期考核不合格的，依法解除劳动合同。</w:t>
      </w:r>
      <w:ind w:firstLineChars="200"/>
    </w:p>
    <w:p w14:paraId="18AE10D2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候选人报到提交离职证明、学历证书、体检报告等全套材料；财务部岗位额外提交个人信用报告。材料齐全后一个月内签订劳动合同。</w:t>
      </w:r>
      <w:ind w:firstLineChars="200"/>
    </w:p>
    <w:p w14:paraId="45ECA50F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第二十一条 办理时限</w:t>
      </w:r>
      <w:ind w:firstLineChars="0"/>
    </w:p>
    <w:p w14:paraId="19EE9944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组员级岗位自公告发布至发放录用通知原则上不超过15个工作日；部长级及以上岗位原则上不超过25个工作日。因候选人、背调、评审暂缓导致延期的，在招聘台账书面记录，不受时限约束。</w:t>
      </w:r>
      <w:ind w:firstLineChars="200"/>
    </w:p>
    <w:p w14:paraId="419028CF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第八章 档案归档、监督与责任</w:t>
      </w:r>
      <w:ind w:firstLineChars="0"/>
    </w:p>
    <w:p w14:paraId="3BAABD60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第二十二条 招聘档案管理</w:t>
      </w:r>
      <w:ind w:firstLineChars="0"/>
    </w:p>
    <w:p w14:paraId="5C075017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实行一批次一档案，归档材料包含：招聘需求表、岗位说明书、招聘公告截图、简历台账（含内部推荐、股东推荐简历）、资格审查表、面试评分表、评审小组会议记录、传签记录、个人信息查询授权书、背调报告、体检资料、公示材料、录用审批材料。档案保存期限不少于10年；未录用人员资料保存1年到期销毁。</w:t>
      </w:r>
      <w:ind w:firstLineChars="200"/>
    </w:p>
    <w:p w14:paraId="3C135F83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第二十三条 监督管理</w:t>
      </w:r>
      <w:ind w:firstLineChars="0"/>
    </w:p>
    <w:p w14:paraId="407E30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综合部每半年开展招聘制度执行自查，形成自查报告报送总经理；主动接受交投集团、各股东单位、内部审计调阅档案与监督检查。</w:t>
      </w:r>
      <w:ind w:firstLineChars="200"/>
    </w:p>
    <w:p w14:paraId="0349AD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560" w:lineRule="exact"/>
        <w:ind w:lef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严禁招聘工作人员收受利益、泄露面试材料、设置定向条件；严格落实回避制度。内部推荐、股东推荐不得干预评审打分、不得绕过公开流程。出现未按程序招聘、隐瞒利害关系、弄虚作假等情形，依规追究相关人员责任。</w:t>
      </w:r>
      <w:ind w:firstLineChars="200"/>
    </w:p>
    <w:p w14:paraId="6BAD590C">
      <w:pPr>
        <w:pStyle w:val="3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第九章 附则</w:t>
      </w:r>
      <w:ind w:firstLineChars="0"/>
    </w:p>
    <w:p w14:paraId="45B81FBA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第二十四条</w:t>
      </w:r>
      <w:ind w:firstLineChars="0"/>
    </w:p>
    <w:p w14:paraId="0A174A2E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本办法未尽事宜，按照《中华人民共和国劳动合同法》等法律法规、公司章程以及《成都长霖新能源有限公司员工招聘管理办法（20261021）》执行。本办法如与上位制度冲突，以上位制度为准。</w:t>
      </w:r>
      <w:ind w:firstLineChars="200"/>
    </w:p>
    <w:p w14:paraId="515A7093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left"/>
      </w:pPr>
      <w:r>
        <w:rPr>
          <w:rFonts w:ascii="楷体" w:hAnsi="楷体" w:eastAsia="楷体" w:cs="楷体"/>
          <w:b/>
          <w:sz w:val="32"/>
        </w:rPr>
        <w:t>第二十五条</w:t>
      </w:r>
      <w:ind w:firstLineChars="0"/>
    </w:p>
    <w:p w14:paraId="6476BF48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本办法由公司综合部负责解释，经招聘评审小组审议后报送交投及各股东单位审核同意后实施。</w:t>
      </w:r>
      <w:ind w:firstLineChars="200"/>
    </w:p>
    <w:p w14:paraId="43240115">
      <w:pPr>
        <w:pStyle w:val="4"/>
        <w:keepNext/>
        <w:keepLines w:val="0"/>
        <w:widowControl/>
        <w:suppressLineNumbers w:val="0"/>
        <w:spacing w:before="0" w:after="0" w:line="560" w:lineRule="exact"/>
        <w:ind w:firstLine="0"/>
        <w:jc w:val="center"/>
      </w:pPr>
      <w:r>
        <w:rPr>
          <w:rFonts w:ascii="黑体" w:hAnsi="黑体" w:eastAsia="黑体" w:cs="黑体"/>
          <w:b w:val="0"/>
          <w:sz w:val="32"/>
        </w:rPr>
        <w:t>附件清单</w:t>
      </w:r>
      <w:ind w:firstLineChars="0"/>
    </w:p>
    <w:p w14:paraId="7E131D78">
      <w:pPr>
        <w:pStyle w:val="5"/>
        <w:keepNext w:val="0"/>
        <w:keepLines w:val="0"/>
        <w:widowControl/>
        <w:suppressLineNumbers w:val="0"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附件1：招聘需求表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附件2：岗位说明书模板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附件3：招聘公告模板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附件4：资格审查表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附件5：面试回避登记表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附件6：面试评分表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附件7：个人信息查询授权书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附件8：背景调查报告模板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附件9：拟录用公示模板</w:t>
      </w:r>
      <w:ind w:firstLineChars="200"/>
    </w:p>
    <w:p>
      <w:pPr>
        <w:widowControl/>
        <w:spacing w:before="0" w:after="0" w:line="560" w:lineRule="exact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附件10：招聘档案归档清单</w:t>
      </w:r>
      <w:ind w:firstLineChars="200"/>
    </w:p>
    <w:p w14:paraId="7FE0BCA5">
      <w:pPr>
        <w:pStyle w:val="5"/>
        <w:keepNext w:val="0"/>
        <w:keepLines w:val="0"/>
        <w:widowControl/>
        <w:suppressLineNumbers w:val="0"/>
        <w:spacing w:before="0" w:after="0" w:line="560" w:lineRule="exact"/>
        <w:ind w:left="720" w:right="720"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成都长霖新能源有限公司 2026年 10月 XX 日</w:t>
      </w:r>
      <w:ind w:firstLineChars="200"/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FB8CC"/>
    <w:multiLevelType w:val="multilevel"/>
    <w:tmpl w:val="ACDFB8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3C175C"/>
    <w:multiLevelType w:val="multilevel"/>
    <w:tmpl w:val="B33C17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E827826"/>
    <w:multiLevelType w:val="multilevel"/>
    <w:tmpl w:val="CE827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ADF633A"/>
    <w:multiLevelType w:val="multilevel"/>
    <w:tmpl w:val="1ADF63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A683ECF"/>
    <w:multiLevelType w:val="multilevel"/>
    <w:tmpl w:val="4A683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10925E5"/>
    <w:multiLevelType w:val="singleLevel"/>
    <w:tmpl w:val="510925E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646EE8F6"/>
    <w:multiLevelType w:val="multilevel"/>
    <w:tmpl w:val="646EE8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6BA9176"/>
    <w:multiLevelType w:val="multilevel"/>
    <w:tmpl w:val="76BA9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E7AF3"/>
    <w:rsid w:val="6819075E"/>
    <w:rsid w:val="6AA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仿宋_GB2312" w:hAnsi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2026-10-22T04:03:45Z</dcterms:created>
  <dc:creator>86135</dc:creator>
  <cp:lastModifiedBy>Kaylee</cp:lastModifiedBy>
  <dcterms:modified xsi:type="dcterms:W3CDTF">2026-10-22T04:08:47Z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eyJoZGlkIjoiNjllMTQ1N2NiYWJhNmE3MmJmNjczYjE3MmE0Mzc5ZDEiLCJ1c2VySWQiOiIxMDUzNDQ2MDUyIn0=</vt:lpwstr>
  </property>
  <property fmtid="{D5CDD505-2E9C-101B-9397-08002B2CF9AE}" pid="4" name="ICV">
    <vt:lpwstr>3027912F026E44968095FF8E5D9DCB28_12</vt:lpwstr>
  </property>
</Properties>
</file>