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ACBB43">
      <w:pPr>
        <w:pStyle w:val="2"/>
        <w:spacing w:before="240" w:after="120" w:line="360" w:lineRule="auto"/>
      </w:pPr>
      <w:r>
        <w:rPr>
          <w:rFonts w:ascii="微软雅黑" w:hAnsi="微软雅黑" w:eastAsia="微软雅黑" w:cs="微软雅黑"/>
          <w:b/>
          <w:bCs/>
          <w:color w:val="000000"/>
          <w:sz w:val="36"/>
          <w:szCs w:val="36"/>
        </w:rPr>
        <w:t>链禾农业供应链金融服务平台</w:t>
      </w:r>
    </w:p>
    <w:p w14:paraId="4B0B49AD">
      <w:pPr>
        <w:pStyle w:val="3"/>
        <w:spacing w:before="240" w:after="120" w:line="360" w:lineRule="auto"/>
      </w:pPr>
      <w:r>
        <w:rPr>
          <w:rFonts w:ascii="微软雅黑" w:hAnsi="微软雅黑" w:eastAsia="微软雅黑" w:cs="微软雅黑"/>
          <w:b/>
          <w:bCs/>
          <w:color w:val="000000"/>
          <w:sz w:val="32"/>
          <w:szCs w:val="32"/>
        </w:rPr>
        <w:t>银行对接与项目实施综合方案</w:t>
      </w:r>
    </w:p>
    <w:p w14:paraId="0920F620">
      <w:pPr>
        <w:pBdr>
          <w:bottom w:val="single" w:color="999999" w:sz="2" w:space="0"/>
        </w:pBdr>
        <w:spacing w:before="240" w:after="240"/>
      </w:pPr>
    </w:p>
    <w:p w14:paraId="1EC0899F">
      <w:pPr>
        <w:pStyle w:val="3"/>
        <w:spacing w:before="240" w:after="120" w:line="360" w:lineRule="auto"/>
      </w:pPr>
      <w:r>
        <w:rPr>
          <w:rFonts w:ascii="微软雅黑" w:hAnsi="微软雅黑" w:eastAsia="微软雅黑" w:cs="微软雅黑"/>
          <w:b/>
          <w:bCs/>
          <w:color w:val="000000"/>
          <w:sz w:val="32"/>
          <w:szCs w:val="32"/>
        </w:rPr>
        <w:t>目录</w:t>
      </w:r>
    </w:p>
    <w:p w14:paraId="68F91216">
      <w:pPr>
        <w:ind w:left="720" w:hanging="360"/>
      </w:pPr>
      <w:r>
        <w:rPr>
          <w:rFonts w:ascii="微软雅黑" w:hAnsi="微软雅黑" w:eastAsia="微软雅黑" w:cs="微软雅黑"/>
          <w:sz w:val="24"/>
          <w:szCs w:val="24"/>
        </w:rPr>
        <w:t xml:space="preserve">1. </w:t>
      </w:r>
      <w:r>
        <w:rPr>
          <w:rStyle w:val="12"/>
          <w:rFonts w:ascii="微软雅黑" w:hAnsi="微软雅黑" w:eastAsia="微软雅黑" w:cs="微软雅黑"/>
          <w:color w:val="0563C1"/>
          <w:sz w:val="24"/>
          <w:szCs w:val="24"/>
        </w:rPr>
        <w:t>项目概述与目标</w:t>
      </w:r>
    </w:p>
    <w:p w14:paraId="10650E7C">
      <w:pPr>
        <w:ind w:left="720" w:hanging="360"/>
      </w:pPr>
      <w:r>
        <w:rPr>
          <w:rFonts w:ascii="微软雅黑" w:hAnsi="微软雅黑" w:eastAsia="微软雅黑" w:cs="微软雅黑"/>
          <w:sz w:val="24"/>
          <w:szCs w:val="24"/>
        </w:rPr>
        <w:t xml:space="preserve">2. </w:t>
      </w:r>
      <w:r>
        <w:rPr>
          <w:rStyle w:val="12"/>
          <w:rFonts w:ascii="微软雅黑" w:hAnsi="微软雅黑" w:eastAsia="微软雅黑" w:cs="微软雅黑"/>
          <w:color w:val="0563C1"/>
          <w:sz w:val="24"/>
          <w:szCs w:val="24"/>
        </w:rPr>
        <w:t>银行端需求清单</w:t>
      </w:r>
    </w:p>
    <w:p w14:paraId="378A60BD">
      <w:pPr>
        <w:ind w:left="720" w:hanging="360"/>
      </w:pPr>
      <w:r>
        <w:rPr>
          <w:rFonts w:ascii="微软雅黑" w:hAnsi="微软雅黑" w:eastAsia="微软雅黑" w:cs="微软雅黑"/>
          <w:sz w:val="24"/>
          <w:szCs w:val="24"/>
        </w:rPr>
        <w:t xml:space="preserve">3. </w:t>
      </w:r>
      <w:r>
        <w:rPr>
          <w:rStyle w:val="12"/>
          <w:rFonts w:ascii="微软雅黑" w:hAnsi="微软雅黑" w:eastAsia="微软雅黑" w:cs="微软雅黑"/>
          <w:color w:val="0563C1"/>
          <w:sz w:val="24"/>
          <w:szCs w:val="24"/>
        </w:rPr>
        <w:t>平台端准备清单</w:t>
      </w:r>
    </w:p>
    <w:p w14:paraId="02EED2BA">
      <w:pPr>
        <w:ind w:left="720" w:hanging="360"/>
      </w:pPr>
      <w:r>
        <w:rPr>
          <w:rFonts w:ascii="微软雅黑" w:hAnsi="微软雅黑" w:eastAsia="微软雅黑" w:cs="微软雅黑"/>
          <w:sz w:val="24"/>
          <w:szCs w:val="24"/>
        </w:rPr>
        <w:t xml:space="preserve">4. </w:t>
      </w:r>
      <w:r>
        <w:rPr>
          <w:rStyle w:val="12"/>
          <w:rFonts w:ascii="微软雅黑" w:hAnsi="微软雅黑" w:eastAsia="微软雅黑" w:cs="微软雅黑"/>
          <w:color w:val="0563C1"/>
          <w:sz w:val="24"/>
          <w:szCs w:val="24"/>
        </w:rPr>
        <w:t>银行合作沟通提纲</w:t>
      </w:r>
    </w:p>
    <w:p w14:paraId="594FCB3D">
      <w:pPr>
        <w:ind w:left="720" w:hanging="360"/>
      </w:pPr>
      <w:r>
        <w:rPr>
          <w:rFonts w:ascii="微软雅黑" w:hAnsi="微软雅黑" w:eastAsia="微软雅黑" w:cs="微软雅黑"/>
          <w:sz w:val="24"/>
          <w:szCs w:val="24"/>
        </w:rPr>
        <w:t xml:space="preserve">5. </w:t>
      </w:r>
      <w:r>
        <w:rPr>
          <w:rStyle w:val="12"/>
          <w:rFonts w:ascii="微软雅黑" w:hAnsi="微软雅黑" w:eastAsia="微软雅黑" w:cs="微软雅黑"/>
          <w:color w:val="0563C1"/>
          <w:sz w:val="24"/>
          <w:szCs w:val="24"/>
        </w:rPr>
        <w:t>技术对接详细方案</w:t>
      </w:r>
    </w:p>
    <w:p w14:paraId="397ADE00">
      <w:pPr>
        <w:ind w:left="720" w:hanging="360"/>
      </w:pPr>
      <w:r>
        <w:rPr>
          <w:rFonts w:ascii="微软雅黑" w:hAnsi="微软雅黑" w:eastAsia="微软雅黑" w:cs="微软雅黑"/>
          <w:sz w:val="24"/>
          <w:szCs w:val="24"/>
        </w:rPr>
        <w:t xml:space="preserve">6. </w:t>
      </w:r>
      <w:r>
        <w:rPr>
          <w:rStyle w:val="12"/>
          <w:rFonts w:ascii="微软雅黑" w:hAnsi="微软雅黑" w:eastAsia="微软雅黑" w:cs="微软雅黑"/>
          <w:color w:val="0563C1"/>
          <w:sz w:val="24"/>
          <w:szCs w:val="24"/>
        </w:rPr>
        <w:t>风控模型详细构建</w:t>
      </w:r>
    </w:p>
    <w:p w14:paraId="32B84B02">
      <w:pPr>
        <w:ind w:left="720" w:hanging="360"/>
      </w:pPr>
      <w:r>
        <w:rPr>
          <w:rFonts w:ascii="微软雅黑" w:hAnsi="微软雅黑" w:eastAsia="微软雅黑" w:cs="微软雅黑"/>
          <w:sz w:val="24"/>
          <w:szCs w:val="24"/>
        </w:rPr>
        <w:t xml:space="preserve">7. </w:t>
      </w:r>
      <w:r>
        <w:rPr>
          <w:rStyle w:val="12"/>
          <w:rFonts w:ascii="微软雅黑" w:hAnsi="微软雅黑" w:eastAsia="微软雅黑" w:cs="微软雅黑"/>
          <w:color w:val="0563C1"/>
          <w:sz w:val="24"/>
          <w:szCs w:val="24"/>
        </w:rPr>
        <w:t>试点执行计划</w:t>
      </w:r>
    </w:p>
    <w:p w14:paraId="03176F28">
      <w:pPr>
        <w:ind w:left="720" w:hanging="360"/>
      </w:pPr>
      <w:r>
        <w:rPr>
          <w:rFonts w:ascii="微软雅黑" w:hAnsi="微软雅黑" w:eastAsia="微软雅黑" w:cs="微软雅黑"/>
          <w:sz w:val="24"/>
          <w:szCs w:val="24"/>
        </w:rPr>
        <w:t xml:space="preserve">8. </w:t>
      </w:r>
      <w:r>
        <w:rPr>
          <w:rStyle w:val="12"/>
          <w:rFonts w:ascii="微软雅黑" w:hAnsi="微软雅黑" w:eastAsia="微软雅黑" w:cs="微软雅黑"/>
          <w:color w:val="0563C1"/>
          <w:sz w:val="24"/>
          <w:szCs w:val="24"/>
        </w:rPr>
        <w:t>产品原型与用户体验设计</w:t>
      </w:r>
    </w:p>
    <w:p w14:paraId="43F09F57">
      <w:pPr>
        <w:ind w:left="720" w:hanging="360"/>
      </w:pPr>
      <w:r>
        <w:rPr>
          <w:rFonts w:ascii="微软雅黑" w:hAnsi="微软雅黑" w:eastAsia="微软雅黑" w:cs="微软雅黑"/>
          <w:sz w:val="24"/>
          <w:szCs w:val="24"/>
        </w:rPr>
        <w:t xml:space="preserve">9. </w:t>
      </w:r>
      <w:r>
        <w:rPr>
          <w:rStyle w:val="12"/>
          <w:rFonts w:ascii="微软雅黑" w:hAnsi="微软雅黑" w:eastAsia="微软雅黑" w:cs="微软雅黑"/>
          <w:color w:val="0563C1"/>
          <w:sz w:val="24"/>
          <w:szCs w:val="24"/>
        </w:rPr>
        <w:t>银行合作谈判话术与材料</w:t>
      </w:r>
    </w:p>
    <w:p w14:paraId="4C71263D">
      <w:pPr>
        <w:ind w:left="720" w:hanging="360"/>
      </w:pPr>
      <w:r>
        <w:rPr>
          <w:rFonts w:ascii="微软雅黑" w:hAnsi="微软雅黑" w:eastAsia="微软雅黑" w:cs="微软雅黑"/>
          <w:sz w:val="24"/>
          <w:szCs w:val="24"/>
        </w:rPr>
        <w:t xml:space="preserve">10. </w:t>
      </w:r>
      <w:r>
        <w:rPr>
          <w:rStyle w:val="12"/>
          <w:rFonts w:ascii="微软雅黑" w:hAnsi="微软雅黑" w:eastAsia="微软雅黑" w:cs="微软雅黑"/>
          <w:color w:val="0563C1"/>
          <w:sz w:val="24"/>
          <w:szCs w:val="24"/>
        </w:rPr>
        <w:t>运营与客服流程手册</w:t>
      </w:r>
    </w:p>
    <w:p w14:paraId="25409806">
      <w:pPr>
        <w:ind w:left="720" w:hanging="360"/>
      </w:pPr>
      <w:r>
        <w:rPr>
          <w:rFonts w:ascii="微软雅黑" w:hAnsi="微软雅黑" w:eastAsia="微软雅黑" w:cs="微软雅黑"/>
          <w:sz w:val="24"/>
          <w:szCs w:val="24"/>
        </w:rPr>
        <w:t xml:space="preserve">11. </w:t>
      </w:r>
      <w:r>
        <w:rPr>
          <w:rStyle w:val="12"/>
          <w:rFonts w:ascii="微软雅黑" w:hAnsi="微软雅黑" w:eastAsia="微软雅黑" w:cs="微软雅黑"/>
          <w:color w:val="0563C1"/>
          <w:sz w:val="24"/>
          <w:szCs w:val="24"/>
        </w:rPr>
        <w:t>数据安全与隐私保护方案</w:t>
      </w:r>
    </w:p>
    <w:p w14:paraId="672395DE">
      <w:pPr>
        <w:ind w:left="720" w:hanging="360"/>
      </w:pPr>
      <w:r>
        <w:rPr>
          <w:rFonts w:ascii="微软雅黑" w:hAnsi="微软雅黑" w:eastAsia="微软雅黑" w:cs="微软雅黑"/>
          <w:sz w:val="24"/>
          <w:szCs w:val="24"/>
        </w:rPr>
        <w:t xml:space="preserve">12. </w:t>
      </w:r>
      <w:r>
        <w:rPr>
          <w:rStyle w:val="12"/>
          <w:rFonts w:ascii="微软雅黑" w:hAnsi="微软雅黑" w:eastAsia="微软雅黑" w:cs="微软雅黑"/>
          <w:color w:val="0563C1"/>
          <w:sz w:val="24"/>
          <w:szCs w:val="24"/>
        </w:rPr>
        <w:t>市场推广与租户教育方案</w:t>
      </w:r>
    </w:p>
    <w:p w14:paraId="2523CC24">
      <w:pPr>
        <w:ind w:left="720" w:hanging="360"/>
      </w:pPr>
      <w:r>
        <w:rPr>
          <w:rFonts w:ascii="微软雅黑" w:hAnsi="微软雅黑" w:eastAsia="微软雅黑" w:cs="微软雅黑"/>
          <w:sz w:val="24"/>
          <w:szCs w:val="24"/>
        </w:rPr>
        <w:t xml:space="preserve">13. </w:t>
      </w:r>
      <w:r>
        <w:rPr>
          <w:rStyle w:val="12"/>
          <w:rFonts w:ascii="微软雅黑" w:hAnsi="微软雅黑" w:eastAsia="微软雅黑" w:cs="微软雅黑"/>
          <w:color w:val="0563C1"/>
          <w:sz w:val="24"/>
          <w:szCs w:val="24"/>
        </w:rPr>
        <w:t>法律协议要点清单</w:t>
      </w:r>
    </w:p>
    <w:p w14:paraId="55CE85E3">
      <w:pPr>
        <w:ind w:left="720" w:hanging="360"/>
      </w:pPr>
      <w:r>
        <w:rPr>
          <w:rFonts w:ascii="微软雅黑" w:hAnsi="微软雅黑" w:eastAsia="微软雅黑" w:cs="微软雅黑"/>
          <w:sz w:val="24"/>
          <w:szCs w:val="24"/>
        </w:rPr>
        <w:t xml:space="preserve">14. </w:t>
      </w:r>
      <w:r>
        <w:rPr>
          <w:rStyle w:val="12"/>
          <w:rFonts w:ascii="微软雅黑" w:hAnsi="微软雅黑" w:eastAsia="微软雅黑" w:cs="微软雅黑"/>
          <w:color w:val="0563C1"/>
          <w:sz w:val="24"/>
          <w:szCs w:val="24"/>
        </w:rPr>
        <w:t>结语</w:t>
      </w:r>
    </w:p>
    <w:p w14:paraId="78866673">
      <w:pPr>
        <w:pBdr>
          <w:bottom w:val="single" w:color="999999" w:sz="2" w:space="0"/>
        </w:pBdr>
        <w:spacing w:before="240" w:after="240"/>
      </w:pPr>
    </w:p>
    <w:p w14:paraId="767D5BFF">
      <w:pPr>
        <w:pStyle w:val="3"/>
        <w:spacing w:before="240" w:after="120" w:line="360" w:lineRule="auto"/>
      </w:pPr>
      <w:r>
        <w:rPr>
          <w:rFonts w:ascii="微软雅黑" w:hAnsi="微软雅黑" w:eastAsia="微软雅黑" w:cs="微软雅黑"/>
          <w:b/>
          <w:bCs/>
          <w:color w:val="000000"/>
          <w:sz w:val="32"/>
          <w:szCs w:val="32"/>
        </w:rPr>
        <w:t>1. 项目概述与目标</w:t>
      </w:r>
    </w:p>
    <w:p w14:paraId="5221F1BC">
      <w:pPr>
        <w:spacing w:before="0" w:after="120" w:line="360" w:lineRule="exact"/>
      </w:pPr>
      <w:r>
        <w:rPr>
          <w:rFonts w:ascii="微软雅黑" w:hAnsi="微软雅黑" w:eastAsia="微软雅黑" w:cs="微软雅黑"/>
          <w:color w:val="000000"/>
          <w:sz w:val="24"/>
          <w:szCs w:val="24"/>
        </w:rPr>
        <w:t>本项目旨在依托现有生鲜配送SaaS系统，整合银行与持牌机构能力，面向租户（配送公司）提供“采购垫资”闭环金融服务。平台作为技术服务方，连接租户与资金方，利用SaaS沉淀的真实经营数据构建风控模型，协助银行向优质中小配送企业发放短期流动资金贷款。</w:t>
      </w:r>
    </w:p>
    <w:p w14:paraId="1385C725">
      <w:pPr>
        <w:spacing w:before="0" w:after="120" w:line="360" w:lineRule="exact"/>
      </w:pPr>
      <w:r>
        <w:rPr>
          <w:rFonts w:ascii="微软雅黑" w:hAnsi="微软雅黑" w:eastAsia="微软雅黑" w:cs="微软雅黑"/>
          <w:b/>
          <w:bCs/>
          <w:color w:val="000000"/>
          <w:sz w:val="24"/>
          <w:szCs w:val="24"/>
        </w:rPr>
        <w:t>核心目标</w:t>
      </w:r>
      <w:r>
        <w:rPr>
          <w:rFonts w:ascii="微软雅黑" w:hAnsi="微软雅黑" w:eastAsia="微软雅黑" w:cs="微软雅黑"/>
          <w:color w:val="000000"/>
          <w:sz w:val="24"/>
          <w:szCs w:val="24"/>
        </w:rPr>
        <w:t>：</w:t>
      </w:r>
    </w:p>
    <w:p w14:paraId="7E23F499">
      <w:pPr>
        <w:ind w:left="720" w:hanging="360"/>
      </w:pPr>
      <w:r>
        <w:rPr>
          <w:rFonts w:ascii="微软雅黑" w:hAnsi="微软雅黑" w:eastAsia="微软雅黑" w:cs="微软雅黑"/>
          <w:sz w:val="24"/>
          <w:szCs w:val="24"/>
        </w:rPr>
        <w:t>• 解决生鲜配送行业账期错配痛点</w:t>
      </w:r>
    </w:p>
    <w:p w14:paraId="0DFFA2FA">
      <w:pPr>
        <w:ind w:left="720" w:hanging="360"/>
      </w:pPr>
      <w:r>
        <w:rPr>
          <w:rFonts w:ascii="微软雅黑" w:hAnsi="微软雅黑" w:eastAsia="微软雅黑" w:cs="微软雅黑"/>
          <w:sz w:val="24"/>
          <w:szCs w:val="24"/>
        </w:rPr>
        <w:t>• 为租户提供“随借随还、按订单融资”的灵活资金</w:t>
      </w:r>
    </w:p>
    <w:p w14:paraId="15994A0B">
      <w:pPr>
        <w:ind w:left="720" w:hanging="360"/>
      </w:pPr>
      <w:r>
        <w:rPr>
          <w:rFonts w:ascii="微软雅黑" w:hAnsi="微软雅黑" w:eastAsia="微软雅黑" w:cs="微软雅黑"/>
          <w:sz w:val="24"/>
          <w:szCs w:val="24"/>
        </w:rPr>
        <w:t>• 为银行提供“真实场景、闭环控制、优质资产”</w:t>
      </w:r>
    </w:p>
    <w:p w14:paraId="5CAAECEA">
      <w:pPr>
        <w:ind w:left="720" w:hanging="360"/>
      </w:pPr>
      <w:r>
        <w:rPr>
          <w:rFonts w:ascii="微软雅黑" w:hAnsi="微软雅黑" w:eastAsia="微软雅黑" w:cs="微软雅黑"/>
          <w:sz w:val="24"/>
          <w:szCs w:val="24"/>
        </w:rPr>
        <w:t>• 构建“SaaS+供应链金融”生态壁垒，提升平台价值</w:t>
      </w:r>
    </w:p>
    <w:p w14:paraId="302E4F8E">
      <w:pPr>
        <w:pBdr>
          <w:bottom w:val="single" w:color="999999" w:sz="2" w:space="0"/>
        </w:pBdr>
        <w:spacing w:before="240" w:after="240"/>
      </w:pPr>
    </w:p>
    <w:p w14:paraId="44553880">
      <w:pPr>
        <w:pStyle w:val="3"/>
        <w:spacing w:before="240" w:after="120" w:line="360" w:lineRule="auto"/>
      </w:pPr>
      <w:r>
        <w:rPr>
          <w:rFonts w:ascii="微软雅黑" w:hAnsi="微软雅黑" w:eastAsia="微软雅黑" w:cs="微软雅黑"/>
          <w:b/>
          <w:bCs/>
          <w:color w:val="000000"/>
          <w:sz w:val="32"/>
          <w:szCs w:val="32"/>
        </w:rPr>
        <w:t>2. 银行端需求清单</w:t>
      </w:r>
    </w:p>
    <w:p w14:paraId="02F57517">
      <w:pPr>
        <w:spacing w:before="0" w:after="120" w:line="360" w:lineRule="exact"/>
      </w:pPr>
      <w:r>
        <w:rPr>
          <w:rFonts w:ascii="微软雅黑" w:hAnsi="微软雅黑" w:eastAsia="微软雅黑" w:cs="微软雅黑"/>
          <w:color w:val="000000"/>
          <w:sz w:val="24"/>
          <w:szCs w:val="24"/>
        </w:rPr>
        <w:t>平台需要银行开放以下核心能力：</w:t>
      </w:r>
    </w:p>
    <w:p w14:paraId="1E3B81FA">
      <w:pPr>
        <w:pStyle w:val="4"/>
        <w:spacing w:before="240" w:after="120" w:line="360" w:lineRule="auto"/>
      </w:pPr>
      <w:r>
        <w:rPr>
          <w:rFonts w:ascii="微软雅黑" w:hAnsi="微软雅黑" w:eastAsia="微软雅黑" w:cs="微软雅黑"/>
          <w:b/>
          <w:bCs/>
          <w:color w:val="000000"/>
          <w:sz w:val="28"/>
          <w:szCs w:val="28"/>
        </w:rPr>
        <w:t>2.1 账户体系能力</w:t>
      </w:r>
    </w:p>
    <w:p w14:paraId="6AE028A7">
      <w:pPr>
        <w:ind w:left="720" w:hanging="360"/>
      </w:pPr>
      <w:r>
        <w:rPr>
          <w:rFonts w:ascii="微软雅黑" w:hAnsi="微软雅黑" w:eastAsia="微软雅黑" w:cs="微软雅黑"/>
          <w:sz w:val="24"/>
          <w:szCs w:val="24"/>
        </w:rPr>
        <w:t xml:space="preserve">• </w:t>
      </w:r>
      <w:r>
        <w:rPr>
          <w:rFonts w:ascii="微软雅黑" w:hAnsi="微软雅黑" w:eastAsia="微软雅黑" w:cs="微软雅黑"/>
          <w:b/>
          <w:bCs/>
          <w:color w:val="000000"/>
          <w:sz w:val="24"/>
          <w:szCs w:val="24"/>
        </w:rPr>
        <w:t>虚拟子账户开立</w:t>
      </w:r>
      <w:r>
        <w:rPr>
          <w:rFonts w:ascii="微软雅黑" w:hAnsi="微软雅黑" w:eastAsia="微软雅黑" w:cs="微软雅黑"/>
          <w:color w:val="000000"/>
          <w:sz w:val="24"/>
          <w:szCs w:val="24"/>
        </w:rPr>
        <w:t>：为每个租户开立独立的银行虚拟账户（或资金托管账户），用于销售回款归集与监管。</w:t>
      </w:r>
    </w:p>
    <w:p w14:paraId="33C6C033">
      <w:pPr>
        <w:ind w:left="720" w:hanging="360"/>
      </w:pPr>
      <w:r>
        <w:rPr>
          <w:rFonts w:ascii="微软雅黑" w:hAnsi="微软雅黑" w:eastAsia="微软雅黑" w:cs="微软雅黑"/>
          <w:sz w:val="24"/>
          <w:szCs w:val="24"/>
        </w:rPr>
        <w:t xml:space="preserve">• </w:t>
      </w:r>
      <w:r>
        <w:rPr>
          <w:rFonts w:ascii="微软雅黑" w:hAnsi="微软雅黑" w:eastAsia="微软雅黑" w:cs="微软雅黑"/>
          <w:b/>
          <w:bCs/>
          <w:color w:val="000000"/>
          <w:sz w:val="24"/>
          <w:szCs w:val="24"/>
        </w:rPr>
        <w:t>账户绑定与变更</w:t>
      </w:r>
      <w:r>
        <w:rPr>
          <w:rFonts w:ascii="微软雅黑" w:hAnsi="微软雅黑" w:eastAsia="微软雅黑" w:cs="微软雅黑"/>
          <w:color w:val="000000"/>
          <w:sz w:val="24"/>
          <w:szCs w:val="24"/>
        </w:rPr>
        <w:t>：支持租户通过平台授权将其银行结算账户与虚拟账户绑定，并支持后续变更。</w:t>
      </w:r>
    </w:p>
    <w:p w14:paraId="0B3732DF">
      <w:pPr>
        <w:ind w:left="720" w:hanging="360"/>
      </w:pPr>
      <w:r>
        <w:rPr>
          <w:rFonts w:ascii="微软雅黑" w:hAnsi="微软雅黑" w:eastAsia="微软雅黑" w:cs="微软雅黑"/>
          <w:sz w:val="24"/>
          <w:szCs w:val="24"/>
        </w:rPr>
        <w:t xml:space="preserve">• </w:t>
      </w:r>
      <w:r>
        <w:rPr>
          <w:rFonts w:ascii="微软雅黑" w:hAnsi="微软雅黑" w:eastAsia="微软雅黑" w:cs="微软雅黑"/>
          <w:b/>
          <w:bCs/>
          <w:color w:val="000000"/>
          <w:sz w:val="24"/>
          <w:szCs w:val="24"/>
        </w:rPr>
        <w:t>账户信息查询</w:t>
      </w:r>
      <w:r>
        <w:rPr>
          <w:rFonts w:ascii="微软雅黑" w:hAnsi="微软雅黑" w:eastAsia="微软雅黑" w:cs="微软雅黑"/>
          <w:color w:val="000000"/>
          <w:sz w:val="24"/>
          <w:szCs w:val="24"/>
        </w:rPr>
        <w:t>：提供接口实时查询虚拟账户余额、交易明细等。</w:t>
      </w:r>
    </w:p>
    <w:p w14:paraId="6AAE3575">
      <w:pPr>
        <w:pStyle w:val="4"/>
        <w:spacing w:before="240" w:after="120" w:line="360" w:lineRule="auto"/>
      </w:pPr>
      <w:r>
        <w:rPr>
          <w:rFonts w:ascii="微软雅黑" w:hAnsi="微软雅黑" w:eastAsia="微软雅黑" w:cs="微软雅黑"/>
          <w:b/>
          <w:bCs/>
          <w:color w:val="000000"/>
          <w:sz w:val="28"/>
          <w:szCs w:val="28"/>
        </w:rPr>
        <w:t>2.2 受托支付能力</w:t>
      </w:r>
    </w:p>
    <w:p w14:paraId="379E72B0">
      <w:pPr>
        <w:ind w:left="720" w:hanging="360"/>
      </w:pPr>
      <w:r>
        <w:rPr>
          <w:rFonts w:ascii="微软雅黑" w:hAnsi="微软雅黑" w:eastAsia="微软雅黑" w:cs="微软雅黑"/>
          <w:sz w:val="24"/>
          <w:szCs w:val="24"/>
        </w:rPr>
        <w:t xml:space="preserve">• </w:t>
      </w:r>
      <w:r>
        <w:rPr>
          <w:rFonts w:ascii="微软雅黑" w:hAnsi="微软雅黑" w:eastAsia="微软雅黑" w:cs="微软雅黑"/>
          <w:b/>
          <w:bCs/>
          <w:color w:val="000000"/>
          <w:sz w:val="24"/>
          <w:szCs w:val="24"/>
        </w:rPr>
        <w:t>点对点代付</w:t>
      </w:r>
      <w:r>
        <w:rPr>
          <w:rFonts w:ascii="微软雅黑" w:hAnsi="微软雅黑" w:eastAsia="微软雅黑" w:cs="微软雅黑"/>
          <w:color w:val="000000"/>
          <w:sz w:val="24"/>
          <w:szCs w:val="24"/>
        </w:rPr>
        <w:t>：支持平台发起附有订单信息的单笔/批量代付指令，将贷款资金直接划转至租户指定的上游供应商账户。</w:t>
      </w:r>
    </w:p>
    <w:p w14:paraId="5214D243">
      <w:pPr>
        <w:ind w:left="720" w:hanging="360"/>
      </w:pPr>
      <w:r>
        <w:rPr>
          <w:rFonts w:ascii="微软雅黑" w:hAnsi="微软雅黑" w:eastAsia="微软雅黑" w:cs="微软雅黑"/>
          <w:sz w:val="24"/>
          <w:szCs w:val="24"/>
        </w:rPr>
        <w:t xml:space="preserve">• </w:t>
      </w:r>
      <w:r>
        <w:rPr>
          <w:rFonts w:ascii="微软雅黑" w:hAnsi="微软雅黑" w:eastAsia="微软雅黑" w:cs="微软雅黑"/>
          <w:b/>
          <w:bCs/>
          <w:color w:val="000000"/>
          <w:sz w:val="24"/>
          <w:szCs w:val="24"/>
        </w:rPr>
        <w:t>支付结果同步</w:t>
      </w:r>
      <w:r>
        <w:rPr>
          <w:rFonts w:ascii="微软雅黑" w:hAnsi="微软雅黑" w:eastAsia="微软雅黑" w:cs="微软雅黑"/>
          <w:color w:val="000000"/>
          <w:sz w:val="24"/>
          <w:szCs w:val="24"/>
        </w:rPr>
        <w:t>：实时返回支付成功/失败状态，支持回调通知。</w:t>
      </w:r>
    </w:p>
    <w:p w14:paraId="7E392672">
      <w:pPr>
        <w:pStyle w:val="4"/>
        <w:spacing w:before="240" w:after="120" w:line="360" w:lineRule="auto"/>
      </w:pPr>
      <w:r>
        <w:rPr>
          <w:rFonts w:ascii="微软雅黑" w:hAnsi="微软雅黑" w:eastAsia="微软雅黑" w:cs="微软雅黑"/>
          <w:b/>
          <w:bCs/>
          <w:color w:val="000000"/>
          <w:sz w:val="28"/>
          <w:szCs w:val="28"/>
        </w:rPr>
        <w:t>2.3 协议扣款能力</w:t>
      </w:r>
    </w:p>
    <w:p w14:paraId="03C39DFD">
      <w:pPr>
        <w:ind w:left="720" w:hanging="360"/>
      </w:pPr>
      <w:r>
        <w:rPr>
          <w:rFonts w:ascii="微软雅黑" w:hAnsi="微软雅黑" w:eastAsia="微软雅黑" w:cs="微软雅黑"/>
          <w:sz w:val="24"/>
          <w:szCs w:val="24"/>
        </w:rPr>
        <w:t xml:space="preserve">• </w:t>
      </w:r>
      <w:r>
        <w:rPr>
          <w:rFonts w:ascii="微软雅黑" w:hAnsi="微软雅黑" w:eastAsia="微软雅黑" w:cs="微软雅黑"/>
          <w:b/>
          <w:bCs/>
          <w:color w:val="000000"/>
          <w:sz w:val="24"/>
          <w:szCs w:val="24"/>
        </w:rPr>
        <w:t>自动还款签约</w:t>
      </w:r>
      <w:r>
        <w:rPr>
          <w:rFonts w:ascii="微软雅黑" w:hAnsi="微软雅黑" w:eastAsia="微软雅黑" w:cs="微软雅黑"/>
          <w:color w:val="000000"/>
          <w:sz w:val="24"/>
          <w:szCs w:val="24"/>
        </w:rPr>
        <w:t>：支持在租户授信签约时，通过电子协议授权银行在还款日从租户虚拟账户中自动扣划本息。</w:t>
      </w:r>
    </w:p>
    <w:p w14:paraId="7BDCD1F0">
      <w:pPr>
        <w:ind w:left="720" w:hanging="360"/>
      </w:pPr>
      <w:r>
        <w:rPr>
          <w:rFonts w:ascii="微软雅黑" w:hAnsi="微软雅黑" w:eastAsia="微软雅黑" w:cs="微软雅黑"/>
          <w:sz w:val="24"/>
          <w:szCs w:val="24"/>
        </w:rPr>
        <w:t xml:space="preserve">• </w:t>
      </w:r>
      <w:r>
        <w:rPr>
          <w:rFonts w:ascii="微软雅黑" w:hAnsi="微软雅黑" w:eastAsia="微软雅黑" w:cs="微软雅黑"/>
          <w:b/>
          <w:bCs/>
          <w:color w:val="000000"/>
          <w:sz w:val="24"/>
          <w:szCs w:val="24"/>
        </w:rPr>
        <w:t>扣款执行与通知</w:t>
      </w:r>
      <w:r>
        <w:rPr>
          <w:rFonts w:ascii="微软雅黑" w:hAnsi="微软雅黑" w:eastAsia="微软雅黑" w:cs="微软雅黑"/>
          <w:color w:val="000000"/>
          <w:sz w:val="24"/>
          <w:szCs w:val="24"/>
        </w:rPr>
        <w:t>：提供扣款接口，并支持扣款结果实时通知平台；支持部分扣款、多次扣款及逾期扣款。</w:t>
      </w:r>
    </w:p>
    <w:p w14:paraId="1D4A1E1F">
      <w:pPr>
        <w:pStyle w:val="4"/>
        <w:spacing w:before="240" w:after="120" w:line="360" w:lineRule="auto"/>
      </w:pPr>
      <w:r>
        <w:rPr>
          <w:rFonts w:ascii="微软雅黑" w:hAnsi="微软雅黑" w:eastAsia="微软雅黑" w:cs="微软雅黑"/>
          <w:b/>
          <w:bCs/>
          <w:color w:val="000000"/>
          <w:sz w:val="28"/>
          <w:szCs w:val="28"/>
        </w:rPr>
        <w:t>2.4 数据接口能力</w:t>
      </w:r>
    </w:p>
    <w:p w14:paraId="41277DCE">
      <w:pPr>
        <w:ind w:left="720" w:hanging="360"/>
      </w:pPr>
      <w:r>
        <w:rPr>
          <w:rFonts w:ascii="微软雅黑" w:hAnsi="微软雅黑" w:eastAsia="微软雅黑" w:cs="微软雅黑"/>
          <w:sz w:val="24"/>
          <w:szCs w:val="24"/>
        </w:rPr>
        <w:t xml:space="preserve">• </w:t>
      </w:r>
      <w:r>
        <w:rPr>
          <w:rFonts w:ascii="微软雅黑" w:hAnsi="微软雅黑" w:eastAsia="微软雅黑" w:cs="微软雅黑"/>
          <w:b/>
          <w:bCs/>
          <w:color w:val="000000"/>
          <w:sz w:val="24"/>
          <w:szCs w:val="24"/>
        </w:rPr>
        <w:t>流水实时查询与推送</w:t>
      </w:r>
      <w:r>
        <w:rPr>
          <w:rFonts w:ascii="微软雅黑" w:hAnsi="微软雅黑" w:eastAsia="微软雅黑" w:cs="微软雅黑"/>
          <w:color w:val="000000"/>
          <w:sz w:val="24"/>
          <w:szCs w:val="24"/>
        </w:rPr>
        <w:t>：提供接口供平台查询租户虚拟账户的入账流水；同时支持流水变动主动推送到平台（Webhook或消息队列）。</w:t>
      </w:r>
    </w:p>
    <w:p w14:paraId="30571F72">
      <w:pPr>
        <w:ind w:left="720" w:hanging="360"/>
      </w:pPr>
      <w:r>
        <w:rPr>
          <w:rFonts w:ascii="微软雅黑" w:hAnsi="微软雅黑" w:eastAsia="微软雅黑" w:cs="微软雅黑"/>
          <w:sz w:val="24"/>
          <w:szCs w:val="24"/>
        </w:rPr>
        <w:t xml:space="preserve">• </w:t>
      </w:r>
      <w:r>
        <w:rPr>
          <w:rFonts w:ascii="微软雅黑" w:hAnsi="微软雅黑" w:eastAsia="微软雅黑" w:cs="微软雅黑"/>
          <w:b/>
          <w:bCs/>
          <w:color w:val="000000"/>
          <w:sz w:val="24"/>
          <w:szCs w:val="24"/>
        </w:rPr>
        <w:t>异常交易预警</w:t>
      </w:r>
      <w:r>
        <w:rPr>
          <w:rFonts w:ascii="微软雅黑" w:hAnsi="微软雅黑" w:eastAsia="微软雅黑" w:cs="微软雅黑"/>
          <w:color w:val="000000"/>
          <w:sz w:val="24"/>
          <w:szCs w:val="24"/>
        </w:rPr>
        <w:t>：对疑似风险交易（如大额异常转出、回款中断）提供标记或主动通知。</w:t>
      </w:r>
    </w:p>
    <w:p w14:paraId="4F66AAED">
      <w:pPr>
        <w:pBdr>
          <w:bottom w:val="single" w:color="999999" w:sz="2" w:space="0"/>
        </w:pBdr>
        <w:spacing w:before="240" w:after="240"/>
      </w:pPr>
    </w:p>
    <w:p w14:paraId="78E5A027">
      <w:pPr>
        <w:pStyle w:val="3"/>
        <w:spacing w:before="240" w:after="120" w:line="360" w:lineRule="auto"/>
      </w:pPr>
      <w:r>
        <w:rPr>
          <w:rFonts w:ascii="微软雅黑" w:hAnsi="微软雅黑" w:eastAsia="微软雅黑" w:cs="微软雅黑"/>
          <w:b/>
          <w:bCs/>
          <w:color w:val="000000"/>
          <w:sz w:val="32"/>
          <w:szCs w:val="32"/>
        </w:rPr>
        <w:t>3. 平台端准备清单</w:t>
      </w:r>
    </w:p>
    <w:p w14:paraId="39F398DF">
      <w:pPr>
        <w:spacing w:before="0" w:after="120" w:line="360" w:lineRule="exact"/>
      </w:pPr>
      <w:r>
        <w:rPr>
          <w:rFonts w:ascii="微软雅黑" w:hAnsi="微软雅黑" w:eastAsia="微软雅黑" w:cs="微软雅黑"/>
          <w:color w:val="000000"/>
          <w:sz w:val="24"/>
          <w:szCs w:val="24"/>
        </w:rPr>
        <w:t>平台需在系统、数据、产品、合规等方面做好充分准备：</w:t>
      </w:r>
    </w:p>
    <w:p w14:paraId="57F2D470">
      <w:pPr>
        <w:pStyle w:val="4"/>
        <w:spacing w:before="240" w:after="120" w:line="360" w:lineRule="auto"/>
      </w:pPr>
      <w:r>
        <w:rPr>
          <w:rFonts w:ascii="微软雅黑" w:hAnsi="微软雅黑" w:eastAsia="微软雅黑" w:cs="微软雅黑"/>
          <w:b/>
          <w:bCs/>
          <w:color w:val="000000"/>
          <w:sz w:val="28"/>
          <w:szCs w:val="28"/>
        </w:rPr>
        <w:t>3.1 系统对接能力</w:t>
      </w:r>
    </w:p>
    <w:p w14:paraId="4618CDEA">
      <w:pPr>
        <w:ind w:left="720" w:hanging="360"/>
      </w:pPr>
      <w:r>
        <w:rPr>
          <w:rFonts w:ascii="微软雅黑" w:hAnsi="微软雅黑" w:eastAsia="微软雅黑" w:cs="微软雅黑"/>
          <w:sz w:val="24"/>
          <w:szCs w:val="24"/>
        </w:rPr>
        <w:t xml:space="preserve">• </w:t>
      </w:r>
      <w:r>
        <w:rPr>
          <w:rFonts w:ascii="微软雅黑" w:hAnsi="微软雅黑" w:eastAsia="微软雅黑" w:cs="微软雅黑"/>
          <w:b/>
          <w:bCs/>
          <w:color w:val="000000"/>
          <w:sz w:val="24"/>
          <w:szCs w:val="24"/>
        </w:rPr>
        <w:t>接口开发</w:t>
      </w:r>
      <w:r>
        <w:rPr>
          <w:rFonts w:ascii="微软雅黑" w:hAnsi="微软雅黑" w:eastAsia="微软雅黑" w:cs="微软雅黑"/>
          <w:color w:val="000000"/>
          <w:sz w:val="24"/>
          <w:szCs w:val="24"/>
        </w:rPr>
        <w:t>：根据银行API文档，开发账户开立、支付、扣款、流水查询等模块。</w:t>
      </w:r>
    </w:p>
    <w:p w14:paraId="7A69AC42">
      <w:pPr>
        <w:ind w:left="720" w:hanging="360"/>
      </w:pPr>
      <w:r>
        <w:rPr>
          <w:rFonts w:ascii="微软雅黑" w:hAnsi="微软雅黑" w:eastAsia="微软雅黑" w:cs="微软雅黑"/>
          <w:sz w:val="24"/>
          <w:szCs w:val="24"/>
        </w:rPr>
        <w:t xml:space="preserve">• </w:t>
      </w:r>
      <w:r>
        <w:rPr>
          <w:rFonts w:ascii="微软雅黑" w:hAnsi="微软雅黑" w:eastAsia="微软雅黑" w:cs="微软雅黑"/>
          <w:b/>
          <w:bCs/>
          <w:color w:val="000000"/>
          <w:sz w:val="24"/>
          <w:szCs w:val="24"/>
        </w:rPr>
        <w:t>安全机制</w:t>
      </w:r>
      <w:r>
        <w:rPr>
          <w:rFonts w:ascii="微软雅黑" w:hAnsi="微软雅黑" w:eastAsia="微软雅黑" w:cs="微软雅黑"/>
          <w:color w:val="000000"/>
          <w:sz w:val="24"/>
          <w:szCs w:val="24"/>
        </w:rPr>
        <w:t>：
</w:t>
      </w:r>
    </w:p>
    <w:p w14:paraId="38DEBAE5">
      <w:pPr>
        <w:ind w:left="720" w:hanging="360"/>
      </w:pPr>
      <w:r>
        <w:rPr>
          <w:rFonts w:ascii="微软雅黑" w:hAnsi="微软雅黑" w:eastAsia="微软雅黑" w:cs="微软雅黑"/>
          <w:sz w:val="24"/>
          <w:szCs w:val="24"/>
        </w:rPr>
        <w:t>• 双向TLS认证</w:t>
      </w:r>
    </w:p>
    <w:p w14:paraId="0149B75D">
      <w:pPr>
        <w:ind w:left="720" w:hanging="360"/>
      </w:pPr>
      <w:r>
        <w:rPr>
          <w:rFonts w:ascii="微软雅黑" w:hAnsi="微软雅黑" w:eastAsia="微软雅黑" w:cs="微软雅黑"/>
          <w:sz w:val="24"/>
          <w:szCs w:val="24"/>
        </w:rPr>
        <w:t>• 接口签名与身份认证（数字证书/API密钥）</w:t>
      </w:r>
    </w:p>
    <w:p w14:paraId="66C590C1">
      <w:pPr>
        <w:ind w:left="720" w:hanging="360"/>
      </w:pPr>
      <w:r>
        <w:rPr>
          <w:rFonts w:ascii="微软雅黑" w:hAnsi="微软雅黑" w:eastAsia="微软雅黑" w:cs="微软雅黑"/>
          <w:sz w:val="24"/>
          <w:szCs w:val="24"/>
        </w:rPr>
        <w:t>• 全链路日志记录</w:t>
      </w:r>
    </w:p>
    <w:p w14:paraId="5129B4F0">
      <w:pPr>
        <w:pStyle w:val="4"/>
        <w:spacing w:before="240" w:after="120" w:line="360" w:lineRule="auto"/>
      </w:pPr>
      <w:r>
        <w:rPr>
          <w:rFonts w:ascii="微软雅黑" w:hAnsi="微软雅黑" w:eastAsia="微软雅黑" w:cs="微软雅黑"/>
          <w:b/>
          <w:bCs/>
          <w:color w:val="000000"/>
          <w:sz w:val="28"/>
          <w:szCs w:val="28"/>
        </w:rPr>
        <w:t>3.2 风控模型与数据能力</w:t>
      </w:r>
    </w:p>
    <w:p w14:paraId="360B563E">
      <w:pPr>
        <w:ind w:left="720" w:hanging="360"/>
      </w:pPr>
      <w:r>
        <w:rPr>
          <w:rFonts w:ascii="微软雅黑" w:hAnsi="微软雅黑" w:eastAsia="微软雅黑" w:cs="微软雅黑"/>
          <w:sz w:val="24"/>
          <w:szCs w:val="24"/>
        </w:rPr>
        <w:t xml:space="preserve">• </w:t>
      </w:r>
      <w:r>
        <w:rPr>
          <w:rFonts w:ascii="微软雅黑" w:hAnsi="微软雅黑" w:eastAsia="微软雅黑" w:cs="微软雅黑"/>
          <w:b/>
          <w:bCs/>
          <w:color w:val="000000"/>
          <w:sz w:val="24"/>
          <w:szCs w:val="24"/>
        </w:rPr>
        <w:t>租户信用画像</w:t>
      </w:r>
      <w:r>
        <w:rPr>
          <w:rFonts w:ascii="微软雅黑" w:hAnsi="微软雅黑" w:eastAsia="微软雅黑" w:cs="微软雅黑"/>
          <w:color w:val="000000"/>
          <w:sz w:val="24"/>
          <w:szCs w:val="24"/>
        </w:rPr>
        <w:t>：基于SaaS历史经营数据构建预授信模型，输出风险等级与额度建议。</w:t>
      </w:r>
    </w:p>
    <w:p w14:paraId="2D435EF5">
      <w:pPr>
        <w:ind w:left="720" w:hanging="360"/>
      </w:pPr>
      <w:r>
        <w:rPr>
          <w:rFonts w:ascii="微软雅黑" w:hAnsi="微软雅黑" w:eastAsia="微软雅黑" w:cs="微软雅黑"/>
          <w:sz w:val="24"/>
          <w:szCs w:val="24"/>
        </w:rPr>
        <w:t xml:space="preserve">• </w:t>
      </w:r>
      <w:r>
        <w:rPr>
          <w:rFonts w:ascii="微软雅黑" w:hAnsi="微软雅黑" w:eastAsia="微软雅黑" w:cs="微软雅黑"/>
          <w:b/>
          <w:bCs/>
          <w:color w:val="000000"/>
          <w:sz w:val="24"/>
          <w:szCs w:val="24"/>
        </w:rPr>
        <w:t>反欺诈能力</w:t>
      </w:r>
      <w:r>
        <w:rPr>
          <w:rFonts w:ascii="微软雅黑" w:hAnsi="微软雅黑" w:eastAsia="微软雅黑" w:cs="微软雅黑"/>
          <w:color w:val="000000"/>
          <w:sz w:val="24"/>
          <w:szCs w:val="24"/>
        </w:rPr>
        <w:t>：接入外部数据（工商、司法、征信）识别虚假交易。</w:t>
      </w:r>
    </w:p>
    <w:p w14:paraId="04B832FC">
      <w:pPr>
        <w:ind w:left="720" w:hanging="360"/>
      </w:pPr>
      <w:r>
        <w:rPr>
          <w:rFonts w:ascii="微软雅黑" w:hAnsi="微软雅黑" w:eastAsia="微软雅黑" w:cs="微软雅黑"/>
          <w:sz w:val="24"/>
          <w:szCs w:val="24"/>
        </w:rPr>
        <w:t xml:space="preserve">• </w:t>
      </w:r>
      <w:r>
        <w:rPr>
          <w:rFonts w:ascii="微软雅黑" w:hAnsi="微软雅黑" w:eastAsia="微软雅黑" w:cs="微软雅黑"/>
          <w:b/>
          <w:bCs/>
          <w:color w:val="000000"/>
          <w:sz w:val="24"/>
          <w:szCs w:val="24"/>
        </w:rPr>
        <w:t>贷后监控模型</w:t>
      </w:r>
      <w:r>
        <w:rPr>
          <w:rFonts w:ascii="微软雅黑" w:hAnsi="微软雅黑" w:eastAsia="微软雅黑" w:cs="微软雅黑"/>
          <w:color w:val="000000"/>
          <w:sz w:val="24"/>
          <w:szCs w:val="24"/>
        </w:rPr>
        <w:t>：设定监控指标，触发预警。</w:t>
      </w:r>
    </w:p>
    <w:p w14:paraId="03BC11A6">
      <w:pPr>
        <w:pStyle w:val="4"/>
        <w:spacing w:before="240" w:after="120" w:line="360" w:lineRule="auto"/>
      </w:pPr>
      <w:r>
        <w:rPr>
          <w:rFonts w:ascii="微软雅黑" w:hAnsi="微软雅黑" w:eastAsia="微软雅黑" w:cs="微软雅黑"/>
          <w:b/>
          <w:bCs/>
          <w:color w:val="000000"/>
          <w:sz w:val="28"/>
          <w:szCs w:val="28"/>
        </w:rPr>
        <w:t>3.3 产品流程设计</w:t>
      </w:r>
    </w:p>
    <w:p w14:paraId="69357904">
      <w:pPr>
        <w:ind w:left="720" w:hanging="360"/>
      </w:pPr>
      <w:r>
        <w:rPr>
          <w:rFonts w:ascii="微软雅黑" w:hAnsi="微软雅黑" w:eastAsia="微软雅黑" w:cs="微软雅黑"/>
          <w:sz w:val="24"/>
          <w:szCs w:val="24"/>
        </w:rPr>
        <w:t xml:space="preserve">• </w:t>
      </w:r>
      <w:r>
        <w:rPr>
          <w:rFonts w:ascii="微软雅黑" w:hAnsi="微软雅黑" w:eastAsia="微软雅黑" w:cs="微软雅黑"/>
          <w:b/>
          <w:bCs/>
          <w:color w:val="000000"/>
          <w:sz w:val="24"/>
          <w:szCs w:val="24"/>
        </w:rPr>
        <w:t>租户端金融工作台</w:t>
      </w:r>
      <w:r>
        <w:rPr>
          <w:rFonts w:ascii="微软雅黑" w:hAnsi="微软雅黑" w:eastAsia="微软雅黑" w:cs="微软雅黑"/>
          <w:color w:val="000000"/>
          <w:sz w:val="24"/>
          <w:szCs w:val="24"/>
        </w:rPr>
        <w:t>：融资申请、额度查看、用款记录、账单管理、还款记录。</w:t>
      </w:r>
    </w:p>
    <w:p w14:paraId="197CF7CB">
      <w:pPr>
        <w:ind w:left="720" w:hanging="360"/>
      </w:pPr>
      <w:r>
        <w:rPr>
          <w:rFonts w:ascii="微软雅黑" w:hAnsi="微软雅黑" w:eastAsia="微软雅黑" w:cs="微软雅黑"/>
          <w:sz w:val="24"/>
          <w:szCs w:val="24"/>
        </w:rPr>
        <w:t xml:space="preserve">• </w:t>
      </w:r>
      <w:r>
        <w:rPr>
          <w:rFonts w:ascii="微软雅黑" w:hAnsi="微软雅黑" w:eastAsia="微软雅黑" w:cs="微软雅黑"/>
          <w:b/>
          <w:bCs/>
          <w:color w:val="000000"/>
          <w:sz w:val="24"/>
          <w:szCs w:val="24"/>
        </w:rPr>
        <w:t>资金方管理后台</w:t>
      </w:r>
      <w:r>
        <w:rPr>
          <w:rFonts w:ascii="微软雅黑" w:hAnsi="微软雅黑" w:eastAsia="微软雅黑" w:cs="微软雅黑"/>
          <w:color w:val="000000"/>
          <w:sz w:val="24"/>
          <w:szCs w:val="24"/>
        </w:rPr>
        <w:t>：资产列表、风控规则配置、审批流、资产监控报表。</w:t>
      </w:r>
    </w:p>
    <w:p w14:paraId="5CD73A08">
      <w:pPr>
        <w:ind w:left="720" w:hanging="360"/>
      </w:pPr>
      <w:r>
        <w:rPr>
          <w:rFonts w:ascii="微软雅黑" w:hAnsi="微软雅黑" w:eastAsia="微软雅黑" w:cs="微软雅黑"/>
          <w:sz w:val="24"/>
          <w:szCs w:val="24"/>
        </w:rPr>
        <w:t xml:space="preserve">• </w:t>
      </w:r>
      <w:r>
        <w:rPr>
          <w:rFonts w:ascii="微软雅黑" w:hAnsi="微软雅黑" w:eastAsia="微软雅黑" w:cs="微软雅黑"/>
          <w:b/>
          <w:bCs/>
          <w:color w:val="000000"/>
          <w:sz w:val="24"/>
          <w:szCs w:val="24"/>
        </w:rPr>
        <w:t>运营后台</w:t>
      </w:r>
      <w:r>
        <w:rPr>
          <w:rFonts w:ascii="微软雅黑" w:hAnsi="微软雅黑" w:eastAsia="微软雅黑" w:cs="微软雅黑"/>
          <w:color w:val="000000"/>
          <w:sz w:val="24"/>
          <w:szCs w:val="24"/>
        </w:rPr>
        <w:t>：租户管理、授信审批、预警中心、对账模块。</w:t>
      </w:r>
    </w:p>
    <w:p w14:paraId="7B253C7C">
      <w:pPr>
        <w:pStyle w:val="4"/>
        <w:spacing w:before="240" w:after="120" w:line="360" w:lineRule="auto"/>
      </w:pPr>
      <w:r>
        <w:rPr>
          <w:rFonts w:ascii="微软雅黑" w:hAnsi="微软雅黑" w:eastAsia="微软雅黑" w:cs="微软雅黑"/>
          <w:b/>
          <w:bCs/>
          <w:color w:val="000000"/>
          <w:sz w:val="28"/>
          <w:szCs w:val="28"/>
        </w:rPr>
        <w:t>3.4 法律与合规准备</w:t>
      </w:r>
    </w:p>
    <w:p w14:paraId="61681785">
      <w:pPr>
        <w:ind w:left="720" w:hanging="360"/>
      </w:pPr>
      <w:r>
        <w:rPr>
          <w:rFonts w:ascii="微软雅黑" w:hAnsi="微软雅黑" w:eastAsia="微软雅黑" w:cs="微软雅黑"/>
          <w:sz w:val="24"/>
          <w:szCs w:val="24"/>
        </w:rPr>
        <w:t xml:space="preserve">• </w:t>
      </w:r>
      <w:r>
        <w:rPr>
          <w:rFonts w:ascii="微软雅黑" w:hAnsi="微软雅黑" w:eastAsia="微软雅黑" w:cs="微软雅黑"/>
          <w:b/>
          <w:bCs/>
          <w:color w:val="000000"/>
          <w:sz w:val="24"/>
          <w:szCs w:val="24"/>
        </w:rPr>
        <w:t>协议体系</w:t>
      </w:r>
      <w:r>
        <w:rPr>
          <w:rFonts w:ascii="微软雅黑" w:hAnsi="微软雅黑" w:eastAsia="微软雅黑" w:cs="微软雅黑"/>
          <w:color w:val="000000"/>
          <w:sz w:val="24"/>
          <w:szCs w:val="24"/>
        </w:rPr>
        <w:t>：准备与银行、租户所需的全套法律文本（详见第13章）。</w:t>
      </w:r>
    </w:p>
    <w:p w14:paraId="14687FA9">
      <w:pPr>
        <w:ind w:left="720" w:hanging="360"/>
      </w:pPr>
      <w:r>
        <w:rPr>
          <w:rFonts w:ascii="微软雅黑" w:hAnsi="微软雅黑" w:eastAsia="微软雅黑" w:cs="微软雅黑"/>
          <w:sz w:val="24"/>
          <w:szCs w:val="24"/>
        </w:rPr>
        <w:t xml:space="preserve">• </w:t>
      </w:r>
      <w:r>
        <w:rPr>
          <w:rFonts w:ascii="微软雅黑" w:hAnsi="微软雅黑" w:eastAsia="微软雅黑" w:cs="微软雅黑"/>
          <w:b/>
          <w:bCs/>
          <w:color w:val="000000"/>
          <w:sz w:val="24"/>
          <w:szCs w:val="24"/>
        </w:rPr>
        <w:t>合规要点</w:t>
      </w:r>
      <w:r>
        <w:rPr>
          <w:rFonts w:ascii="微软雅黑" w:hAnsi="微软雅黑" w:eastAsia="微软雅黑" w:cs="微软雅黑"/>
          <w:color w:val="000000"/>
          <w:sz w:val="24"/>
          <w:szCs w:val="24"/>
        </w:rPr>
        <w:t>：平台不触碰资金；所有授权电子签约留痕；符合《个人信息保护法》《征信业务管理办法》等。</w:t>
      </w:r>
    </w:p>
    <w:p w14:paraId="119DDD23">
      <w:pPr>
        <w:pBdr>
          <w:bottom w:val="single" w:color="999999" w:sz="2" w:space="0"/>
        </w:pBdr>
        <w:spacing w:before="240" w:after="240"/>
      </w:pPr>
    </w:p>
    <w:p w14:paraId="1921BA9F">
      <w:pPr>
        <w:pStyle w:val="3"/>
        <w:spacing w:before="240" w:after="120" w:line="360" w:lineRule="auto"/>
      </w:pPr>
      <w:r>
        <w:rPr>
          <w:rFonts w:ascii="微软雅黑" w:hAnsi="微软雅黑" w:eastAsia="微软雅黑" w:cs="微软雅黑"/>
          <w:b/>
          <w:bCs/>
          <w:color w:val="000000"/>
          <w:sz w:val="32"/>
          <w:szCs w:val="32"/>
        </w:rPr>
        <w:t>4. 银行合作沟通提纲</w:t>
      </w:r>
    </w:p>
    <w:p w14:paraId="68DB5429">
      <w:pPr>
        <w:spacing w:before="0" w:after="120" w:line="360" w:lineRule="exact"/>
      </w:pPr>
      <w:r>
        <w:rPr>
          <w:rFonts w:ascii="微软雅黑" w:hAnsi="微软雅黑" w:eastAsia="微软雅黑" w:cs="微软雅黑"/>
          <w:color w:val="000000"/>
          <w:sz w:val="24"/>
          <w:szCs w:val="24"/>
        </w:rPr>
        <w:t>在与银行初步洽谈时，建议按以下提纲沟通：</w:t>
      </w:r>
    </w:p>
    <w:p w14:paraId="26B4DF9B">
      <w:pPr>
        <w:pStyle w:val="4"/>
        <w:spacing w:before="240" w:after="120" w:line="360" w:lineRule="auto"/>
      </w:pPr>
      <w:r>
        <w:rPr>
          <w:rFonts w:ascii="微软雅黑" w:hAnsi="微软雅黑" w:eastAsia="微软雅黑" w:cs="微软雅黑"/>
          <w:b/>
          <w:bCs/>
          <w:color w:val="000000"/>
          <w:sz w:val="28"/>
          <w:szCs w:val="28"/>
        </w:rPr>
        <w:t>4.1 合作模式确认</w:t>
      </w:r>
    </w:p>
    <w:p w14:paraId="1DA85BCF">
      <w:pPr>
        <w:ind w:left="720" w:hanging="360"/>
      </w:pPr>
      <w:r>
        <w:rPr>
          <w:rFonts w:ascii="微软雅黑" w:hAnsi="微软雅黑" w:eastAsia="微软雅黑" w:cs="微软雅黑"/>
          <w:sz w:val="24"/>
          <w:szCs w:val="24"/>
        </w:rPr>
        <w:t>• 银行作为资金方，平台作为技术服务方，双方分工？</w:t>
      </w:r>
    </w:p>
    <w:p w14:paraId="752454F8">
      <w:pPr>
        <w:ind w:left="720" w:hanging="360"/>
      </w:pPr>
      <w:r>
        <w:rPr>
          <w:rFonts w:ascii="微软雅黑" w:hAnsi="微软雅黑" w:eastAsia="微软雅黑" w:cs="微软雅黑"/>
          <w:sz w:val="24"/>
          <w:szCs w:val="24"/>
        </w:rPr>
        <w:t>• 是否采用联合贷、助贷或直贷模式？</w:t>
      </w:r>
    </w:p>
    <w:p w14:paraId="08A67C76">
      <w:pPr>
        <w:ind w:left="720" w:hanging="360"/>
      </w:pPr>
      <w:r>
        <w:rPr>
          <w:rFonts w:ascii="微软雅黑" w:hAnsi="微软雅黑" w:eastAsia="微软雅黑" w:cs="微软雅黑"/>
          <w:sz w:val="24"/>
          <w:szCs w:val="24"/>
        </w:rPr>
        <w:t>• 风险分担机制（如是否引入担保、保证金）？</w:t>
      </w:r>
    </w:p>
    <w:p w14:paraId="43A04558">
      <w:pPr>
        <w:pStyle w:val="4"/>
        <w:spacing w:before="240" w:after="120" w:line="360" w:lineRule="auto"/>
      </w:pPr>
      <w:r>
        <w:rPr>
          <w:rFonts w:ascii="微软雅黑" w:hAnsi="微软雅黑" w:eastAsia="微软雅黑" w:cs="微软雅黑"/>
          <w:b/>
          <w:bCs/>
          <w:color w:val="000000"/>
          <w:sz w:val="28"/>
          <w:szCs w:val="28"/>
        </w:rPr>
        <w:t>4.2 资金与账户体系</w:t>
      </w:r>
    </w:p>
    <w:p w14:paraId="48DC1147">
      <w:pPr>
        <w:ind w:left="720" w:hanging="360"/>
      </w:pPr>
      <w:r>
        <w:rPr>
          <w:rFonts w:ascii="微软雅黑" w:hAnsi="微软雅黑" w:eastAsia="微软雅黑" w:cs="微软雅黑"/>
          <w:sz w:val="24"/>
          <w:szCs w:val="24"/>
        </w:rPr>
        <w:t>• 银行能否提供虚拟子账户体系？开户流程及所需材料？</w:t>
      </w:r>
    </w:p>
    <w:p w14:paraId="7813B0A1">
      <w:pPr>
        <w:ind w:left="720" w:hanging="360"/>
      </w:pPr>
      <w:r>
        <w:rPr>
          <w:rFonts w:ascii="微软雅黑" w:hAnsi="微软雅黑" w:eastAsia="微软雅黑" w:cs="微软雅黑"/>
          <w:sz w:val="24"/>
          <w:szCs w:val="24"/>
        </w:rPr>
        <w:t>• 是否支持受托支付（代付至第三方供应商账户）？</w:t>
      </w:r>
    </w:p>
    <w:p w14:paraId="29815738">
      <w:pPr>
        <w:ind w:left="720" w:hanging="360"/>
      </w:pPr>
      <w:r>
        <w:rPr>
          <w:rFonts w:ascii="微软雅黑" w:hAnsi="微软雅黑" w:eastAsia="微软雅黑" w:cs="微软雅黑"/>
          <w:sz w:val="24"/>
          <w:szCs w:val="24"/>
        </w:rPr>
        <w:t>• 是否支持协议扣款？扣款授权如何签署？</w:t>
      </w:r>
    </w:p>
    <w:p w14:paraId="662D156D">
      <w:pPr>
        <w:pStyle w:val="4"/>
        <w:spacing w:before="240" w:after="120" w:line="360" w:lineRule="auto"/>
      </w:pPr>
      <w:r>
        <w:rPr>
          <w:rFonts w:ascii="微软雅黑" w:hAnsi="微软雅黑" w:eastAsia="微软雅黑" w:cs="微软雅黑"/>
          <w:b/>
          <w:bCs/>
          <w:color w:val="000000"/>
          <w:sz w:val="28"/>
          <w:szCs w:val="28"/>
        </w:rPr>
        <w:t>4.3 数据接口能力</w:t>
      </w:r>
    </w:p>
    <w:p w14:paraId="64F4DD18">
      <w:pPr>
        <w:ind w:left="720" w:hanging="360"/>
      </w:pPr>
      <w:r>
        <w:rPr>
          <w:rFonts w:ascii="微软雅黑" w:hAnsi="微软雅黑" w:eastAsia="微软雅黑" w:cs="微软雅黑"/>
          <w:sz w:val="24"/>
          <w:szCs w:val="24"/>
        </w:rPr>
        <w:t>• 银行开放哪些API？（账户、支付、流水、通知）</w:t>
      </w:r>
    </w:p>
    <w:p w14:paraId="1FFFD0C2">
      <w:pPr>
        <w:ind w:left="720" w:hanging="360"/>
      </w:pPr>
      <w:r>
        <w:rPr>
          <w:rFonts w:ascii="微软雅黑" w:hAnsi="微软雅黑" w:eastAsia="微软雅黑" w:cs="微软雅黑"/>
          <w:sz w:val="24"/>
          <w:szCs w:val="24"/>
        </w:rPr>
        <w:t>• 接口文档何时提供？测试环境何时可用？</w:t>
      </w:r>
    </w:p>
    <w:p w14:paraId="4E22526B">
      <w:pPr>
        <w:ind w:left="720" w:hanging="360"/>
      </w:pPr>
      <w:r>
        <w:rPr>
          <w:rFonts w:ascii="微软雅黑" w:hAnsi="微软雅黑" w:eastAsia="微软雅黑" w:cs="微软雅黑"/>
          <w:sz w:val="24"/>
          <w:szCs w:val="24"/>
        </w:rPr>
        <w:t>• 数据安全与加密要求？</w:t>
      </w:r>
    </w:p>
    <w:p w14:paraId="591DAF85">
      <w:pPr>
        <w:pStyle w:val="4"/>
        <w:spacing w:before="240" w:after="120" w:line="360" w:lineRule="auto"/>
      </w:pPr>
      <w:r>
        <w:rPr>
          <w:rFonts w:ascii="微软雅黑" w:hAnsi="微软雅黑" w:eastAsia="微软雅黑" w:cs="微软雅黑"/>
          <w:b/>
          <w:bCs/>
          <w:color w:val="000000"/>
          <w:sz w:val="28"/>
          <w:szCs w:val="28"/>
        </w:rPr>
        <w:t>4.4 风控与授信</w:t>
      </w:r>
    </w:p>
    <w:p w14:paraId="10DD079D">
      <w:pPr>
        <w:ind w:left="720" w:hanging="360"/>
      </w:pPr>
      <w:r>
        <w:rPr>
          <w:rFonts w:ascii="微软雅黑" w:hAnsi="微软雅黑" w:eastAsia="微软雅黑" w:cs="微软雅黑"/>
          <w:sz w:val="24"/>
          <w:szCs w:val="24"/>
        </w:rPr>
        <w:t>• 银行对租户的准入标准（行业、经营年限、征信）？</w:t>
      </w:r>
    </w:p>
    <w:p w14:paraId="33C8D06F">
      <w:pPr>
        <w:ind w:left="720" w:hanging="360"/>
      </w:pPr>
      <w:r>
        <w:rPr>
          <w:rFonts w:ascii="微软雅黑" w:hAnsi="微软雅黑" w:eastAsia="微软雅黑" w:cs="微软雅黑"/>
          <w:sz w:val="24"/>
          <w:szCs w:val="24"/>
        </w:rPr>
        <w:t>• 银行是否接受平台的预授信建议？如何结合？</w:t>
      </w:r>
    </w:p>
    <w:p w14:paraId="3A9067D7">
      <w:pPr>
        <w:ind w:left="720" w:hanging="360"/>
      </w:pPr>
      <w:r>
        <w:rPr>
          <w:rFonts w:ascii="微软雅黑" w:hAnsi="微软雅黑" w:eastAsia="微软雅黑" w:cs="微软雅黑"/>
          <w:sz w:val="24"/>
          <w:szCs w:val="24"/>
        </w:rPr>
        <w:t>• 贷款额度、利率、期限如何确定？</w:t>
      </w:r>
    </w:p>
    <w:p w14:paraId="4B0CC0B7">
      <w:pPr>
        <w:pStyle w:val="4"/>
        <w:spacing w:before="240" w:after="120" w:line="360" w:lineRule="auto"/>
      </w:pPr>
      <w:r>
        <w:rPr>
          <w:rFonts w:ascii="微软雅黑" w:hAnsi="微软雅黑" w:eastAsia="微软雅黑" w:cs="微软雅黑"/>
          <w:b/>
          <w:bCs/>
          <w:color w:val="000000"/>
          <w:sz w:val="28"/>
          <w:szCs w:val="28"/>
        </w:rPr>
        <w:t>4.5 合规与签约</w:t>
      </w:r>
    </w:p>
    <w:p w14:paraId="4C520FA0">
      <w:pPr>
        <w:ind w:left="720" w:hanging="360"/>
      </w:pPr>
      <w:r>
        <w:rPr>
          <w:rFonts w:ascii="微软雅黑" w:hAnsi="微软雅黑" w:eastAsia="微软雅黑" w:cs="微软雅黑"/>
          <w:sz w:val="24"/>
          <w:szCs w:val="24"/>
        </w:rPr>
        <w:t>• 双方合作协议主要条款？</w:t>
      </w:r>
    </w:p>
    <w:p w14:paraId="383B4706">
      <w:pPr>
        <w:ind w:left="720" w:hanging="360"/>
      </w:pPr>
      <w:r>
        <w:rPr>
          <w:rFonts w:ascii="微软雅黑" w:hAnsi="微软雅黑" w:eastAsia="微软雅黑" w:cs="微软雅黑"/>
          <w:sz w:val="24"/>
          <w:szCs w:val="24"/>
        </w:rPr>
        <w:t>• 租户与银行之间的借款合同、账户监管协议是否由银行提供？</w:t>
      </w:r>
    </w:p>
    <w:p w14:paraId="324EA806">
      <w:pPr>
        <w:ind w:left="720" w:hanging="360"/>
      </w:pPr>
      <w:r>
        <w:rPr>
          <w:rFonts w:ascii="微软雅黑" w:hAnsi="微软雅黑" w:eastAsia="微软雅黑" w:cs="微软雅黑"/>
          <w:sz w:val="24"/>
          <w:szCs w:val="24"/>
        </w:rPr>
        <w:t>• 电子签约平台是否需要对接银行指定系统？</w:t>
      </w:r>
    </w:p>
    <w:p w14:paraId="5C93FB6C">
      <w:pPr>
        <w:pStyle w:val="4"/>
        <w:spacing w:before="240" w:after="120" w:line="360" w:lineRule="auto"/>
      </w:pPr>
      <w:r>
        <w:rPr>
          <w:rFonts w:ascii="微软雅黑" w:hAnsi="微软雅黑" w:eastAsia="微软雅黑" w:cs="微软雅黑"/>
          <w:b/>
          <w:bCs/>
          <w:color w:val="000000"/>
          <w:sz w:val="28"/>
          <w:szCs w:val="28"/>
        </w:rPr>
        <w:t>4.6 试点计划</w:t>
      </w:r>
    </w:p>
    <w:p w14:paraId="01978897">
      <w:pPr>
        <w:ind w:left="720" w:hanging="360"/>
      </w:pPr>
      <w:r>
        <w:rPr>
          <w:rFonts w:ascii="微软雅黑" w:hAnsi="微软雅黑" w:eastAsia="微软雅黑" w:cs="微软雅黑"/>
          <w:sz w:val="24"/>
          <w:szCs w:val="24"/>
        </w:rPr>
        <w:t>• 银行是否愿意参与初期试点？试点客户数量、金额限制？</w:t>
      </w:r>
    </w:p>
    <w:p w14:paraId="189BDCEA">
      <w:pPr>
        <w:ind w:left="720" w:hanging="360"/>
      </w:pPr>
      <w:r>
        <w:rPr>
          <w:rFonts w:ascii="微软雅黑" w:hAnsi="微软雅黑" w:eastAsia="微软雅黑" w:cs="微软雅黑"/>
          <w:sz w:val="24"/>
          <w:szCs w:val="24"/>
        </w:rPr>
        <w:t>• 试点期间的应急处理流程？</w:t>
      </w:r>
    </w:p>
    <w:p w14:paraId="086FAFFC">
      <w:pPr>
        <w:pBdr>
          <w:bottom w:val="single" w:color="999999" w:sz="2" w:space="0"/>
        </w:pBdr>
        <w:spacing w:before="240" w:after="240"/>
      </w:pPr>
    </w:p>
    <w:p w14:paraId="7A17E95E">
      <w:pPr>
        <w:pStyle w:val="3"/>
        <w:spacing w:before="240" w:after="120" w:line="360" w:lineRule="auto"/>
      </w:pPr>
      <w:r>
        <w:rPr>
          <w:rFonts w:ascii="微软雅黑" w:hAnsi="微软雅黑" w:eastAsia="微软雅黑" w:cs="微软雅黑"/>
          <w:b/>
          <w:bCs/>
          <w:color w:val="000000"/>
          <w:sz w:val="32"/>
          <w:szCs w:val="32"/>
        </w:rPr>
        <w:t>5. 技术对接详细方案</w:t>
      </w:r>
    </w:p>
    <w:p w14:paraId="78828FA0">
      <w:pPr>
        <w:pStyle w:val="4"/>
        <w:spacing w:before="240" w:after="120" w:line="360" w:lineRule="auto"/>
      </w:pPr>
      <w:r>
        <w:rPr>
          <w:rFonts w:ascii="微软雅黑" w:hAnsi="微软雅黑" w:eastAsia="微软雅黑" w:cs="微软雅黑"/>
          <w:b/>
          <w:bCs/>
          <w:color w:val="000000"/>
          <w:sz w:val="28"/>
          <w:szCs w:val="28"/>
        </w:rPr>
        <w:t>5.1 总体架构</w:t>
      </w:r>
    </w:p>
    <w:p w14:paraId="6F1ED7B5">
      <w:pPr>
        <w:spacing w:before="0" w:after="120" w:line="360" w:lineRule="exact"/>
      </w:pPr>
      <w:r>
        <w:rPr>
          <w:rFonts w:ascii="微软雅黑" w:hAnsi="微软雅黑" w:eastAsia="微软雅黑" w:cs="微软雅黑"/>
          <w:color w:val="000000"/>
          <w:sz w:val="24"/>
          <w:szCs w:val="24"/>
        </w:rPr>
        <w:t>平台作为中间层，向上对接租户SaaS前端，向下对接银行核心系统。所有资金指令通过银行API发送，平台不存留资金。</w:t>
      </w:r>
    </w:p>
    <w:p w14:paraId="47818789">
      <w:pPr>
        <w:pStyle w:val="4"/>
        <w:spacing w:before="240" w:after="120" w:line="360" w:lineRule="auto"/>
      </w:pPr>
      <w:r>
        <w:rPr>
          <w:rFonts w:ascii="微软雅黑" w:hAnsi="微软雅黑" w:eastAsia="微软雅黑" w:cs="微软雅黑"/>
          <w:b/>
          <w:bCs/>
          <w:color w:val="000000"/>
          <w:sz w:val="28"/>
          <w:szCs w:val="28"/>
        </w:rPr>
        <w:t>5.2 接口清单（按优先级）</w:t>
      </w:r>
    </w:p>
    <w:tbl>
      <w:tblPr>
        <w:tblStyle w:val="10"/>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1678"/>
        <w:gridCol w:w="2719"/>
        <w:gridCol w:w="4107"/>
      </w:tblGrid>
      <w:tr w14:paraId="77DC6523">
        <w:trPr>
          <w:trHeight w:val="0" w:hRule="atLeast"/>
        </w:trPr>
        <w:tc>
          <w:tcPr>
            <w:shd w:val="clear" w:color="auto" w:fill="DDDDDD"/>
            <w:tcMar>
              <w:top w:w="100" w:type="dxa"/>
              <w:left w:w="100" w:type="dxa"/>
              <w:bottom w:w="100" w:type="dxa"/>
              <w:right w:w="100" w:type="dxa"/>
            </w:tcMar>
            <w:vAlign w:val="top"/>
          </w:tcPr>
          <w:p w14:paraId="48E8ED6E">
            <w:pPr>
              <w:jc w:val="left"/>
            </w:pPr>
            <w:r>
              <w:rPr>
                <w:rFonts w:ascii="微软雅黑" w:hAnsi="微软雅黑" w:eastAsia="微软雅黑" w:cs="微软雅黑"/>
                <w:color w:val="000000"/>
                <w:sz w:val="24"/>
                <w:szCs w:val="24"/>
              </w:rPr>
              <w:t>接口类别</w:t>
            </w:r>
          </w:p>
        </w:tc>
        <w:tc>
          <w:tcPr>
            <w:shd w:val="clear" w:color="auto" w:fill="DDDDDD"/>
            <w:tcMar>
              <w:top w:w="100" w:type="dxa"/>
              <w:left w:w="100" w:type="dxa"/>
              <w:bottom w:w="100" w:type="dxa"/>
              <w:right w:w="100" w:type="dxa"/>
            </w:tcMar>
            <w:vAlign w:val="top"/>
          </w:tcPr>
          <w:p w14:paraId="17873434">
            <w:pPr>
              <w:jc w:val="left"/>
            </w:pPr>
            <w:r>
              <w:rPr>
                <w:rFonts w:ascii="微软雅黑" w:hAnsi="微软雅黑" w:eastAsia="微软雅黑" w:cs="微软雅黑"/>
                <w:color w:val="000000"/>
                <w:sz w:val="24"/>
                <w:szCs w:val="24"/>
              </w:rPr>
              <w:t>接口名称</w:t>
            </w:r>
          </w:p>
        </w:tc>
        <w:tc>
          <w:tcPr>
            <w:shd w:val="clear" w:color="auto" w:fill="DDDDDD"/>
            <w:tcMar>
              <w:top w:w="100" w:type="dxa"/>
              <w:left w:w="100" w:type="dxa"/>
              <w:bottom w:w="100" w:type="dxa"/>
              <w:right w:w="100" w:type="dxa"/>
            </w:tcMar>
            <w:vAlign w:val="top"/>
          </w:tcPr>
          <w:p w14:paraId="570CF096">
            <w:pPr>
              <w:jc w:val="left"/>
            </w:pPr>
            <w:r>
              <w:rPr>
                <w:rFonts w:ascii="微软雅黑" w:hAnsi="微软雅黑" w:eastAsia="微软雅黑" w:cs="微软雅黑"/>
                <w:color w:val="000000"/>
                <w:sz w:val="24"/>
                <w:szCs w:val="24"/>
              </w:rPr>
              <w:t>说明</w:t>
            </w:r>
          </w:p>
        </w:tc>
      </w:tr>
      <w:tr w14:paraId="36041067">
        <w:trPr>
          <w:trHeight w:val="0" w:hRule="atLeast"/>
        </w:trPr>
        <w:tc>
          <w:tcPr>
            <w:shd w:val="clear" w:color="auto" w:fill="F2F2F2"/>
            <w:tcMar>
              <w:top w:w="100" w:type="dxa"/>
              <w:left w:w="100" w:type="dxa"/>
              <w:bottom w:w="100" w:type="dxa"/>
              <w:right w:w="100" w:type="dxa"/>
            </w:tcMar>
            <w:vAlign w:val="top"/>
          </w:tcPr>
          <w:p w14:paraId="56D34B93">
            <w:pPr>
              <w:jc w:val="left"/>
            </w:pPr>
            <w:r>
              <w:rPr>
                <w:rFonts w:ascii="微软雅黑" w:hAnsi="微软雅黑" w:eastAsia="微软雅黑" w:cs="微软雅黑"/>
                <w:color w:val="000000"/>
                <w:sz w:val="24"/>
                <w:szCs w:val="24"/>
              </w:rPr>
              <w:t>账户</w:t>
            </w:r>
          </w:p>
        </w:tc>
        <w:tc>
          <w:tcPr>
            <w:shd w:val="clear" w:color="auto" w:fill="F2F2F2"/>
            <w:tcMar>
              <w:top w:w="100" w:type="dxa"/>
              <w:left w:w="100" w:type="dxa"/>
              <w:bottom w:w="100" w:type="dxa"/>
              <w:right w:w="100" w:type="dxa"/>
            </w:tcMar>
            <w:vAlign w:val="top"/>
          </w:tcPr>
          <w:p w14:paraId="589B730F">
            <w:pPr>
              <w:jc w:val="left"/>
            </w:pPr>
            <w:r>
              <w:rPr>
                <w:rFonts w:ascii="微软雅黑" w:hAnsi="微软雅黑" w:eastAsia="微软雅黑" w:cs="微软雅黑"/>
                <w:color w:val="000000"/>
                <w:sz w:val="24"/>
                <w:szCs w:val="24"/>
              </w:rPr>
              <w:t>开立虚拟子账户</w:t>
            </w:r>
          </w:p>
        </w:tc>
        <w:tc>
          <w:tcPr>
            <w:shd w:val="clear" w:color="auto" w:fill="F2F2F2"/>
            <w:tcMar>
              <w:top w:w="100" w:type="dxa"/>
              <w:left w:w="100" w:type="dxa"/>
              <w:bottom w:w="100" w:type="dxa"/>
              <w:right w:w="100" w:type="dxa"/>
            </w:tcMar>
            <w:vAlign w:val="top"/>
          </w:tcPr>
          <w:p w14:paraId="5F5B75D4">
            <w:pPr>
              <w:jc w:val="left"/>
            </w:pPr>
            <w:r>
              <w:rPr>
                <w:rFonts w:ascii="微软雅黑" w:hAnsi="微软雅黑" w:eastAsia="微软雅黑" w:cs="微软雅黑"/>
                <w:color w:val="000000"/>
                <w:sz w:val="24"/>
                <w:szCs w:val="24"/>
              </w:rPr>
              <w:t>为租户创建独立账户</w:t>
            </w:r>
          </w:p>
        </w:tc>
      </w:tr>
      <w:tr w14:paraId="6A5D5267">
        <w:trPr>
          <w:trHeight w:val="0" w:hRule="atLeast"/>
        </w:trPr>
        <w:tc>
          <w:tcPr>
            <w:shd w:val="clear" w:color="auto" w:fill="FFFFFF"/>
            <w:tcMar>
              <w:top w:w="100" w:type="dxa"/>
              <w:left w:w="100" w:type="dxa"/>
              <w:bottom w:w="100" w:type="dxa"/>
              <w:right w:w="100" w:type="dxa"/>
            </w:tcMar>
            <w:vAlign w:val="top"/>
          </w:tcPr>
          <w:p w14:paraId="2DA239EA">
            <w:pPr>
              <w:jc w:val="left"/>
            </w:pPr>
            <w:r>
              <w:rPr>
                <w:rFonts w:ascii="微软雅黑" w:hAnsi="微软雅黑" w:eastAsia="微软雅黑" w:cs="微软雅黑"/>
                <w:color w:val="000000"/>
                <w:sz w:val="24"/>
                <w:szCs w:val="24"/>
              </w:rPr>
              <w:t>账户</w:t>
            </w:r>
          </w:p>
        </w:tc>
        <w:tc>
          <w:tcPr>
            <w:shd w:val="clear" w:color="auto" w:fill="FFFFFF"/>
            <w:tcMar>
              <w:top w:w="100" w:type="dxa"/>
              <w:left w:w="100" w:type="dxa"/>
              <w:bottom w:w="100" w:type="dxa"/>
              <w:right w:w="100" w:type="dxa"/>
            </w:tcMar>
            <w:vAlign w:val="top"/>
          </w:tcPr>
          <w:p w14:paraId="679E75A8">
            <w:pPr>
              <w:jc w:val="left"/>
            </w:pPr>
            <w:r>
              <w:rPr>
                <w:rFonts w:ascii="微软雅黑" w:hAnsi="微软雅黑" w:eastAsia="微软雅黑" w:cs="微软雅黑"/>
                <w:color w:val="000000"/>
                <w:sz w:val="24"/>
                <w:szCs w:val="24"/>
              </w:rPr>
              <w:t>查询账户信息</w:t>
            </w:r>
          </w:p>
        </w:tc>
        <w:tc>
          <w:tcPr>
            <w:shd w:val="clear" w:color="auto" w:fill="FFFFFF"/>
            <w:tcMar>
              <w:top w:w="100" w:type="dxa"/>
              <w:left w:w="100" w:type="dxa"/>
              <w:bottom w:w="100" w:type="dxa"/>
              <w:right w:w="100" w:type="dxa"/>
            </w:tcMar>
            <w:vAlign w:val="top"/>
          </w:tcPr>
          <w:p w14:paraId="6D275FBD">
            <w:pPr>
              <w:jc w:val="left"/>
            </w:pPr>
            <w:r>
              <w:rPr>
                <w:rFonts w:ascii="微软雅黑" w:hAnsi="微软雅黑" w:eastAsia="微软雅黑" w:cs="微软雅黑"/>
                <w:color w:val="000000"/>
                <w:sz w:val="24"/>
                <w:szCs w:val="24"/>
              </w:rPr>
              <w:t>余额、状态等</w:t>
            </w:r>
          </w:p>
        </w:tc>
      </w:tr>
      <w:tr w14:paraId="4C963CB5">
        <w:trPr>
          <w:trHeight w:val="0" w:hRule="atLeast"/>
        </w:trPr>
        <w:tc>
          <w:tcPr>
            <w:shd w:val="clear" w:color="auto" w:fill="F2F2F2"/>
            <w:tcMar>
              <w:top w:w="100" w:type="dxa"/>
              <w:left w:w="100" w:type="dxa"/>
              <w:bottom w:w="100" w:type="dxa"/>
              <w:right w:w="100" w:type="dxa"/>
            </w:tcMar>
            <w:vAlign w:val="top"/>
          </w:tcPr>
          <w:p w14:paraId="4E4D98E2">
            <w:pPr>
              <w:jc w:val="left"/>
            </w:pPr>
            <w:r>
              <w:rPr>
                <w:rFonts w:ascii="微软雅黑" w:hAnsi="微软雅黑" w:eastAsia="微软雅黑" w:cs="微软雅黑"/>
                <w:color w:val="000000"/>
                <w:sz w:val="24"/>
                <w:szCs w:val="24"/>
              </w:rPr>
              <w:t>支付</w:t>
            </w:r>
          </w:p>
        </w:tc>
        <w:tc>
          <w:tcPr>
            <w:shd w:val="clear" w:color="auto" w:fill="F2F2F2"/>
            <w:tcMar>
              <w:top w:w="100" w:type="dxa"/>
              <w:left w:w="100" w:type="dxa"/>
              <w:bottom w:w="100" w:type="dxa"/>
              <w:right w:w="100" w:type="dxa"/>
            </w:tcMar>
            <w:vAlign w:val="top"/>
          </w:tcPr>
          <w:p w14:paraId="615F04B6">
            <w:pPr>
              <w:jc w:val="left"/>
            </w:pPr>
            <w:r>
              <w:rPr>
                <w:rFonts w:ascii="微软雅黑" w:hAnsi="微软雅黑" w:eastAsia="微软雅黑" w:cs="微软雅黑"/>
                <w:color w:val="000000"/>
                <w:sz w:val="24"/>
                <w:szCs w:val="24"/>
              </w:rPr>
              <w:t>单笔受托支付</w:t>
            </w:r>
          </w:p>
        </w:tc>
        <w:tc>
          <w:tcPr>
            <w:shd w:val="clear" w:color="auto" w:fill="F2F2F2"/>
            <w:tcMar>
              <w:top w:w="100" w:type="dxa"/>
              <w:left w:w="100" w:type="dxa"/>
              <w:bottom w:w="100" w:type="dxa"/>
              <w:right w:w="100" w:type="dxa"/>
            </w:tcMar>
            <w:vAlign w:val="top"/>
          </w:tcPr>
          <w:p w14:paraId="628F5BCD">
            <w:pPr>
              <w:jc w:val="left"/>
            </w:pPr>
            <w:r>
              <w:rPr>
                <w:rFonts w:ascii="微软雅黑" w:hAnsi="微软雅黑" w:eastAsia="微软雅黑" w:cs="微软雅黑"/>
                <w:color w:val="000000"/>
                <w:sz w:val="24"/>
                <w:szCs w:val="24"/>
              </w:rPr>
              <w:t>附订单号，代付至供应商</w:t>
            </w:r>
          </w:p>
        </w:tc>
      </w:tr>
      <w:tr w14:paraId="36280AB0">
        <w:trPr>
          <w:trHeight w:val="0" w:hRule="atLeast"/>
        </w:trPr>
        <w:tc>
          <w:tcPr>
            <w:shd w:val="clear" w:color="auto" w:fill="FFFFFF"/>
            <w:tcMar>
              <w:top w:w="100" w:type="dxa"/>
              <w:left w:w="100" w:type="dxa"/>
              <w:bottom w:w="100" w:type="dxa"/>
              <w:right w:w="100" w:type="dxa"/>
            </w:tcMar>
            <w:vAlign w:val="top"/>
          </w:tcPr>
          <w:p w14:paraId="4B27C717">
            <w:pPr>
              <w:jc w:val="left"/>
            </w:pPr>
            <w:r>
              <w:rPr>
                <w:rFonts w:ascii="微软雅黑" w:hAnsi="微软雅黑" w:eastAsia="微软雅黑" w:cs="微软雅黑"/>
                <w:color w:val="000000"/>
                <w:sz w:val="24"/>
                <w:szCs w:val="24"/>
              </w:rPr>
              <w:t>支付</w:t>
            </w:r>
          </w:p>
        </w:tc>
        <w:tc>
          <w:tcPr>
            <w:shd w:val="clear" w:color="auto" w:fill="FFFFFF"/>
            <w:tcMar>
              <w:top w:w="100" w:type="dxa"/>
              <w:left w:w="100" w:type="dxa"/>
              <w:bottom w:w="100" w:type="dxa"/>
              <w:right w:w="100" w:type="dxa"/>
            </w:tcMar>
            <w:vAlign w:val="top"/>
          </w:tcPr>
          <w:p w14:paraId="251ACA0F">
            <w:pPr>
              <w:jc w:val="left"/>
            </w:pPr>
            <w:r>
              <w:rPr>
                <w:rFonts w:ascii="微软雅黑" w:hAnsi="微软雅黑" w:eastAsia="微软雅黑" w:cs="微软雅黑"/>
                <w:color w:val="000000"/>
                <w:sz w:val="24"/>
                <w:szCs w:val="24"/>
              </w:rPr>
              <w:t>批量受托支付</w:t>
            </w:r>
          </w:p>
        </w:tc>
        <w:tc>
          <w:tcPr>
            <w:shd w:val="clear" w:color="auto" w:fill="FFFFFF"/>
            <w:tcMar>
              <w:top w:w="100" w:type="dxa"/>
              <w:left w:w="100" w:type="dxa"/>
              <w:bottom w:w="100" w:type="dxa"/>
              <w:right w:w="100" w:type="dxa"/>
            </w:tcMar>
            <w:vAlign w:val="top"/>
          </w:tcPr>
          <w:p w14:paraId="0DEF3AEB">
            <w:pPr>
              <w:jc w:val="left"/>
            </w:pPr>
            <w:r>
              <w:rPr>
                <w:rFonts w:ascii="微软雅黑" w:hAnsi="微软雅黑" w:eastAsia="微软雅黑" w:cs="微软雅黑"/>
                <w:color w:val="000000"/>
                <w:sz w:val="24"/>
                <w:szCs w:val="24"/>
              </w:rPr>
              <w:t>支持批量文件上传</w:t>
            </w:r>
          </w:p>
        </w:tc>
      </w:tr>
      <w:tr w14:paraId="5B116614">
        <w:trPr>
          <w:trHeight w:val="0" w:hRule="atLeast"/>
        </w:trPr>
        <w:tc>
          <w:tcPr>
            <w:shd w:val="clear" w:color="auto" w:fill="F2F2F2"/>
            <w:tcMar>
              <w:top w:w="100" w:type="dxa"/>
              <w:left w:w="100" w:type="dxa"/>
              <w:bottom w:w="100" w:type="dxa"/>
              <w:right w:w="100" w:type="dxa"/>
            </w:tcMar>
            <w:vAlign w:val="top"/>
          </w:tcPr>
          <w:p w14:paraId="3637F325">
            <w:pPr>
              <w:jc w:val="left"/>
            </w:pPr>
            <w:r>
              <w:rPr>
                <w:rFonts w:ascii="微软雅黑" w:hAnsi="微软雅黑" w:eastAsia="微软雅黑" w:cs="微软雅黑"/>
                <w:color w:val="000000"/>
                <w:sz w:val="24"/>
                <w:szCs w:val="24"/>
              </w:rPr>
              <w:t>支付</w:t>
            </w:r>
          </w:p>
        </w:tc>
        <w:tc>
          <w:tcPr>
            <w:shd w:val="clear" w:color="auto" w:fill="F2F2F2"/>
            <w:tcMar>
              <w:top w:w="100" w:type="dxa"/>
              <w:left w:w="100" w:type="dxa"/>
              <w:bottom w:w="100" w:type="dxa"/>
              <w:right w:w="100" w:type="dxa"/>
            </w:tcMar>
            <w:vAlign w:val="top"/>
          </w:tcPr>
          <w:p w14:paraId="1AC3C792">
            <w:pPr>
              <w:jc w:val="left"/>
            </w:pPr>
            <w:r>
              <w:rPr>
                <w:rFonts w:ascii="微软雅黑" w:hAnsi="微软雅黑" w:eastAsia="微软雅黑" w:cs="微软雅黑"/>
                <w:color w:val="000000"/>
                <w:sz w:val="24"/>
                <w:szCs w:val="24"/>
              </w:rPr>
              <w:t>支付结果查询</w:t>
            </w:r>
          </w:p>
        </w:tc>
        <w:tc>
          <w:tcPr>
            <w:shd w:val="clear" w:color="auto" w:fill="F2F2F2"/>
            <w:tcMar>
              <w:top w:w="100" w:type="dxa"/>
              <w:left w:w="100" w:type="dxa"/>
              <w:bottom w:w="100" w:type="dxa"/>
              <w:right w:w="100" w:type="dxa"/>
            </w:tcMar>
            <w:vAlign w:val="top"/>
          </w:tcPr>
          <w:p w14:paraId="6B31CF9F">
            <w:pPr>
              <w:jc w:val="left"/>
            </w:pPr>
            <w:r>
              <w:rPr>
                <w:rFonts w:ascii="微软雅黑" w:hAnsi="微软雅黑" w:eastAsia="微软雅黑" w:cs="微软雅黑"/>
                <w:color w:val="000000"/>
                <w:sz w:val="24"/>
                <w:szCs w:val="24"/>
              </w:rPr>
              <w:t>异步通知或主动查询</w:t>
            </w:r>
          </w:p>
        </w:tc>
      </w:tr>
      <w:tr w14:paraId="710569F1">
        <w:trPr>
          <w:trHeight w:val="0" w:hRule="atLeast"/>
        </w:trPr>
        <w:tc>
          <w:tcPr>
            <w:shd w:val="clear" w:color="auto" w:fill="FFFFFF"/>
            <w:tcMar>
              <w:top w:w="100" w:type="dxa"/>
              <w:left w:w="100" w:type="dxa"/>
              <w:bottom w:w="100" w:type="dxa"/>
              <w:right w:w="100" w:type="dxa"/>
            </w:tcMar>
            <w:vAlign w:val="top"/>
          </w:tcPr>
          <w:p w14:paraId="7A6373A0">
            <w:pPr>
              <w:jc w:val="left"/>
            </w:pPr>
            <w:r>
              <w:rPr>
                <w:rFonts w:ascii="微软雅黑" w:hAnsi="微软雅黑" w:eastAsia="微软雅黑" w:cs="微软雅黑"/>
                <w:color w:val="000000"/>
                <w:sz w:val="24"/>
                <w:szCs w:val="24"/>
              </w:rPr>
              <w:t>扣款</w:t>
            </w:r>
          </w:p>
        </w:tc>
        <w:tc>
          <w:tcPr>
            <w:shd w:val="clear" w:color="auto" w:fill="FFFFFF"/>
            <w:tcMar>
              <w:top w:w="100" w:type="dxa"/>
              <w:left w:w="100" w:type="dxa"/>
              <w:bottom w:w="100" w:type="dxa"/>
              <w:right w:w="100" w:type="dxa"/>
            </w:tcMar>
            <w:vAlign w:val="top"/>
          </w:tcPr>
          <w:p w14:paraId="06E54430">
            <w:pPr>
              <w:jc w:val="left"/>
            </w:pPr>
            <w:r>
              <w:rPr>
                <w:rFonts w:ascii="微软雅黑" w:hAnsi="微软雅黑" w:eastAsia="微软雅黑" w:cs="微软雅黑"/>
                <w:color w:val="000000"/>
                <w:sz w:val="24"/>
                <w:szCs w:val="24"/>
              </w:rPr>
              <w:t>协议扣款签约</w:t>
            </w:r>
          </w:p>
        </w:tc>
        <w:tc>
          <w:tcPr>
            <w:shd w:val="clear" w:color="auto" w:fill="FFFFFF"/>
            <w:tcMar>
              <w:top w:w="100" w:type="dxa"/>
              <w:left w:w="100" w:type="dxa"/>
              <w:bottom w:w="100" w:type="dxa"/>
              <w:right w:w="100" w:type="dxa"/>
            </w:tcMar>
            <w:vAlign w:val="top"/>
          </w:tcPr>
          <w:p w14:paraId="6B90CCB5">
            <w:pPr>
              <w:jc w:val="left"/>
            </w:pPr>
            <w:r>
              <w:rPr>
                <w:rFonts w:ascii="微软雅黑" w:hAnsi="微软雅黑" w:eastAsia="微软雅黑" w:cs="微软雅黑"/>
                <w:color w:val="000000"/>
                <w:sz w:val="24"/>
                <w:szCs w:val="24"/>
              </w:rPr>
              <w:t>租户授权扣款</w:t>
            </w:r>
          </w:p>
        </w:tc>
      </w:tr>
      <w:tr w14:paraId="250C6D48">
        <w:trPr>
          <w:trHeight w:val="0" w:hRule="atLeast"/>
        </w:trPr>
        <w:tc>
          <w:tcPr>
            <w:shd w:val="clear" w:color="auto" w:fill="F2F2F2"/>
            <w:tcMar>
              <w:top w:w="100" w:type="dxa"/>
              <w:left w:w="100" w:type="dxa"/>
              <w:bottom w:w="100" w:type="dxa"/>
              <w:right w:w="100" w:type="dxa"/>
            </w:tcMar>
            <w:vAlign w:val="top"/>
          </w:tcPr>
          <w:p w14:paraId="7AE25643">
            <w:pPr>
              <w:jc w:val="left"/>
            </w:pPr>
            <w:r>
              <w:rPr>
                <w:rFonts w:ascii="微软雅黑" w:hAnsi="微软雅黑" w:eastAsia="微软雅黑" w:cs="微软雅黑"/>
                <w:color w:val="000000"/>
                <w:sz w:val="24"/>
                <w:szCs w:val="24"/>
              </w:rPr>
              <w:t>扣款</w:t>
            </w:r>
          </w:p>
        </w:tc>
        <w:tc>
          <w:tcPr>
            <w:shd w:val="clear" w:color="auto" w:fill="F2F2F2"/>
            <w:tcMar>
              <w:top w:w="100" w:type="dxa"/>
              <w:left w:w="100" w:type="dxa"/>
              <w:bottom w:w="100" w:type="dxa"/>
              <w:right w:w="100" w:type="dxa"/>
            </w:tcMar>
            <w:vAlign w:val="top"/>
          </w:tcPr>
          <w:p w14:paraId="1C3F6952">
            <w:pPr>
              <w:jc w:val="left"/>
            </w:pPr>
            <w:r>
              <w:rPr>
                <w:rFonts w:ascii="微软雅黑" w:hAnsi="微软雅黑" w:eastAsia="微软雅黑" w:cs="微软雅黑"/>
                <w:color w:val="000000"/>
                <w:sz w:val="24"/>
                <w:szCs w:val="24"/>
              </w:rPr>
              <w:t>执行扣款</w:t>
            </w:r>
          </w:p>
        </w:tc>
        <w:tc>
          <w:tcPr>
            <w:shd w:val="clear" w:color="auto" w:fill="F2F2F2"/>
            <w:tcMar>
              <w:top w:w="100" w:type="dxa"/>
              <w:left w:w="100" w:type="dxa"/>
              <w:bottom w:w="100" w:type="dxa"/>
              <w:right w:w="100" w:type="dxa"/>
            </w:tcMar>
            <w:vAlign w:val="top"/>
          </w:tcPr>
          <w:p w14:paraId="4DC3F634">
            <w:pPr>
              <w:jc w:val="left"/>
            </w:pPr>
            <w:r>
              <w:rPr>
                <w:rFonts w:ascii="微软雅黑" w:hAnsi="微软雅黑" w:eastAsia="微软雅黑" w:cs="微软雅黑"/>
                <w:color w:val="000000"/>
                <w:sz w:val="24"/>
                <w:szCs w:val="24"/>
              </w:rPr>
              <w:t>还款日触发</w:t>
            </w:r>
          </w:p>
        </w:tc>
      </w:tr>
      <w:tr w14:paraId="12250B51">
        <w:trPr>
          <w:trHeight w:val="0" w:hRule="atLeast"/>
        </w:trPr>
        <w:tc>
          <w:tcPr>
            <w:shd w:val="clear" w:color="auto" w:fill="FFFFFF"/>
            <w:tcMar>
              <w:top w:w="100" w:type="dxa"/>
              <w:left w:w="100" w:type="dxa"/>
              <w:bottom w:w="100" w:type="dxa"/>
              <w:right w:w="100" w:type="dxa"/>
            </w:tcMar>
            <w:vAlign w:val="top"/>
          </w:tcPr>
          <w:p w14:paraId="3073C79B">
            <w:pPr>
              <w:jc w:val="left"/>
            </w:pPr>
            <w:r>
              <w:rPr>
                <w:rFonts w:ascii="微软雅黑" w:hAnsi="微软雅黑" w:eastAsia="微软雅黑" w:cs="微软雅黑"/>
                <w:color w:val="000000"/>
                <w:sz w:val="24"/>
                <w:szCs w:val="24"/>
              </w:rPr>
              <w:t>流水</w:t>
            </w:r>
          </w:p>
        </w:tc>
        <w:tc>
          <w:tcPr>
            <w:shd w:val="clear" w:color="auto" w:fill="FFFFFF"/>
            <w:tcMar>
              <w:top w:w="100" w:type="dxa"/>
              <w:left w:w="100" w:type="dxa"/>
              <w:bottom w:w="100" w:type="dxa"/>
              <w:right w:w="100" w:type="dxa"/>
            </w:tcMar>
            <w:vAlign w:val="top"/>
          </w:tcPr>
          <w:p w14:paraId="40A83F73">
            <w:pPr>
              <w:jc w:val="left"/>
            </w:pPr>
            <w:r>
              <w:rPr>
                <w:rFonts w:ascii="微软雅黑" w:hAnsi="微软雅黑" w:eastAsia="微软雅黑" w:cs="微软雅黑"/>
                <w:color w:val="000000"/>
                <w:sz w:val="24"/>
                <w:szCs w:val="24"/>
              </w:rPr>
              <w:t>查询交易流水</w:t>
            </w:r>
          </w:p>
        </w:tc>
        <w:tc>
          <w:tcPr>
            <w:shd w:val="clear" w:color="auto" w:fill="FFFFFF"/>
            <w:tcMar>
              <w:top w:w="100" w:type="dxa"/>
              <w:left w:w="100" w:type="dxa"/>
              <w:bottom w:w="100" w:type="dxa"/>
              <w:right w:w="100" w:type="dxa"/>
            </w:tcMar>
            <w:vAlign w:val="top"/>
          </w:tcPr>
          <w:p w14:paraId="3699BB5B">
            <w:pPr>
              <w:jc w:val="left"/>
            </w:pPr>
            <w:r>
              <w:rPr>
                <w:rFonts w:ascii="微软雅黑" w:hAnsi="微软雅黑" w:eastAsia="微软雅黑" w:cs="微软雅黑"/>
                <w:color w:val="000000"/>
                <w:sz w:val="24"/>
                <w:szCs w:val="24"/>
              </w:rPr>
              <w:t>按时间、金额等条件</w:t>
            </w:r>
          </w:p>
        </w:tc>
      </w:tr>
      <w:tr w14:paraId="37B37AB0">
        <w:trPr>
          <w:trHeight w:val="0" w:hRule="atLeast"/>
        </w:trPr>
        <w:tc>
          <w:tcPr>
            <w:shd w:val="clear" w:color="auto" w:fill="F2F2F2"/>
            <w:tcMar>
              <w:top w:w="100" w:type="dxa"/>
              <w:left w:w="100" w:type="dxa"/>
              <w:bottom w:w="100" w:type="dxa"/>
              <w:right w:w="100" w:type="dxa"/>
            </w:tcMar>
            <w:vAlign w:val="top"/>
          </w:tcPr>
          <w:p w14:paraId="36C57416">
            <w:pPr>
              <w:jc w:val="left"/>
            </w:pPr>
            <w:r>
              <w:rPr>
                <w:rFonts w:ascii="微软雅黑" w:hAnsi="微软雅黑" w:eastAsia="微软雅黑" w:cs="微软雅黑"/>
                <w:color w:val="000000"/>
                <w:sz w:val="24"/>
                <w:szCs w:val="24"/>
              </w:rPr>
              <w:t>流水</w:t>
            </w:r>
          </w:p>
        </w:tc>
        <w:tc>
          <w:tcPr>
            <w:shd w:val="clear" w:color="auto" w:fill="F2F2F2"/>
            <w:tcMar>
              <w:top w:w="100" w:type="dxa"/>
              <w:left w:w="100" w:type="dxa"/>
              <w:bottom w:w="100" w:type="dxa"/>
              <w:right w:w="100" w:type="dxa"/>
            </w:tcMar>
            <w:vAlign w:val="top"/>
          </w:tcPr>
          <w:p w14:paraId="54AC7C94">
            <w:pPr>
              <w:jc w:val="left"/>
            </w:pPr>
            <w:r>
              <w:rPr>
                <w:rFonts w:ascii="微软雅黑" w:hAnsi="微软雅黑" w:eastAsia="微软雅黑" w:cs="微软雅黑"/>
                <w:color w:val="000000"/>
                <w:sz w:val="24"/>
                <w:szCs w:val="24"/>
              </w:rPr>
              <w:t>流水变动推送</w:t>
            </w:r>
          </w:p>
        </w:tc>
        <w:tc>
          <w:tcPr>
            <w:shd w:val="clear" w:color="auto" w:fill="F2F2F2"/>
            <w:tcMar>
              <w:top w:w="100" w:type="dxa"/>
              <w:left w:w="100" w:type="dxa"/>
              <w:bottom w:w="100" w:type="dxa"/>
              <w:right w:w="100" w:type="dxa"/>
            </w:tcMar>
            <w:vAlign w:val="top"/>
          </w:tcPr>
          <w:p w14:paraId="62007AC3">
            <w:pPr>
              <w:jc w:val="left"/>
            </w:pPr>
            <w:r>
              <w:rPr>
                <w:rFonts w:ascii="微软雅黑" w:hAnsi="微软雅黑" w:eastAsia="微软雅黑" w:cs="微软雅黑"/>
                <w:color w:val="000000"/>
                <w:sz w:val="24"/>
                <w:szCs w:val="24"/>
              </w:rPr>
              <w:t>Webhook接收</w:t>
            </w:r>
          </w:p>
        </w:tc>
      </w:tr>
    </w:tbl>
    <w:p w14:paraId="1781DC2A">
      <w:pPr>
        <w:pStyle w:val="4"/>
        <w:spacing w:before="240" w:after="120" w:line="360" w:lineRule="auto"/>
      </w:pPr>
      <w:r>
        <w:rPr>
          <w:rFonts w:ascii="微软雅黑" w:hAnsi="微软雅黑" w:eastAsia="微软雅黑" w:cs="微软雅黑"/>
          <w:b/>
          <w:bCs/>
          <w:color w:val="000000"/>
          <w:sz w:val="28"/>
          <w:szCs w:val="28"/>
        </w:rPr>
        <w:t>5.3 数据交互时序图</w:t>
      </w:r>
    </w:p>
    <w:p w14:paraId="2D719081">
      <w:pPr>
        <w:spacing w:before="0" w:after="120" w:line="360" w:lineRule="exact"/>
      </w:pPr>
      <w:r>
        <w:rPr>
          <w:rFonts w:ascii="微软雅黑" w:hAnsi="微软雅黑" w:eastAsia="微软雅黑" w:cs="微软雅黑"/>
          <w:b/>
          <w:bCs/>
          <w:color w:val="000000"/>
          <w:sz w:val="24"/>
          <w:szCs w:val="24"/>
        </w:rPr>
        <w:t>用款流程</w:t>
      </w:r>
      <w:r>
        <w:rPr>
          <w:rFonts w:ascii="微软雅黑" w:hAnsi="微软雅黑" w:eastAsia="微软雅黑" w:cs="微软雅黑"/>
          <w:color w:val="000000"/>
          <w:sz w:val="24"/>
          <w:szCs w:val="24"/>
        </w:rPr>
        <w:t>：</w:t>
      </w:r>
    </w:p>
    <w:p w14:paraId="0D1A40B6">
      <w:pPr>
        <w:ind w:left="720" w:hanging="360"/>
      </w:pPr>
      <w:r>
        <w:rPr>
          <w:rFonts w:ascii="微软雅黑" w:hAnsi="微软雅黑" w:eastAsia="微软雅黑" w:cs="微软雅黑"/>
          <w:sz w:val="24"/>
          <w:szCs w:val="24"/>
        </w:rPr>
        <w:t>1. 租户在SaaS提交采购订单，选择金融支付。</w:t>
      </w:r>
    </w:p>
    <w:p w14:paraId="5D5F3E0B">
      <w:pPr>
        <w:ind w:left="720" w:hanging="360"/>
      </w:pPr>
      <w:r>
        <w:rPr>
          <w:rFonts w:ascii="微软雅黑" w:hAnsi="微软雅黑" w:eastAsia="微软雅黑" w:cs="微软雅黑"/>
          <w:sz w:val="24"/>
          <w:szCs w:val="24"/>
        </w:rPr>
        <w:t>2. 平台调用风控引擎校验额度，生成用款申请。</w:t>
      </w:r>
    </w:p>
    <w:p w14:paraId="5F3331D2">
      <w:pPr>
        <w:ind w:left="720" w:hanging="360"/>
      </w:pPr>
      <w:r>
        <w:rPr>
          <w:rFonts w:ascii="微软雅黑" w:hAnsi="微软雅黑" w:eastAsia="微软雅黑" w:cs="微软雅黑"/>
          <w:sz w:val="24"/>
          <w:szCs w:val="24"/>
        </w:rPr>
        <w:t>3. 平台通过银行API发起受托支付指令（含订单号、金额、供应商账户）。</w:t>
      </w:r>
    </w:p>
    <w:p w14:paraId="4B1AD7C6">
      <w:pPr>
        <w:ind w:left="720" w:hanging="360"/>
      </w:pPr>
      <w:r>
        <w:rPr>
          <w:rFonts w:ascii="微软雅黑" w:hAnsi="微软雅黑" w:eastAsia="微软雅黑" w:cs="微软雅黑"/>
          <w:sz w:val="24"/>
          <w:szCs w:val="24"/>
        </w:rPr>
        <w:t>4. 银行校验通过后划款，返回支付结果。</w:t>
      </w:r>
    </w:p>
    <w:p w14:paraId="66ADC29B">
      <w:pPr>
        <w:ind w:left="720" w:hanging="360"/>
      </w:pPr>
      <w:r>
        <w:rPr>
          <w:rFonts w:ascii="微软雅黑" w:hAnsi="微软雅黑" w:eastAsia="微软雅黑" w:cs="微软雅黑"/>
          <w:sz w:val="24"/>
          <w:szCs w:val="24"/>
        </w:rPr>
        <w:t>5. 平台更新订单状态，通知租户。</w:t>
      </w:r>
    </w:p>
    <w:p w14:paraId="68B5B342">
      <w:pPr>
        <w:spacing w:before="0" w:after="120" w:line="360" w:lineRule="exact"/>
      </w:pPr>
      <w:r>
        <w:rPr>
          <w:rFonts w:ascii="微软雅黑" w:hAnsi="微软雅黑" w:eastAsia="微软雅黑" w:cs="微软雅黑"/>
          <w:b/>
          <w:bCs/>
          <w:color w:val="000000"/>
          <w:sz w:val="24"/>
          <w:szCs w:val="24"/>
        </w:rPr>
        <w:t>还款流程</w:t>
      </w:r>
      <w:r>
        <w:rPr>
          <w:rFonts w:ascii="微软雅黑" w:hAnsi="微软雅黑" w:eastAsia="微软雅黑" w:cs="微软雅黑"/>
          <w:color w:val="000000"/>
          <w:sz w:val="24"/>
          <w:szCs w:val="24"/>
        </w:rPr>
        <w:t>：</w:t>
      </w:r>
    </w:p>
    <w:p w14:paraId="02B9944C">
      <w:pPr>
        <w:ind w:left="720" w:hanging="360"/>
      </w:pPr>
      <w:r>
        <w:rPr>
          <w:rFonts w:ascii="微软雅黑" w:hAnsi="微软雅黑" w:eastAsia="微软雅黑" w:cs="微软雅黑"/>
          <w:sz w:val="24"/>
          <w:szCs w:val="24"/>
        </w:rPr>
        <w:t>1. 还款日到达，平台或银行系统触发扣款。</w:t>
      </w:r>
    </w:p>
    <w:p w14:paraId="7C6B6BCF">
      <w:pPr>
        <w:ind w:left="720" w:hanging="360"/>
      </w:pPr>
      <w:r>
        <w:rPr>
          <w:rFonts w:ascii="微软雅黑" w:hAnsi="微软雅黑" w:eastAsia="微软雅黑" w:cs="微软雅黑"/>
          <w:sz w:val="24"/>
          <w:szCs w:val="24"/>
        </w:rPr>
        <w:t>2. 银行从租户虚拟账户扣划本息至资金方账户。</w:t>
      </w:r>
    </w:p>
    <w:p w14:paraId="3F6A330E">
      <w:pPr>
        <w:ind w:left="720" w:hanging="360"/>
      </w:pPr>
      <w:r>
        <w:rPr>
          <w:rFonts w:ascii="微软雅黑" w:hAnsi="微软雅黑" w:eastAsia="微软雅黑" w:cs="微软雅黑"/>
          <w:sz w:val="24"/>
          <w:szCs w:val="24"/>
        </w:rPr>
        <w:t>3. 银行返回扣款结果，平台更新账单状态。</w:t>
      </w:r>
    </w:p>
    <w:p w14:paraId="6376C920">
      <w:pPr>
        <w:pStyle w:val="4"/>
        <w:spacing w:before="240" w:after="120" w:line="360" w:lineRule="auto"/>
      </w:pPr>
      <w:r>
        <w:rPr>
          <w:rFonts w:ascii="微软雅黑" w:hAnsi="微软雅黑" w:eastAsia="微软雅黑" w:cs="微软雅黑"/>
          <w:b/>
          <w:bCs/>
          <w:color w:val="000000"/>
          <w:sz w:val="28"/>
          <w:szCs w:val="28"/>
        </w:rPr>
        <w:t>5.4 异常处理与重试机制</w:t>
      </w:r>
    </w:p>
    <w:p w14:paraId="40ED54AF">
      <w:pPr>
        <w:ind w:left="720" w:hanging="360"/>
      </w:pPr>
      <w:r>
        <w:rPr>
          <w:rFonts w:ascii="微软雅黑" w:hAnsi="微软雅黑" w:eastAsia="微软雅黑" w:cs="微软雅黑"/>
          <w:sz w:val="24"/>
          <w:szCs w:val="24"/>
        </w:rPr>
        <w:t xml:space="preserve">• </w:t>
      </w:r>
      <w:r>
        <w:rPr>
          <w:rFonts w:ascii="微软雅黑" w:hAnsi="微软雅黑" w:eastAsia="微软雅黑" w:cs="微软雅黑"/>
          <w:b/>
          <w:bCs/>
          <w:color w:val="000000"/>
          <w:sz w:val="24"/>
          <w:szCs w:val="24"/>
        </w:rPr>
        <w:t>支付失败</w:t>
      </w:r>
      <w:r>
        <w:rPr>
          <w:rFonts w:ascii="微软雅黑" w:hAnsi="微软雅黑" w:eastAsia="微软雅黑" w:cs="微软雅黑"/>
          <w:color w:val="000000"/>
          <w:sz w:val="24"/>
          <w:szCs w:val="24"/>
        </w:rPr>
        <w:t>：平台记录失败原因，通知租户，支持重新发起。</w:t>
      </w:r>
    </w:p>
    <w:p w14:paraId="73DA6FDC">
      <w:pPr>
        <w:ind w:left="720" w:hanging="360"/>
      </w:pPr>
      <w:r>
        <w:rPr>
          <w:rFonts w:ascii="微软雅黑" w:hAnsi="微软雅黑" w:eastAsia="微软雅黑" w:cs="微软雅黑"/>
          <w:sz w:val="24"/>
          <w:szCs w:val="24"/>
        </w:rPr>
        <w:t xml:space="preserve">• </w:t>
      </w:r>
      <w:r>
        <w:rPr>
          <w:rFonts w:ascii="微软雅黑" w:hAnsi="微软雅黑" w:eastAsia="微软雅黑" w:cs="微软雅黑"/>
          <w:b/>
          <w:bCs/>
          <w:color w:val="000000"/>
          <w:sz w:val="24"/>
          <w:szCs w:val="24"/>
        </w:rPr>
        <w:t>扣款失败</w:t>
      </w:r>
      <w:r>
        <w:rPr>
          <w:rFonts w:ascii="微软雅黑" w:hAnsi="微软雅黑" w:eastAsia="微软雅黑" w:cs="微软雅黑"/>
          <w:color w:val="000000"/>
          <w:sz w:val="24"/>
          <w:szCs w:val="24"/>
        </w:rPr>
        <w:t>：平台触发短信提醒租户，并在次日重试；连续失败则进入人工催收。</w:t>
      </w:r>
    </w:p>
    <w:p w14:paraId="450CDD0E">
      <w:pPr>
        <w:ind w:left="720" w:hanging="360"/>
      </w:pPr>
      <w:r>
        <w:rPr>
          <w:rFonts w:ascii="微软雅黑" w:hAnsi="微软雅黑" w:eastAsia="微软雅黑" w:cs="微软雅黑"/>
          <w:sz w:val="24"/>
          <w:szCs w:val="24"/>
        </w:rPr>
        <w:t xml:space="preserve">• </w:t>
      </w:r>
      <w:r>
        <w:rPr>
          <w:rFonts w:ascii="微软雅黑" w:hAnsi="微软雅黑" w:eastAsia="微软雅黑" w:cs="微软雅黑"/>
          <w:b/>
          <w:bCs/>
          <w:color w:val="000000"/>
          <w:sz w:val="24"/>
          <w:szCs w:val="24"/>
        </w:rPr>
        <w:t>接口超时</w:t>
      </w:r>
      <w:r>
        <w:rPr>
          <w:rFonts w:ascii="微软雅黑" w:hAnsi="微软雅黑" w:eastAsia="微软雅黑" w:cs="微软雅黑"/>
          <w:color w:val="000000"/>
          <w:sz w:val="24"/>
          <w:szCs w:val="24"/>
        </w:rPr>
        <w:t>：采用指数退避重试，最多3次；记录日志供人工介入。</w:t>
      </w:r>
    </w:p>
    <w:p w14:paraId="472C2D20">
      <w:pPr>
        <w:pStyle w:val="4"/>
        <w:spacing w:before="240" w:after="120" w:line="360" w:lineRule="auto"/>
      </w:pPr>
      <w:r>
        <w:rPr>
          <w:rFonts w:ascii="微软雅黑" w:hAnsi="微软雅黑" w:eastAsia="微软雅黑" w:cs="微软雅黑"/>
          <w:b/>
          <w:bCs/>
          <w:color w:val="000000"/>
          <w:sz w:val="28"/>
          <w:szCs w:val="28"/>
        </w:rPr>
        <w:t>5.5 测试环境准备</w:t>
      </w:r>
    </w:p>
    <w:p w14:paraId="113BE9B8">
      <w:pPr>
        <w:ind w:left="720" w:hanging="360"/>
      </w:pPr>
      <w:r>
        <w:rPr>
          <w:rFonts w:ascii="微软雅黑" w:hAnsi="微软雅黑" w:eastAsia="微软雅黑" w:cs="微软雅黑"/>
          <w:sz w:val="24"/>
          <w:szCs w:val="24"/>
        </w:rPr>
        <w:t>• 与银行协调提供测试环境API密钥、测试账户</w:t>
      </w:r>
    </w:p>
    <w:p w14:paraId="77A1DCC2">
      <w:pPr>
        <w:ind w:left="720" w:hanging="360"/>
      </w:pPr>
      <w:r>
        <w:rPr>
          <w:rFonts w:ascii="微软雅黑" w:hAnsi="微软雅黑" w:eastAsia="微软雅黑" w:cs="微软雅黑"/>
          <w:sz w:val="24"/>
          <w:szCs w:val="24"/>
        </w:rPr>
        <w:t>• 准备模拟数据（租户、订单、供应商）</w:t>
      </w:r>
    </w:p>
    <w:p w14:paraId="5EAB1215">
      <w:pPr>
        <w:ind w:left="720" w:hanging="360"/>
      </w:pPr>
      <w:r>
        <w:rPr>
          <w:rFonts w:ascii="微软雅黑" w:hAnsi="微软雅黑" w:eastAsia="微软雅黑" w:cs="微软雅黑"/>
          <w:sz w:val="24"/>
          <w:szCs w:val="24"/>
        </w:rPr>
        <w:t>• 编写自动化测试用例，覆盖正常流程与异常场景</w:t>
      </w:r>
    </w:p>
    <w:p w14:paraId="2CC17F21">
      <w:pPr>
        <w:pBdr>
          <w:bottom w:val="single" w:color="999999" w:sz="2" w:space="0"/>
        </w:pBdr>
        <w:spacing w:before="240" w:after="240"/>
      </w:pPr>
    </w:p>
    <w:p w14:paraId="7BBFC7D4">
      <w:pPr>
        <w:pStyle w:val="3"/>
        <w:spacing w:before="240" w:after="120" w:line="360" w:lineRule="auto"/>
      </w:pPr>
      <w:r>
        <w:rPr>
          <w:rFonts w:ascii="微软雅黑" w:hAnsi="微软雅黑" w:eastAsia="微软雅黑" w:cs="微软雅黑"/>
          <w:b/>
          <w:bCs/>
          <w:color w:val="000000"/>
          <w:sz w:val="32"/>
          <w:szCs w:val="32"/>
        </w:rPr>
        <w:t>6. 风控模型详细构建</w:t>
      </w:r>
    </w:p>
    <w:p w14:paraId="298F950F">
      <w:pPr>
        <w:pStyle w:val="4"/>
        <w:spacing w:before="240" w:after="120" w:line="360" w:lineRule="auto"/>
      </w:pPr>
      <w:r>
        <w:rPr>
          <w:rFonts w:ascii="微软雅黑" w:hAnsi="微软雅黑" w:eastAsia="微软雅黑" w:cs="微软雅黑"/>
          <w:b/>
          <w:bCs/>
          <w:color w:val="000000"/>
          <w:sz w:val="28"/>
          <w:szCs w:val="28"/>
        </w:rPr>
        <w:t>6.1 特征变量清单（基于SaaS数据）</w:t>
      </w:r>
    </w:p>
    <w:tbl>
      <w:tblPr>
        <w:tblStyle w:val="10"/>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1495"/>
        <w:gridCol w:w="2732"/>
        <w:gridCol w:w="4277"/>
      </w:tblGrid>
      <w:tr w14:paraId="267E2DFE">
        <w:trPr>
          <w:trHeight w:val="0" w:hRule="atLeast"/>
        </w:trPr>
        <w:tc>
          <w:tcPr>
            <w:shd w:val="clear" w:color="auto" w:fill="DDDDDD"/>
            <w:tcMar>
              <w:top w:w="100" w:type="dxa"/>
              <w:left w:w="100" w:type="dxa"/>
              <w:bottom w:w="100" w:type="dxa"/>
              <w:right w:w="100" w:type="dxa"/>
            </w:tcMar>
            <w:vAlign w:val="top"/>
          </w:tcPr>
          <w:p w14:paraId="047C06E5">
            <w:pPr>
              <w:jc w:val="left"/>
            </w:pPr>
            <w:r>
              <w:rPr>
                <w:rFonts w:ascii="微软雅黑" w:hAnsi="微软雅黑" w:eastAsia="微软雅黑" w:cs="微软雅黑"/>
                <w:color w:val="000000"/>
                <w:sz w:val="24"/>
                <w:szCs w:val="24"/>
              </w:rPr>
              <w:t>类别</w:t>
            </w:r>
          </w:p>
        </w:tc>
        <w:tc>
          <w:tcPr>
            <w:shd w:val="clear" w:color="auto" w:fill="DDDDDD"/>
            <w:tcMar>
              <w:top w:w="100" w:type="dxa"/>
              <w:left w:w="100" w:type="dxa"/>
              <w:bottom w:w="100" w:type="dxa"/>
              <w:right w:w="100" w:type="dxa"/>
            </w:tcMar>
            <w:vAlign w:val="top"/>
          </w:tcPr>
          <w:p w14:paraId="4284BA30">
            <w:pPr>
              <w:jc w:val="left"/>
            </w:pPr>
            <w:r>
              <w:rPr>
                <w:rFonts w:ascii="微软雅黑" w:hAnsi="微软雅黑" w:eastAsia="微软雅黑" w:cs="微软雅黑"/>
                <w:color w:val="000000"/>
                <w:sz w:val="24"/>
                <w:szCs w:val="24"/>
              </w:rPr>
              <w:t>特征变量</w:t>
            </w:r>
          </w:p>
        </w:tc>
        <w:tc>
          <w:tcPr>
            <w:shd w:val="clear" w:color="auto" w:fill="DDDDDD"/>
            <w:tcMar>
              <w:top w:w="100" w:type="dxa"/>
              <w:left w:w="100" w:type="dxa"/>
              <w:bottom w:w="100" w:type="dxa"/>
              <w:right w:w="100" w:type="dxa"/>
            </w:tcMar>
            <w:vAlign w:val="top"/>
          </w:tcPr>
          <w:p w14:paraId="00284AF2">
            <w:pPr>
              <w:jc w:val="left"/>
            </w:pPr>
            <w:r>
              <w:rPr>
                <w:rFonts w:ascii="微软雅黑" w:hAnsi="微软雅黑" w:eastAsia="微软雅黑" w:cs="微软雅黑"/>
                <w:color w:val="000000"/>
                <w:sz w:val="24"/>
                <w:szCs w:val="24"/>
              </w:rPr>
              <w:t>说明</w:t>
            </w:r>
          </w:p>
        </w:tc>
      </w:tr>
      <w:tr w14:paraId="0E38962F">
        <w:trPr>
          <w:trHeight w:val="0" w:hRule="atLeast"/>
        </w:trPr>
        <w:tc>
          <w:tcPr>
            <w:shd w:val="clear" w:color="auto" w:fill="F2F2F2"/>
            <w:tcMar>
              <w:top w:w="100" w:type="dxa"/>
              <w:left w:w="100" w:type="dxa"/>
              <w:bottom w:w="100" w:type="dxa"/>
              <w:right w:w="100" w:type="dxa"/>
            </w:tcMar>
            <w:vAlign w:val="top"/>
          </w:tcPr>
          <w:p w14:paraId="5EBB6AA4">
            <w:pPr>
              <w:jc w:val="left"/>
            </w:pPr>
            <w:r>
              <w:rPr>
                <w:rFonts w:ascii="微软雅黑" w:hAnsi="微软雅黑" w:eastAsia="微软雅黑" w:cs="微软雅黑"/>
                <w:color w:val="000000"/>
                <w:sz w:val="24"/>
                <w:szCs w:val="24"/>
              </w:rPr>
              <w:t>稳定性</w:t>
            </w:r>
          </w:p>
        </w:tc>
        <w:tc>
          <w:tcPr>
            <w:shd w:val="clear" w:color="auto" w:fill="F2F2F2"/>
            <w:tcMar>
              <w:top w:w="100" w:type="dxa"/>
              <w:left w:w="100" w:type="dxa"/>
              <w:bottom w:w="100" w:type="dxa"/>
              <w:right w:w="100" w:type="dxa"/>
            </w:tcMar>
            <w:vAlign w:val="top"/>
          </w:tcPr>
          <w:p w14:paraId="0C001249">
            <w:pPr>
              <w:jc w:val="left"/>
            </w:pPr>
            <w:r>
              <w:rPr>
                <w:rFonts w:ascii="微软雅黑" w:hAnsi="微软雅黑" w:eastAsia="微软雅黑" w:cs="微软雅黑"/>
                <w:color w:val="000000"/>
                <w:sz w:val="24"/>
                <w:szCs w:val="24"/>
              </w:rPr>
              <w:t>合作时长（月）</w:t>
            </w:r>
          </w:p>
        </w:tc>
        <w:tc>
          <w:tcPr>
            <w:shd w:val="clear" w:color="auto" w:fill="F2F2F2"/>
            <w:tcMar>
              <w:top w:w="100" w:type="dxa"/>
              <w:left w:w="100" w:type="dxa"/>
              <w:bottom w:w="100" w:type="dxa"/>
              <w:right w:w="100" w:type="dxa"/>
            </w:tcMar>
            <w:vAlign w:val="top"/>
          </w:tcPr>
          <w:p w14:paraId="66237CAE">
            <w:pPr>
              <w:jc w:val="left"/>
            </w:pPr>
            <w:r>
              <w:rPr>
                <w:rFonts w:ascii="微软雅黑" w:hAnsi="微软雅黑" w:eastAsia="微软雅黑" w:cs="微软雅黑"/>
                <w:color w:val="000000"/>
                <w:sz w:val="24"/>
                <w:szCs w:val="24"/>
              </w:rPr>
              <w:t>使用SaaS的月份数</w:t>
            </w:r>
          </w:p>
        </w:tc>
      </w:tr>
      <w:tr w14:paraId="1F7E0868">
        <w:trPr>
          <w:trHeight w:val="0" w:hRule="atLeast"/>
        </w:trPr>
        <w:tc>
          <w:tcPr>
            <w:shd w:val="clear" w:color="auto" w:fill="FFFFFF"/>
            <w:tcMar>
              <w:top w:w="100" w:type="dxa"/>
              <w:left w:w="100" w:type="dxa"/>
              <w:bottom w:w="100" w:type="dxa"/>
              <w:right w:w="100" w:type="dxa"/>
            </w:tcMar>
            <w:vAlign w:val="top"/>
          </w:tcPr>
          <w:p w14:paraId="4FE6C8EE">
            <w:pPr>
              <w:jc w:val="left"/>
            </w:pPr>
            <w:r>
              <w:rPr>
                <w:rFonts w:ascii="微软雅黑" w:hAnsi="微软雅黑" w:eastAsia="微软雅黑" w:cs="微软雅黑"/>
                <w:color w:val="000000"/>
                <w:sz w:val="24"/>
                <w:szCs w:val="24"/>
              </w:rPr>
              <w:t>稳定性</w:t>
            </w:r>
          </w:p>
        </w:tc>
        <w:tc>
          <w:tcPr>
            <w:shd w:val="clear" w:color="auto" w:fill="FFFFFF"/>
            <w:tcMar>
              <w:top w:w="100" w:type="dxa"/>
              <w:left w:w="100" w:type="dxa"/>
              <w:bottom w:w="100" w:type="dxa"/>
              <w:right w:w="100" w:type="dxa"/>
            </w:tcMar>
            <w:vAlign w:val="top"/>
          </w:tcPr>
          <w:p w14:paraId="5D59646C">
            <w:pPr>
              <w:jc w:val="left"/>
            </w:pPr>
            <w:r>
              <w:rPr>
                <w:rFonts w:ascii="微软雅黑" w:hAnsi="微软雅黑" w:eastAsia="微软雅黑" w:cs="微软雅黑"/>
                <w:color w:val="000000"/>
                <w:sz w:val="24"/>
                <w:szCs w:val="24"/>
              </w:rPr>
              <w:t>月均订单数</w:t>
            </w:r>
          </w:p>
        </w:tc>
        <w:tc>
          <w:tcPr>
            <w:shd w:val="clear" w:color="auto" w:fill="FFFFFF"/>
            <w:tcMar>
              <w:top w:w="100" w:type="dxa"/>
              <w:left w:w="100" w:type="dxa"/>
              <w:bottom w:w="100" w:type="dxa"/>
              <w:right w:w="100" w:type="dxa"/>
            </w:tcMar>
            <w:vAlign w:val="top"/>
          </w:tcPr>
          <w:p w14:paraId="76499D8F">
            <w:pPr>
              <w:jc w:val="left"/>
            </w:pPr>
            <w:r>
              <w:rPr>
                <w:rFonts w:ascii="微软雅黑" w:hAnsi="微软雅黑" w:eastAsia="微软雅黑" w:cs="微软雅黑"/>
                <w:color w:val="000000"/>
                <w:sz w:val="24"/>
                <w:szCs w:val="24"/>
              </w:rPr>
              <w:t>近3个月平均订单笔数</w:t>
            </w:r>
          </w:p>
        </w:tc>
      </w:tr>
      <w:tr w14:paraId="6D8D2565">
        <w:trPr>
          <w:trHeight w:val="0" w:hRule="atLeast"/>
        </w:trPr>
        <w:tc>
          <w:tcPr>
            <w:shd w:val="clear" w:color="auto" w:fill="F2F2F2"/>
            <w:tcMar>
              <w:top w:w="100" w:type="dxa"/>
              <w:left w:w="100" w:type="dxa"/>
              <w:bottom w:w="100" w:type="dxa"/>
              <w:right w:w="100" w:type="dxa"/>
            </w:tcMar>
            <w:vAlign w:val="top"/>
          </w:tcPr>
          <w:p w14:paraId="198062A1">
            <w:pPr>
              <w:jc w:val="left"/>
            </w:pPr>
            <w:r>
              <w:rPr>
                <w:rFonts w:ascii="微软雅黑" w:hAnsi="微软雅黑" w:eastAsia="微软雅黑" w:cs="微软雅黑"/>
                <w:color w:val="000000"/>
                <w:sz w:val="24"/>
                <w:szCs w:val="24"/>
              </w:rPr>
              <w:t>销售额</w:t>
            </w:r>
          </w:p>
        </w:tc>
        <w:tc>
          <w:tcPr>
            <w:shd w:val="clear" w:color="auto" w:fill="F2F2F2"/>
            <w:tcMar>
              <w:top w:w="100" w:type="dxa"/>
              <w:left w:w="100" w:type="dxa"/>
              <w:bottom w:w="100" w:type="dxa"/>
              <w:right w:w="100" w:type="dxa"/>
            </w:tcMar>
            <w:vAlign w:val="top"/>
          </w:tcPr>
          <w:p w14:paraId="783C4F34">
            <w:pPr>
              <w:jc w:val="left"/>
            </w:pPr>
            <w:r>
              <w:rPr>
                <w:rFonts w:ascii="微软雅黑" w:hAnsi="微软雅黑" w:eastAsia="微软雅黑" w:cs="微软雅黑"/>
                <w:color w:val="000000"/>
                <w:sz w:val="24"/>
                <w:szCs w:val="24"/>
              </w:rPr>
              <w:t>月均销售额</w:t>
            </w:r>
          </w:p>
        </w:tc>
        <w:tc>
          <w:tcPr>
            <w:shd w:val="clear" w:color="auto" w:fill="F2F2F2"/>
            <w:tcMar>
              <w:top w:w="100" w:type="dxa"/>
              <w:left w:w="100" w:type="dxa"/>
              <w:bottom w:w="100" w:type="dxa"/>
              <w:right w:w="100" w:type="dxa"/>
            </w:tcMar>
            <w:vAlign w:val="top"/>
          </w:tcPr>
          <w:p w14:paraId="18C16845">
            <w:pPr>
              <w:jc w:val="left"/>
            </w:pPr>
            <w:r>
              <w:rPr>
                <w:rFonts w:ascii="微软雅黑" w:hAnsi="微软雅黑" w:eastAsia="微软雅黑" w:cs="微软雅黑"/>
                <w:color w:val="000000"/>
                <w:sz w:val="24"/>
                <w:szCs w:val="24"/>
              </w:rPr>
              <w:t>近3个月平均销售额</w:t>
            </w:r>
          </w:p>
        </w:tc>
      </w:tr>
      <w:tr w14:paraId="155802CE">
        <w:trPr>
          <w:trHeight w:val="0" w:hRule="atLeast"/>
        </w:trPr>
        <w:tc>
          <w:tcPr>
            <w:shd w:val="clear" w:color="auto" w:fill="FFFFFF"/>
            <w:tcMar>
              <w:top w:w="100" w:type="dxa"/>
              <w:left w:w="100" w:type="dxa"/>
              <w:bottom w:w="100" w:type="dxa"/>
              <w:right w:w="100" w:type="dxa"/>
            </w:tcMar>
            <w:vAlign w:val="top"/>
          </w:tcPr>
          <w:p w14:paraId="76003E9E">
            <w:pPr>
              <w:jc w:val="left"/>
            </w:pPr>
            <w:r>
              <w:rPr>
                <w:rFonts w:ascii="微软雅黑" w:hAnsi="微软雅黑" w:eastAsia="微软雅黑" w:cs="微软雅黑"/>
                <w:color w:val="000000"/>
                <w:sz w:val="24"/>
                <w:szCs w:val="24"/>
              </w:rPr>
              <w:t>客户质量</w:t>
            </w:r>
          </w:p>
        </w:tc>
        <w:tc>
          <w:tcPr>
            <w:shd w:val="clear" w:color="auto" w:fill="FFFFFF"/>
            <w:tcMar>
              <w:top w:w="100" w:type="dxa"/>
              <w:left w:w="100" w:type="dxa"/>
              <w:bottom w:w="100" w:type="dxa"/>
              <w:right w:w="100" w:type="dxa"/>
            </w:tcMar>
            <w:vAlign w:val="top"/>
          </w:tcPr>
          <w:p w14:paraId="2CAABBE5">
            <w:pPr>
              <w:jc w:val="left"/>
            </w:pPr>
            <w:r>
              <w:rPr>
                <w:rFonts w:ascii="微软雅黑" w:hAnsi="微软雅黑" w:eastAsia="微软雅黑" w:cs="微软雅黑"/>
                <w:color w:val="000000"/>
                <w:sz w:val="24"/>
                <w:szCs w:val="24"/>
              </w:rPr>
              <w:t>前五大客户占比</w:t>
            </w:r>
          </w:p>
        </w:tc>
        <w:tc>
          <w:tcPr>
            <w:shd w:val="clear" w:color="auto" w:fill="FFFFFF"/>
            <w:tcMar>
              <w:top w:w="100" w:type="dxa"/>
              <w:left w:w="100" w:type="dxa"/>
              <w:bottom w:w="100" w:type="dxa"/>
              <w:right w:w="100" w:type="dxa"/>
            </w:tcMar>
            <w:vAlign w:val="top"/>
          </w:tcPr>
          <w:p w14:paraId="04743569">
            <w:pPr>
              <w:jc w:val="left"/>
            </w:pPr>
            <w:r>
              <w:rPr>
                <w:rFonts w:ascii="微软雅黑" w:hAnsi="微软雅黑" w:eastAsia="微软雅黑" w:cs="微软雅黑"/>
                <w:color w:val="000000"/>
                <w:sz w:val="24"/>
                <w:szCs w:val="24"/>
              </w:rPr>
              <w:t>销售额集中度</w:t>
            </w:r>
          </w:p>
        </w:tc>
      </w:tr>
      <w:tr w14:paraId="357206B3">
        <w:trPr>
          <w:trHeight w:val="0" w:hRule="atLeast"/>
        </w:trPr>
        <w:tc>
          <w:tcPr>
            <w:shd w:val="clear" w:color="auto" w:fill="F2F2F2"/>
            <w:tcMar>
              <w:top w:w="100" w:type="dxa"/>
              <w:left w:w="100" w:type="dxa"/>
              <w:bottom w:w="100" w:type="dxa"/>
              <w:right w:w="100" w:type="dxa"/>
            </w:tcMar>
            <w:vAlign w:val="top"/>
          </w:tcPr>
          <w:p w14:paraId="6B78E4A0">
            <w:pPr>
              <w:jc w:val="left"/>
            </w:pPr>
            <w:r>
              <w:rPr>
                <w:rFonts w:ascii="微软雅黑" w:hAnsi="微软雅黑" w:eastAsia="微软雅黑" w:cs="微软雅黑"/>
                <w:color w:val="000000"/>
                <w:sz w:val="24"/>
                <w:szCs w:val="24"/>
              </w:rPr>
              <w:t>周转</w:t>
            </w:r>
          </w:p>
        </w:tc>
        <w:tc>
          <w:tcPr>
            <w:shd w:val="clear" w:color="auto" w:fill="F2F2F2"/>
            <w:tcMar>
              <w:top w:w="100" w:type="dxa"/>
              <w:left w:w="100" w:type="dxa"/>
              <w:bottom w:w="100" w:type="dxa"/>
              <w:right w:w="100" w:type="dxa"/>
            </w:tcMar>
            <w:vAlign w:val="top"/>
          </w:tcPr>
          <w:p w14:paraId="7C6A9BB8">
            <w:pPr>
              <w:jc w:val="left"/>
            </w:pPr>
            <w:r>
              <w:rPr>
                <w:rFonts w:ascii="微软雅黑" w:hAnsi="微软雅黑" w:eastAsia="微软雅黑" w:cs="微软雅黑"/>
                <w:color w:val="000000"/>
                <w:sz w:val="24"/>
                <w:szCs w:val="24"/>
              </w:rPr>
              <w:t>订单波动率</w:t>
            </w:r>
          </w:p>
        </w:tc>
        <w:tc>
          <w:tcPr>
            <w:shd w:val="clear" w:color="auto" w:fill="F2F2F2"/>
            <w:tcMar>
              <w:top w:w="100" w:type="dxa"/>
              <w:left w:w="100" w:type="dxa"/>
              <w:bottom w:w="100" w:type="dxa"/>
              <w:right w:w="100" w:type="dxa"/>
            </w:tcMar>
            <w:vAlign w:val="top"/>
          </w:tcPr>
          <w:p w14:paraId="5B2D353F">
            <w:pPr>
              <w:jc w:val="left"/>
            </w:pPr>
            <w:r>
              <w:rPr>
                <w:rFonts w:ascii="微软雅黑" w:hAnsi="微软雅黑" w:eastAsia="微软雅黑" w:cs="微软雅黑"/>
                <w:color w:val="000000"/>
                <w:sz w:val="24"/>
                <w:szCs w:val="24"/>
              </w:rPr>
              <w:t>销售额标准差/均值</w:t>
            </w:r>
          </w:p>
        </w:tc>
      </w:tr>
      <w:tr w14:paraId="03E7ABDA">
        <w:trPr>
          <w:trHeight w:val="0" w:hRule="atLeast"/>
        </w:trPr>
        <w:tc>
          <w:tcPr>
            <w:shd w:val="clear" w:color="auto" w:fill="FFFFFF"/>
            <w:tcMar>
              <w:top w:w="100" w:type="dxa"/>
              <w:left w:w="100" w:type="dxa"/>
              <w:bottom w:w="100" w:type="dxa"/>
              <w:right w:w="100" w:type="dxa"/>
            </w:tcMar>
            <w:vAlign w:val="top"/>
          </w:tcPr>
          <w:p w14:paraId="7766111A">
            <w:pPr>
              <w:jc w:val="left"/>
            </w:pPr>
            <w:r>
              <w:rPr>
                <w:rFonts w:ascii="微软雅黑" w:hAnsi="微软雅黑" w:eastAsia="微软雅黑" w:cs="微软雅黑"/>
                <w:color w:val="000000"/>
                <w:sz w:val="24"/>
                <w:szCs w:val="24"/>
              </w:rPr>
              <w:t>坏账</w:t>
            </w:r>
          </w:p>
        </w:tc>
        <w:tc>
          <w:tcPr>
            <w:shd w:val="clear" w:color="auto" w:fill="FFFFFF"/>
            <w:tcMar>
              <w:top w:w="100" w:type="dxa"/>
              <w:left w:w="100" w:type="dxa"/>
              <w:bottom w:w="100" w:type="dxa"/>
              <w:right w:w="100" w:type="dxa"/>
            </w:tcMar>
            <w:vAlign w:val="top"/>
          </w:tcPr>
          <w:p w14:paraId="2E6F820B">
            <w:pPr>
              <w:jc w:val="left"/>
            </w:pPr>
            <w:r>
              <w:rPr>
                <w:rFonts w:ascii="微软雅黑" w:hAnsi="微软雅黑" w:eastAsia="微软雅黑" w:cs="微软雅黑"/>
                <w:color w:val="000000"/>
                <w:sz w:val="24"/>
                <w:szCs w:val="24"/>
              </w:rPr>
              <w:t>历史坏账率</w:t>
            </w:r>
          </w:p>
        </w:tc>
        <w:tc>
          <w:tcPr>
            <w:shd w:val="clear" w:color="auto" w:fill="FFFFFF"/>
            <w:tcMar>
              <w:top w:w="100" w:type="dxa"/>
              <w:left w:w="100" w:type="dxa"/>
              <w:bottom w:w="100" w:type="dxa"/>
              <w:right w:w="100" w:type="dxa"/>
            </w:tcMar>
            <w:vAlign w:val="top"/>
          </w:tcPr>
          <w:p w14:paraId="7D4DA516">
            <w:pPr>
              <w:jc w:val="left"/>
            </w:pPr>
            <w:r>
              <w:rPr>
                <w:rFonts w:ascii="微软雅黑" w:hAnsi="微软雅黑" w:eastAsia="微软雅黑" w:cs="微软雅黑"/>
                <w:color w:val="000000"/>
                <w:sz w:val="24"/>
                <w:szCs w:val="24"/>
              </w:rPr>
              <w:t>SaaS内记录的不良订单比例</w:t>
            </w:r>
          </w:p>
        </w:tc>
      </w:tr>
      <w:tr w14:paraId="7CA56287">
        <w:trPr>
          <w:trHeight w:val="0" w:hRule="atLeast"/>
        </w:trPr>
        <w:tc>
          <w:tcPr>
            <w:shd w:val="clear" w:color="auto" w:fill="F2F2F2"/>
            <w:tcMar>
              <w:top w:w="100" w:type="dxa"/>
              <w:left w:w="100" w:type="dxa"/>
              <w:bottom w:w="100" w:type="dxa"/>
              <w:right w:w="100" w:type="dxa"/>
            </w:tcMar>
            <w:vAlign w:val="top"/>
          </w:tcPr>
          <w:p w14:paraId="2BA77F33">
            <w:pPr>
              <w:jc w:val="left"/>
            </w:pPr>
            <w:r>
              <w:rPr>
                <w:rFonts w:ascii="微软雅黑" w:hAnsi="微软雅黑" w:eastAsia="微软雅黑" w:cs="微软雅黑"/>
                <w:color w:val="000000"/>
                <w:sz w:val="24"/>
                <w:szCs w:val="24"/>
              </w:rPr>
              <w:t>回款</w:t>
            </w:r>
          </w:p>
        </w:tc>
        <w:tc>
          <w:tcPr>
            <w:shd w:val="clear" w:color="auto" w:fill="F2F2F2"/>
            <w:tcMar>
              <w:top w:w="100" w:type="dxa"/>
              <w:left w:w="100" w:type="dxa"/>
              <w:bottom w:w="100" w:type="dxa"/>
              <w:right w:w="100" w:type="dxa"/>
            </w:tcMar>
            <w:vAlign w:val="top"/>
          </w:tcPr>
          <w:p w14:paraId="3C9B1B79">
            <w:pPr>
              <w:jc w:val="left"/>
            </w:pPr>
            <w:r>
              <w:rPr>
                <w:rFonts w:ascii="微软雅黑" w:hAnsi="微软雅黑" w:eastAsia="微软雅黑" w:cs="微软雅黑"/>
                <w:color w:val="000000"/>
                <w:sz w:val="24"/>
                <w:szCs w:val="24"/>
              </w:rPr>
              <w:t>平均回款周期</w:t>
            </w:r>
          </w:p>
        </w:tc>
        <w:tc>
          <w:tcPr>
            <w:shd w:val="clear" w:color="auto" w:fill="F2F2F2"/>
            <w:tcMar>
              <w:top w:w="100" w:type="dxa"/>
              <w:left w:w="100" w:type="dxa"/>
              <w:bottom w:w="100" w:type="dxa"/>
              <w:right w:w="100" w:type="dxa"/>
            </w:tcMar>
            <w:vAlign w:val="top"/>
          </w:tcPr>
          <w:p w14:paraId="40F84191">
            <w:pPr>
              <w:jc w:val="left"/>
            </w:pPr>
            <w:r>
              <w:rPr>
                <w:rFonts w:ascii="微软雅黑" w:hAnsi="微软雅黑" w:eastAsia="微软雅黑" w:cs="微软雅黑"/>
                <w:color w:val="000000"/>
                <w:sz w:val="24"/>
                <w:szCs w:val="24"/>
              </w:rPr>
              <w:t>从发货到收款的平均天数</w:t>
            </w:r>
          </w:p>
        </w:tc>
      </w:tr>
      <w:tr w14:paraId="0577AF4F">
        <w:trPr>
          <w:trHeight w:val="0" w:hRule="atLeast"/>
        </w:trPr>
        <w:tc>
          <w:tcPr>
            <w:shd w:val="clear" w:color="auto" w:fill="FFFFFF"/>
            <w:tcMar>
              <w:top w:w="100" w:type="dxa"/>
              <w:left w:w="100" w:type="dxa"/>
              <w:bottom w:w="100" w:type="dxa"/>
              <w:right w:w="100" w:type="dxa"/>
            </w:tcMar>
            <w:vAlign w:val="top"/>
          </w:tcPr>
          <w:p w14:paraId="5C5F8FB3">
            <w:pPr>
              <w:jc w:val="left"/>
            </w:pPr>
            <w:r>
              <w:rPr>
                <w:rFonts w:ascii="微软雅黑" w:hAnsi="微软雅黑" w:eastAsia="微软雅黑" w:cs="微软雅黑"/>
                <w:color w:val="000000"/>
                <w:sz w:val="24"/>
                <w:szCs w:val="24"/>
              </w:rPr>
              <w:t>活跃度</w:t>
            </w:r>
          </w:p>
        </w:tc>
        <w:tc>
          <w:tcPr>
            <w:shd w:val="clear" w:color="auto" w:fill="FFFFFF"/>
            <w:tcMar>
              <w:top w:w="100" w:type="dxa"/>
              <w:left w:w="100" w:type="dxa"/>
              <w:bottom w:w="100" w:type="dxa"/>
              <w:right w:w="100" w:type="dxa"/>
            </w:tcMar>
            <w:vAlign w:val="top"/>
          </w:tcPr>
          <w:p w14:paraId="4603CB73">
            <w:pPr>
              <w:jc w:val="left"/>
            </w:pPr>
            <w:r>
              <w:rPr>
                <w:rFonts w:ascii="微软雅黑" w:hAnsi="微软雅黑" w:eastAsia="微软雅黑" w:cs="微软雅黑"/>
                <w:color w:val="000000"/>
                <w:sz w:val="24"/>
                <w:szCs w:val="24"/>
              </w:rPr>
              <w:t>最近一次登录天数</w:t>
            </w:r>
          </w:p>
        </w:tc>
        <w:tc>
          <w:tcPr>
            <w:shd w:val="clear" w:color="auto" w:fill="FFFFFF"/>
            <w:tcMar>
              <w:top w:w="100" w:type="dxa"/>
              <w:left w:w="100" w:type="dxa"/>
              <w:bottom w:w="100" w:type="dxa"/>
              <w:right w:w="100" w:type="dxa"/>
            </w:tcMar>
            <w:vAlign w:val="top"/>
          </w:tcPr>
          <w:p w14:paraId="7E1207BE">
            <w:pPr>
              <w:jc w:val="left"/>
            </w:pPr>
            <w:r>
              <w:rPr>
                <w:rFonts w:ascii="微软雅黑" w:hAnsi="微软雅黑" w:eastAsia="微软雅黑" w:cs="微软雅黑"/>
                <w:color w:val="000000"/>
                <w:sz w:val="24"/>
                <w:szCs w:val="24"/>
              </w:rPr>
              <w:t>反映租户活跃度</w:t>
            </w:r>
          </w:p>
        </w:tc>
      </w:tr>
    </w:tbl>
    <w:p w14:paraId="18D68304">
      <w:pPr>
        <w:pStyle w:val="4"/>
        <w:spacing w:before="240" w:after="120" w:line="360" w:lineRule="auto"/>
      </w:pPr>
      <w:r>
        <w:rPr>
          <w:rFonts w:ascii="微软雅黑" w:hAnsi="微软雅黑" w:eastAsia="微软雅黑" w:cs="微软雅黑"/>
          <w:b/>
          <w:bCs/>
          <w:color w:val="000000"/>
          <w:sz w:val="28"/>
          <w:szCs w:val="28"/>
        </w:rPr>
        <w:t>6.2 模型算法选择</w:t>
      </w:r>
    </w:p>
    <w:p w14:paraId="10F15F05">
      <w:pPr>
        <w:ind w:left="720" w:hanging="360"/>
      </w:pPr>
      <w:r>
        <w:rPr>
          <w:rFonts w:ascii="微软雅黑" w:hAnsi="微软雅黑" w:eastAsia="微软雅黑" w:cs="微软雅黑"/>
          <w:sz w:val="24"/>
          <w:szCs w:val="24"/>
        </w:rPr>
        <w:t>• 初期采用逻辑回归（可解释性强，便于向银行解释）</w:t>
      </w:r>
    </w:p>
    <w:p w14:paraId="427109A6">
      <w:pPr>
        <w:ind w:left="720" w:hanging="360"/>
      </w:pPr>
      <w:r>
        <w:rPr>
          <w:rFonts w:ascii="微软雅黑" w:hAnsi="微软雅黑" w:eastAsia="微软雅黑" w:cs="微软雅黑"/>
          <w:sz w:val="24"/>
          <w:szCs w:val="24"/>
        </w:rPr>
        <w:t>• 数据量充足后可尝试XGBoost提升区分度</w:t>
      </w:r>
    </w:p>
    <w:p w14:paraId="558E0A11">
      <w:pPr>
        <w:pStyle w:val="4"/>
        <w:spacing w:before="240" w:after="120" w:line="360" w:lineRule="auto"/>
      </w:pPr>
      <w:r>
        <w:rPr>
          <w:rFonts w:ascii="微软雅黑" w:hAnsi="微软雅黑" w:eastAsia="微软雅黑" w:cs="微软雅黑"/>
          <w:b/>
          <w:bCs/>
          <w:color w:val="000000"/>
          <w:sz w:val="28"/>
          <w:szCs w:val="28"/>
        </w:rPr>
        <w:t>6.3 训练与验证方法</w:t>
      </w:r>
    </w:p>
    <w:p w14:paraId="7D6103E1">
      <w:pPr>
        <w:ind w:left="720" w:hanging="360"/>
      </w:pPr>
      <w:r>
        <w:rPr>
          <w:rFonts w:ascii="微软雅黑" w:hAnsi="微软雅黑" w:eastAsia="微软雅黑" w:cs="微软雅黑"/>
          <w:sz w:val="24"/>
          <w:szCs w:val="24"/>
        </w:rPr>
        <w:t>• 样本：使用SaaS历史租户数据，定义好坏标签（如逾期&gt;30天为坏）</w:t>
      </w:r>
    </w:p>
    <w:p w14:paraId="74508F2E">
      <w:pPr>
        <w:ind w:left="720" w:hanging="360"/>
      </w:pPr>
      <w:r>
        <w:rPr>
          <w:rFonts w:ascii="微软雅黑" w:hAnsi="微软雅黑" w:eastAsia="微软雅黑" w:cs="微软雅黑"/>
          <w:sz w:val="24"/>
          <w:szCs w:val="24"/>
        </w:rPr>
        <w:t>• 划分训练集/验证集（7:3）</w:t>
      </w:r>
    </w:p>
    <w:p w14:paraId="5236FC63">
      <w:pPr>
        <w:ind w:left="720" w:hanging="360"/>
      </w:pPr>
      <w:r>
        <w:rPr>
          <w:rFonts w:ascii="微软雅黑" w:hAnsi="微软雅黑" w:eastAsia="微软雅黑" w:cs="微软雅黑"/>
          <w:sz w:val="24"/>
          <w:szCs w:val="24"/>
        </w:rPr>
        <w:t>• 交叉验证调参</w:t>
      </w:r>
    </w:p>
    <w:p w14:paraId="61580B4F">
      <w:pPr>
        <w:ind w:left="720" w:hanging="360"/>
      </w:pPr>
      <w:r>
        <w:rPr>
          <w:rFonts w:ascii="微软雅黑" w:hAnsi="微软雅黑" w:eastAsia="微软雅黑" w:cs="微软雅黑"/>
          <w:sz w:val="24"/>
          <w:szCs w:val="24"/>
        </w:rPr>
        <w:t>• 评估指标：KS、AUC、混淆矩阵</w:t>
      </w:r>
    </w:p>
    <w:p w14:paraId="28B791CA">
      <w:pPr>
        <w:pStyle w:val="4"/>
        <w:spacing w:before="240" w:after="120" w:line="360" w:lineRule="auto"/>
      </w:pPr>
      <w:r>
        <w:rPr>
          <w:rFonts w:ascii="微软雅黑" w:hAnsi="微软雅黑" w:eastAsia="微软雅黑" w:cs="微软雅黑"/>
          <w:b/>
          <w:bCs/>
          <w:color w:val="000000"/>
          <w:sz w:val="28"/>
          <w:szCs w:val="28"/>
        </w:rPr>
        <w:t>6.4 评分卡输出与额度映射</w:t>
      </w:r>
    </w:p>
    <w:p w14:paraId="6E50AE1F">
      <w:pPr>
        <w:ind w:left="720" w:hanging="360"/>
      </w:pPr>
      <w:r>
        <w:rPr>
          <w:rFonts w:ascii="微软雅黑" w:hAnsi="微软雅黑" w:eastAsia="微软雅黑" w:cs="微软雅黑"/>
          <w:sz w:val="24"/>
          <w:szCs w:val="24"/>
        </w:rPr>
        <w:t>• 将模型概率转换为信用评分（如300-900分）</w:t>
      </w:r>
    </w:p>
    <w:p w14:paraId="5D61D6FA">
      <w:pPr>
        <w:ind w:left="720" w:hanging="360"/>
      </w:pPr>
      <w:r>
        <w:rPr>
          <w:rFonts w:ascii="微软雅黑" w:hAnsi="微软雅黑" w:eastAsia="微软雅黑" w:cs="微软雅黑"/>
          <w:sz w:val="24"/>
          <w:szCs w:val="24"/>
        </w:rPr>
        <w:t>• 根据评分区间映射预授信额度（例如：700分以上为基础月销售额的30%）</w:t>
      </w:r>
    </w:p>
    <w:p w14:paraId="3A2FF772">
      <w:pPr>
        <w:ind w:left="720" w:hanging="360"/>
      </w:pPr>
      <w:r>
        <w:rPr>
          <w:rFonts w:ascii="微软雅黑" w:hAnsi="微软雅黑" w:eastAsia="微软雅黑" w:cs="微软雅黑"/>
          <w:sz w:val="24"/>
          <w:szCs w:val="24"/>
        </w:rPr>
        <w:t>• 结合银行风控规则进行终审调整</w:t>
      </w:r>
    </w:p>
    <w:p w14:paraId="426C44FF">
      <w:pPr>
        <w:pBdr>
          <w:bottom w:val="single" w:color="999999" w:sz="2" w:space="0"/>
        </w:pBdr>
        <w:spacing w:before="240" w:after="240"/>
      </w:pPr>
    </w:p>
    <w:p w14:paraId="02E6E9D4">
      <w:pPr>
        <w:pStyle w:val="3"/>
        <w:spacing w:before="240" w:after="120" w:line="360" w:lineRule="auto"/>
      </w:pPr>
      <w:r>
        <w:rPr>
          <w:rFonts w:ascii="微软雅黑" w:hAnsi="微软雅黑" w:eastAsia="微软雅黑" w:cs="微软雅黑"/>
          <w:b/>
          <w:bCs/>
          <w:color w:val="000000"/>
          <w:sz w:val="32"/>
          <w:szCs w:val="32"/>
        </w:rPr>
        <w:t>7. 试点执行计划</w:t>
      </w:r>
    </w:p>
    <w:p w14:paraId="42F6B040">
      <w:pPr>
        <w:pStyle w:val="4"/>
        <w:spacing w:before="240" w:after="120" w:line="360" w:lineRule="auto"/>
      </w:pPr>
      <w:r>
        <w:rPr>
          <w:rFonts w:ascii="微软雅黑" w:hAnsi="微软雅黑" w:eastAsia="微软雅黑" w:cs="微软雅黑"/>
          <w:b/>
          <w:bCs/>
          <w:color w:val="000000"/>
          <w:sz w:val="28"/>
          <w:szCs w:val="28"/>
        </w:rPr>
        <w:t>7.1 试点目标</w:t>
      </w:r>
    </w:p>
    <w:p w14:paraId="3F4527D6">
      <w:pPr>
        <w:ind w:left="720" w:hanging="360"/>
      </w:pPr>
      <w:r>
        <w:rPr>
          <w:rFonts w:ascii="微软雅黑" w:hAnsi="微软雅黑" w:eastAsia="微软雅黑" w:cs="微软雅黑"/>
          <w:sz w:val="24"/>
          <w:szCs w:val="24"/>
        </w:rPr>
        <w:t>• 完成1-2家资金方、3-5家核心租户的全流程闭环验证</w:t>
      </w:r>
    </w:p>
    <w:p w14:paraId="572CF487">
      <w:pPr>
        <w:ind w:left="720" w:hanging="360"/>
      </w:pPr>
      <w:r>
        <w:rPr>
          <w:rFonts w:ascii="微软雅黑" w:hAnsi="微软雅黑" w:eastAsia="微软雅黑" w:cs="微软雅黑"/>
          <w:sz w:val="24"/>
          <w:szCs w:val="24"/>
        </w:rPr>
        <w:t>• 验证系统稳定性、风控有效性、用户体验</w:t>
      </w:r>
    </w:p>
    <w:p w14:paraId="1E331BC5">
      <w:pPr>
        <w:ind w:left="720" w:hanging="360"/>
      </w:pPr>
      <w:r>
        <w:rPr>
          <w:rFonts w:ascii="微软雅黑" w:hAnsi="微软雅黑" w:eastAsia="微软雅黑" w:cs="微软雅黑"/>
          <w:sz w:val="24"/>
          <w:szCs w:val="24"/>
        </w:rPr>
        <w:t>• 收集数据优化模型与流程</w:t>
      </w:r>
    </w:p>
    <w:p w14:paraId="1B024366">
      <w:pPr>
        <w:pStyle w:val="4"/>
        <w:spacing w:before="240" w:after="120" w:line="360" w:lineRule="auto"/>
      </w:pPr>
      <w:r>
        <w:rPr>
          <w:rFonts w:ascii="微软雅黑" w:hAnsi="微软雅黑" w:eastAsia="微软雅黑" w:cs="微软雅黑"/>
          <w:b/>
          <w:bCs/>
          <w:color w:val="000000"/>
          <w:sz w:val="28"/>
          <w:szCs w:val="28"/>
        </w:rPr>
        <w:t>7.2 时间表（1-2个月）</w:t>
      </w:r>
    </w:p>
    <w:tbl>
      <w:tblPr>
        <w:tblStyle w:val="10"/>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946"/>
        <w:gridCol w:w="1372"/>
        <w:gridCol w:w="6186"/>
      </w:tblGrid>
      <w:tr w14:paraId="3C11E071">
        <w:trPr>
          <w:trHeight w:val="0" w:hRule="atLeast"/>
        </w:trPr>
        <w:tc>
          <w:tcPr>
            <w:shd w:val="clear" w:color="auto" w:fill="DDDDDD"/>
            <w:tcMar>
              <w:top w:w="100" w:type="dxa"/>
              <w:left w:w="100" w:type="dxa"/>
              <w:bottom w:w="100" w:type="dxa"/>
              <w:right w:w="100" w:type="dxa"/>
            </w:tcMar>
            <w:vAlign w:val="top"/>
          </w:tcPr>
          <w:p w14:paraId="4A9829FE">
            <w:pPr>
              <w:jc w:val="left"/>
            </w:pPr>
            <w:r>
              <w:rPr>
                <w:rFonts w:ascii="微软雅黑" w:hAnsi="微软雅黑" w:eastAsia="微软雅黑" w:cs="微软雅黑"/>
                <w:color w:val="000000"/>
                <w:sz w:val="24"/>
                <w:szCs w:val="24"/>
              </w:rPr>
              <w:t>阶段</w:t>
            </w:r>
          </w:p>
        </w:tc>
        <w:tc>
          <w:tcPr>
            <w:shd w:val="clear" w:color="auto" w:fill="DDDDDD"/>
            <w:tcMar>
              <w:top w:w="100" w:type="dxa"/>
              <w:left w:w="100" w:type="dxa"/>
              <w:bottom w:w="100" w:type="dxa"/>
              <w:right w:w="100" w:type="dxa"/>
            </w:tcMar>
            <w:vAlign w:val="top"/>
          </w:tcPr>
          <w:p w14:paraId="43237633">
            <w:pPr>
              <w:jc w:val="left"/>
            </w:pPr>
            <w:r>
              <w:rPr>
                <w:rFonts w:ascii="微软雅黑" w:hAnsi="微软雅黑" w:eastAsia="微软雅黑" w:cs="微软雅黑"/>
                <w:color w:val="000000"/>
                <w:sz w:val="24"/>
                <w:szCs w:val="24"/>
              </w:rPr>
              <w:t>时间</w:t>
            </w:r>
          </w:p>
        </w:tc>
        <w:tc>
          <w:tcPr>
            <w:shd w:val="clear" w:color="auto" w:fill="DDDDDD"/>
            <w:tcMar>
              <w:top w:w="100" w:type="dxa"/>
              <w:left w:w="100" w:type="dxa"/>
              <w:bottom w:w="100" w:type="dxa"/>
              <w:right w:w="100" w:type="dxa"/>
            </w:tcMar>
            <w:vAlign w:val="top"/>
          </w:tcPr>
          <w:p w14:paraId="09C3FE06">
            <w:pPr>
              <w:jc w:val="left"/>
            </w:pPr>
            <w:r>
              <w:rPr>
                <w:rFonts w:ascii="微软雅黑" w:hAnsi="微软雅黑" w:eastAsia="微软雅黑" w:cs="微软雅黑"/>
                <w:color w:val="000000"/>
                <w:sz w:val="24"/>
                <w:szCs w:val="24"/>
              </w:rPr>
              <w:t>关键任务</w:t>
            </w:r>
          </w:p>
        </w:tc>
      </w:tr>
      <w:tr w14:paraId="28E1ADC1">
        <w:trPr>
          <w:trHeight w:val="0" w:hRule="atLeast"/>
        </w:trPr>
        <w:tc>
          <w:tcPr>
            <w:shd w:val="clear" w:color="auto" w:fill="F2F2F2"/>
            <w:tcMar>
              <w:top w:w="100" w:type="dxa"/>
              <w:left w:w="100" w:type="dxa"/>
              <w:bottom w:w="100" w:type="dxa"/>
              <w:right w:w="100" w:type="dxa"/>
            </w:tcMar>
            <w:vAlign w:val="top"/>
          </w:tcPr>
          <w:p w14:paraId="38717B92">
            <w:pPr>
              <w:jc w:val="left"/>
            </w:pPr>
            <w:r>
              <w:rPr>
                <w:rFonts w:ascii="微软雅黑" w:hAnsi="微软雅黑" w:eastAsia="微软雅黑" w:cs="微软雅黑"/>
                <w:color w:val="000000"/>
                <w:sz w:val="24"/>
                <w:szCs w:val="24"/>
              </w:rPr>
              <w:t>准备周</w:t>
            </w:r>
          </w:p>
        </w:tc>
        <w:tc>
          <w:tcPr>
            <w:shd w:val="clear" w:color="auto" w:fill="F2F2F2"/>
            <w:tcMar>
              <w:top w:w="100" w:type="dxa"/>
              <w:left w:w="100" w:type="dxa"/>
              <w:bottom w:w="100" w:type="dxa"/>
              <w:right w:w="100" w:type="dxa"/>
            </w:tcMar>
            <w:vAlign w:val="top"/>
          </w:tcPr>
          <w:p w14:paraId="37DF4597">
            <w:pPr>
              <w:jc w:val="left"/>
            </w:pPr>
            <w:r>
              <w:rPr>
                <w:rFonts w:ascii="微软雅黑" w:hAnsi="微软雅黑" w:eastAsia="微软雅黑" w:cs="微软雅黑"/>
                <w:color w:val="000000"/>
                <w:sz w:val="24"/>
                <w:szCs w:val="24"/>
              </w:rPr>
              <w:t>第1周</w:t>
            </w:r>
          </w:p>
        </w:tc>
        <w:tc>
          <w:tcPr>
            <w:shd w:val="clear" w:color="auto" w:fill="F2F2F2"/>
            <w:tcMar>
              <w:top w:w="100" w:type="dxa"/>
              <w:left w:w="100" w:type="dxa"/>
              <w:bottom w:w="100" w:type="dxa"/>
              <w:right w:w="100" w:type="dxa"/>
            </w:tcMar>
            <w:vAlign w:val="top"/>
          </w:tcPr>
          <w:p w14:paraId="0EBFB17B">
            <w:pPr>
              <w:jc w:val="left"/>
            </w:pPr>
            <w:r>
              <w:rPr>
                <w:rFonts w:ascii="微软雅黑" w:hAnsi="微软雅黑" w:eastAsia="微软雅黑" w:cs="微软雅黑"/>
                <w:color w:val="000000"/>
                <w:sz w:val="24"/>
                <w:szCs w:val="24"/>
              </w:rPr>
              <w:t>完成与银行协议签署；开发MVP流程；准备测试数据</w:t>
            </w:r>
          </w:p>
        </w:tc>
      </w:tr>
      <w:tr w14:paraId="50BBD2D6">
        <w:trPr>
          <w:trHeight w:val="0" w:hRule="atLeast"/>
        </w:trPr>
        <w:tc>
          <w:tcPr>
            <w:shd w:val="clear" w:color="auto" w:fill="FFFFFF"/>
            <w:tcMar>
              <w:top w:w="100" w:type="dxa"/>
              <w:left w:w="100" w:type="dxa"/>
              <w:bottom w:w="100" w:type="dxa"/>
              <w:right w:w="100" w:type="dxa"/>
            </w:tcMar>
            <w:vAlign w:val="top"/>
          </w:tcPr>
          <w:p w14:paraId="05B4B12F">
            <w:pPr>
              <w:jc w:val="left"/>
            </w:pPr>
            <w:r>
              <w:rPr>
                <w:rFonts w:ascii="微软雅黑" w:hAnsi="微软雅黑" w:eastAsia="微软雅黑" w:cs="微软雅黑"/>
                <w:color w:val="000000"/>
                <w:sz w:val="24"/>
                <w:szCs w:val="24"/>
              </w:rPr>
              <w:t>内测周</w:t>
            </w:r>
          </w:p>
        </w:tc>
        <w:tc>
          <w:tcPr>
            <w:shd w:val="clear" w:color="auto" w:fill="FFFFFF"/>
            <w:tcMar>
              <w:top w:w="100" w:type="dxa"/>
              <w:left w:w="100" w:type="dxa"/>
              <w:bottom w:w="100" w:type="dxa"/>
              <w:right w:w="100" w:type="dxa"/>
            </w:tcMar>
            <w:vAlign w:val="top"/>
          </w:tcPr>
          <w:p w14:paraId="7E7357FB">
            <w:pPr>
              <w:jc w:val="left"/>
            </w:pPr>
            <w:r>
              <w:rPr>
                <w:rFonts w:ascii="微软雅黑" w:hAnsi="微软雅黑" w:eastAsia="微软雅黑" w:cs="微软雅黑"/>
                <w:color w:val="000000"/>
                <w:sz w:val="24"/>
                <w:szCs w:val="24"/>
              </w:rPr>
              <w:t>第2周</w:t>
            </w:r>
          </w:p>
        </w:tc>
        <w:tc>
          <w:tcPr>
            <w:shd w:val="clear" w:color="auto" w:fill="FFFFFF"/>
            <w:tcMar>
              <w:top w:w="100" w:type="dxa"/>
              <w:left w:w="100" w:type="dxa"/>
              <w:bottom w:w="100" w:type="dxa"/>
              <w:right w:w="100" w:type="dxa"/>
            </w:tcMar>
            <w:vAlign w:val="top"/>
          </w:tcPr>
          <w:p w14:paraId="48BF0A7F">
            <w:pPr>
              <w:jc w:val="left"/>
            </w:pPr>
            <w:r>
              <w:rPr>
                <w:rFonts w:ascii="微软雅黑" w:hAnsi="微软雅黑" w:eastAsia="微软雅黑" w:cs="微软雅黑"/>
                <w:color w:val="000000"/>
                <w:sz w:val="24"/>
                <w:szCs w:val="24"/>
              </w:rPr>
              <w:t>邀请3-5家租户参与内测；完成首笔用款与还款测试</w:t>
            </w:r>
          </w:p>
        </w:tc>
      </w:tr>
      <w:tr w14:paraId="4A7BFCB9">
        <w:trPr>
          <w:trHeight w:val="0" w:hRule="atLeast"/>
        </w:trPr>
        <w:tc>
          <w:tcPr>
            <w:shd w:val="clear" w:color="auto" w:fill="F2F2F2"/>
            <w:tcMar>
              <w:top w:w="100" w:type="dxa"/>
              <w:left w:w="100" w:type="dxa"/>
              <w:bottom w:w="100" w:type="dxa"/>
              <w:right w:w="100" w:type="dxa"/>
            </w:tcMar>
            <w:vAlign w:val="top"/>
          </w:tcPr>
          <w:p w14:paraId="78B98D5B">
            <w:pPr>
              <w:jc w:val="left"/>
            </w:pPr>
            <w:r>
              <w:rPr>
                <w:rFonts w:ascii="微软雅黑" w:hAnsi="微软雅黑" w:eastAsia="微软雅黑" w:cs="微软雅黑"/>
                <w:color w:val="000000"/>
                <w:sz w:val="24"/>
                <w:szCs w:val="24"/>
              </w:rPr>
              <w:t>验证周</w:t>
            </w:r>
          </w:p>
        </w:tc>
        <w:tc>
          <w:tcPr>
            <w:shd w:val="clear" w:color="auto" w:fill="F2F2F2"/>
            <w:tcMar>
              <w:top w:w="100" w:type="dxa"/>
              <w:left w:w="100" w:type="dxa"/>
              <w:bottom w:w="100" w:type="dxa"/>
              <w:right w:w="100" w:type="dxa"/>
            </w:tcMar>
            <w:vAlign w:val="top"/>
          </w:tcPr>
          <w:p w14:paraId="78222017">
            <w:pPr>
              <w:jc w:val="left"/>
            </w:pPr>
            <w:r>
              <w:rPr>
                <w:rFonts w:ascii="微软雅黑" w:hAnsi="微软雅黑" w:eastAsia="微软雅黑" w:cs="微软雅黑"/>
                <w:color w:val="000000"/>
                <w:sz w:val="24"/>
                <w:szCs w:val="24"/>
              </w:rPr>
              <w:t>第3-4周</w:t>
            </w:r>
          </w:p>
        </w:tc>
        <w:tc>
          <w:tcPr>
            <w:shd w:val="clear" w:color="auto" w:fill="F2F2F2"/>
            <w:tcMar>
              <w:top w:w="100" w:type="dxa"/>
              <w:left w:w="100" w:type="dxa"/>
              <w:bottom w:w="100" w:type="dxa"/>
              <w:right w:w="100" w:type="dxa"/>
            </w:tcMar>
            <w:vAlign w:val="top"/>
          </w:tcPr>
          <w:p w14:paraId="2502F749">
            <w:pPr>
              <w:jc w:val="left"/>
            </w:pPr>
            <w:r>
              <w:rPr>
                <w:rFonts w:ascii="微软雅黑" w:hAnsi="微软雅黑" w:eastAsia="微软雅黑" w:cs="微软雅黑"/>
                <w:color w:val="000000"/>
                <w:sz w:val="24"/>
                <w:szCs w:val="24"/>
              </w:rPr>
              <w:t>跟踪租户使用情况；收集反馈；修复问题</w:t>
            </w:r>
          </w:p>
        </w:tc>
      </w:tr>
      <w:tr w14:paraId="231AA84F">
        <w:trPr>
          <w:trHeight w:val="0" w:hRule="atLeast"/>
        </w:trPr>
        <w:tc>
          <w:tcPr>
            <w:shd w:val="clear" w:color="auto" w:fill="FFFFFF"/>
            <w:tcMar>
              <w:top w:w="100" w:type="dxa"/>
              <w:left w:w="100" w:type="dxa"/>
              <w:bottom w:w="100" w:type="dxa"/>
              <w:right w:w="100" w:type="dxa"/>
            </w:tcMar>
            <w:vAlign w:val="top"/>
          </w:tcPr>
          <w:p w14:paraId="0328E858">
            <w:pPr>
              <w:jc w:val="left"/>
            </w:pPr>
            <w:r>
              <w:rPr>
                <w:rFonts w:ascii="微软雅黑" w:hAnsi="微软雅黑" w:eastAsia="微软雅黑" w:cs="微软雅黑"/>
                <w:color w:val="000000"/>
                <w:sz w:val="24"/>
                <w:szCs w:val="24"/>
              </w:rPr>
              <w:t>总结周</w:t>
            </w:r>
          </w:p>
        </w:tc>
        <w:tc>
          <w:tcPr>
            <w:shd w:val="clear" w:color="auto" w:fill="FFFFFF"/>
            <w:tcMar>
              <w:top w:w="100" w:type="dxa"/>
              <w:left w:w="100" w:type="dxa"/>
              <w:bottom w:w="100" w:type="dxa"/>
              <w:right w:w="100" w:type="dxa"/>
            </w:tcMar>
            <w:vAlign w:val="top"/>
          </w:tcPr>
          <w:p w14:paraId="77ADE327">
            <w:pPr>
              <w:jc w:val="left"/>
            </w:pPr>
            <w:r>
              <w:rPr>
                <w:rFonts w:ascii="微软雅黑" w:hAnsi="微软雅黑" w:eastAsia="微软雅黑" w:cs="微软雅黑"/>
                <w:color w:val="000000"/>
                <w:sz w:val="24"/>
                <w:szCs w:val="24"/>
              </w:rPr>
              <w:t>第5-8周</w:t>
            </w:r>
          </w:p>
        </w:tc>
        <w:tc>
          <w:tcPr>
            <w:shd w:val="clear" w:color="auto" w:fill="FFFFFF"/>
            <w:tcMar>
              <w:top w:w="100" w:type="dxa"/>
              <w:left w:w="100" w:type="dxa"/>
              <w:bottom w:w="100" w:type="dxa"/>
              <w:right w:w="100" w:type="dxa"/>
            </w:tcMar>
            <w:vAlign w:val="top"/>
          </w:tcPr>
          <w:p w14:paraId="6ABCF758">
            <w:pPr>
              <w:jc w:val="left"/>
            </w:pPr>
            <w:r>
              <w:rPr>
                <w:rFonts w:ascii="微软雅黑" w:hAnsi="微软雅黑" w:eastAsia="微软雅黑" w:cs="微软雅黑"/>
                <w:color w:val="000000"/>
                <w:sz w:val="24"/>
                <w:szCs w:val="24"/>
              </w:rPr>
              <w:t>分析试点数据；撰写试点报告；调整风控规则</w:t>
            </w:r>
          </w:p>
        </w:tc>
      </w:tr>
    </w:tbl>
    <w:p w14:paraId="2FF96C5B">
      <w:pPr>
        <w:pStyle w:val="4"/>
        <w:spacing w:before="240" w:after="120" w:line="360" w:lineRule="auto"/>
      </w:pPr>
      <w:r>
        <w:rPr>
          <w:rFonts w:ascii="微软雅黑" w:hAnsi="微软雅黑" w:eastAsia="微软雅黑" w:cs="微软雅黑"/>
          <w:b/>
          <w:bCs/>
          <w:color w:val="000000"/>
          <w:sz w:val="28"/>
          <w:szCs w:val="28"/>
        </w:rPr>
        <w:t>7.3 参与方职责</w:t>
      </w:r>
    </w:p>
    <w:p w14:paraId="025ED150">
      <w:pPr>
        <w:ind w:left="720" w:hanging="360"/>
      </w:pPr>
      <w:r>
        <w:rPr>
          <w:rFonts w:ascii="微软雅黑" w:hAnsi="微软雅黑" w:eastAsia="微软雅黑" w:cs="微软雅黑"/>
          <w:sz w:val="24"/>
          <w:szCs w:val="24"/>
        </w:rPr>
        <w:t xml:space="preserve">• </w:t>
      </w:r>
      <w:r>
        <w:rPr>
          <w:rFonts w:ascii="微软雅黑" w:hAnsi="微软雅黑" w:eastAsia="微软雅黑" w:cs="微软雅黑"/>
          <w:b/>
          <w:bCs/>
          <w:color w:val="000000"/>
          <w:sz w:val="24"/>
          <w:szCs w:val="24"/>
        </w:rPr>
        <w:t>平台内部团队</w:t>
      </w:r>
      <w:r>
        <w:rPr>
          <w:rFonts w:ascii="微软雅黑" w:hAnsi="微软雅黑" w:eastAsia="微软雅黑" w:cs="微软雅黑"/>
          <w:color w:val="000000"/>
          <w:sz w:val="24"/>
          <w:szCs w:val="24"/>
        </w:rPr>
        <w:t>：产品经理（统筹）、后端开发（接口联调）、风控分析师（模型监控）、运营（租户沟通）</w:t>
      </w:r>
    </w:p>
    <w:p w14:paraId="0F4BE76A">
      <w:pPr>
        <w:ind w:left="720" w:hanging="360"/>
      </w:pPr>
      <w:r>
        <w:rPr>
          <w:rFonts w:ascii="微软雅黑" w:hAnsi="微软雅黑" w:eastAsia="微软雅黑" w:cs="微软雅黑"/>
          <w:sz w:val="24"/>
          <w:szCs w:val="24"/>
        </w:rPr>
        <w:t xml:space="preserve">• </w:t>
      </w:r>
      <w:r>
        <w:rPr>
          <w:rFonts w:ascii="微软雅黑" w:hAnsi="微软雅黑" w:eastAsia="微软雅黑" w:cs="微软雅黑"/>
          <w:b/>
          <w:bCs/>
          <w:color w:val="000000"/>
          <w:sz w:val="24"/>
          <w:szCs w:val="24"/>
        </w:rPr>
        <w:t>银行方</w:t>
      </w:r>
      <w:r>
        <w:rPr>
          <w:rFonts w:ascii="微软雅黑" w:hAnsi="微软雅黑" w:eastAsia="微软雅黑" w:cs="微软雅黑"/>
          <w:color w:val="000000"/>
          <w:sz w:val="24"/>
          <w:szCs w:val="24"/>
        </w:rPr>
        <w:t>：提供接口支持、参与授信审批、监控资金流</w:t>
      </w:r>
    </w:p>
    <w:p w14:paraId="3AFBAB81">
      <w:pPr>
        <w:ind w:left="720" w:hanging="360"/>
      </w:pPr>
      <w:r>
        <w:rPr>
          <w:rFonts w:ascii="微软雅黑" w:hAnsi="微软雅黑" w:eastAsia="微软雅黑" w:cs="微软雅黑"/>
          <w:sz w:val="24"/>
          <w:szCs w:val="24"/>
        </w:rPr>
        <w:t xml:space="preserve">• </w:t>
      </w:r>
      <w:r>
        <w:rPr>
          <w:rFonts w:ascii="微软雅黑" w:hAnsi="微软雅黑" w:eastAsia="微软雅黑" w:cs="微软雅黑"/>
          <w:b/>
          <w:bCs/>
          <w:color w:val="000000"/>
          <w:sz w:val="24"/>
          <w:szCs w:val="24"/>
        </w:rPr>
        <w:t>试点租户</w:t>
      </w:r>
      <w:r>
        <w:rPr>
          <w:rFonts w:ascii="微软雅黑" w:hAnsi="微软雅黑" w:eastAsia="微软雅黑" w:cs="微软雅黑"/>
          <w:color w:val="000000"/>
          <w:sz w:val="24"/>
          <w:szCs w:val="24"/>
        </w:rPr>
        <w:t>：配合签约、使用金融支付、提供反馈</w:t>
      </w:r>
    </w:p>
    <w:p w14:paraId="598F3593">
      <w:pPr>
        <w:pStyle w:val="4"/>
        <w:spacing w:before="240" w:after="120" w:line="360" w:lineRule="auto"/>
      </w:pPr>
      <w:r>
        <w:rPr>
          <w:rFonts w:ascii="微软雅黑" w:hAnsi="微软雅黑" w:eastAsia="微软雅黑" w:cs="微软雅黑"/>
          <w:b/>
          <w:bCs/>
          <w:color w:val="000000"/>
          <w:sz w:val="28"/>
          <w:szCs w:val="28"/>
        </w:rPr>
        <w:t>7.4 风险预案与退出机制</w:t>
      </w:r>
    </w:p>
    <w:p w14:paraId="0BC3D352">
      <w:pPr>
        <w:ind w:left="720" w:hanging="360"/>
      </w:pPr>
      <w:r>
        <w:rPr>
          <w:rFonts w:ascii="微软雅黑" w:hAnsi="微软雅黑" w:eastAsia="微软雅黑" w:cs="微软雅黑"/>
          <w:sz w:val="24"/>
          <w:szCs w:val="24"/>
        </w:rPr>
        <w:t xml:space="preserve">• </w:t>
      </w:r>
      <w:r>
        <w:rPr>
          <w:rFonts w:ascii="微软雅黑" w:hAnsi="微软雅黑" w:eastAsia="微软雅黑" w:cs="微软雅黑"/>
          <w:b/>
          <w:bCs/>
          <w:color w:val="000000"/>
          <w:sz w:val="24"/>
          <w:szCs w:val="24"/>
        </w:rPr>
        <w:t>租户逾期</w:t>
      </w:r>
      <w:r>
        <w:rPr>
          <w:rFonts w:ascii="微软雅黑" w:hAnsi="微软雅黑" w:eastAsia="微软雅黑" w:cs="微软雅黑"/>
          <w:color w:val="000000"/>
          <w:sz w:val="24"/>
          <w:szCs w:val="24"/>
        </w:rPr>
        <w:t>：平台暂停其用款权限，银行启动扣款与催收</w:t>
      </w:r>
    </w:p>
    <w:p w14:paraId="2820D661">
      <w:pPr>
        <w:ind w:left="720" w:hanging="360"/>
      </w:pPr>
      <w:r>
        <w:rPr>
          <w:rFonts w:ascii="微软雅黑" w:hAnsi="微软雅黑" w:eastAsia="微软雅黑" w:cs="微软雅黑"/>
          <w:sz w:val="24"/>
          <w:szCs w:val="24"/>
        </w:rPr>
        <w:t xml:space="preserve">• </w:t>
      </w:r>
      <w:r>
        <w:rPr>
          <w:rFonts w:ascii="微软雅黑" w:hAnsi="微软雅黑" w:eastAsia="微软雅黑" w:cs="微软雅黑"/>
          <w:b/>
          <w:bCs/>
          <w:color w:val="000000"/>
          <w:sz w:val="24"/>
          <w:szCs w:val="24"/>
        </w:rPr>
        <w:t>系统故障</w:t>
      </w:r>
      <w:r>
        <w:rPr>
          <w:rFonts w:ascii="微软雅黑" w:hAnsi="微软雅黑" w:eastAsia="微软雅黑" w:cs="微软雅黑"/>
          <w:color w:val="000000"/>
          <w:sz w:val="24"/>
          <w:szCs w:val="24"/>
        </w:rPr>
        <w:t>：启用人工处理通道，记录问题并修复</w:t>
      </w:r>
    </w:p>
    <w:p w14:paraId="149CE7AD">
      <w:pPr>
        <w:ind w:left="720" w:hanging="360"/>
      </w:pPr>
      <w:r>
        <w:rPr>
          <w:rFonts w:ascii="微软雅黑" w:hAnsi="微软雅黑" w:eastAsia="微软雅黑" w:cs="微软雅黑"/>
          <w:sz w:val="24"/>
          <w:szCs w:val="24"/>
        </w:rPr>
        <w:t xml:space="preserve">• </w:t>
      </w:r>
      <w:r>
        <w:rPr>
          <w:rFonts w:ascii="微软雅黑" w:hAnsi="微软雅黑" w:eastAsia="微软雅黑" w:cs="微软雅黑"/>
          <w:b/>
          <w:bCs/>
          <w:color w:val="000000"/>
          <w:sz w:val="24"/>
          <w:szCs w:val="24"/>
        </w:rPr>
        <w:t>租户退出</w:t>
      </w:r>
      <w:r>
        <w:rPr>
          <w:rFonts w:ascii="微软雅黑" w:hAnsi="微软雅黑" w:eastAsia="微软雅黑" w:cs="微软雅黑"/>
          <w:color w:val="000000"/>
          <w:sz w:val="24"/>
          <w:szCs w:val="24"/>
        </w:rPr>
        <w:t>：结清欠款后关闭账户，数据归档</w:t>
      </w:r>
    </w:p>
    <w:p w14:paraId="28250C6F">
      <w:pPr>
        <w:pBdr>
          <w:bottom w:val="single" w:color="999999" w:sz="2" w:space="0"/>
        </w:pBdr>
        <w:spacing w:before="240" w:after="240"/>
      </w:pPr>
    </w:p>
    <w:p w14:paraId="630688AF">
      <w:pPr>
        <w:pStyle w:val="3"/>
        <w:spacing w:before="240" w:after="120" w:line="360" w:lineRule="auto"/>
      </w:pPr>
      <w:r>
        <w:rPr>
          <w:rFonts w:ascii="微软雅黑" w:hAnsi="微软雅黑" w:eastAsia="微软雅黑" w:cs="微软雅黑"/>
          <w:b/>
          <w:bCs/>
          <w:color w:val="000000"/>
          <w:sz w:val="32"/>
          <w:szCs w:val="32"/>
        </w:rPr>
        <w:t>8. 产品原型与用户体验设计</w:t>
      </w:r>
    </w:p>
    <w:p w14:paraId="6FB27790">
      <w:pPr>
        <w:pStyle w:val="4"/>
        <w:spacing w:before="240" w:after="120" w:line="360" w:lineRule="auto"/>
      </w:pPr>
      <w:r>
        <w:rPr>
          <w:rFonts w:ascii="微软雅黑" w:hAnsi="微软雅黑" w:eastAsia="微软雅黑" w:cs="微软雅黑"/>
          <w:b/>
          <w:bCs/>
          <w:color w:val="000000"/>
          <w:sz w:val="28"/>
          <w:szCs w:val="28"/>
        </w:rPr>
        <w:t>8.1 租户端金融工作台（关键页面）</w:t>
      </w:r>
    </w:p>
    <w:p w14:paraId="32C5F02E">
      <w:pPr>
        <w:ind w:left="720" w:hanging="360"/>
      </w:pPr>
      <w:r>
        <w:rPr>
          <w:rFonts w:ascii="微软雅黑" w:hAnsi="微软雅黑" w:eastAsia="微软雅黑" w:cs="微软雅黑"/>
          <w:sz w:val="24"/>
          <w:szCs w:val="24"/>
        </w:rPr>
        <w:t xml:space="preserve">• </w:t>
      </w:r>
      <w:r>
        <w:rPr>
          <w:rFonts w:ascii="微软雅黑" w:hAnsi="微软雅黑" w:eastAsia="微软雅黑" w:cs="微软雅黑"/>
          <w:b/>
          <w:bCs/>
          <w:color w:val="000000"/>
          <w:sz w:val="24"/>
          <w:szCs w:val="24"/>
        </w:rPr>
        <w:t>首页</w:t>
      </w:r>
      <w:r>
        <w:rPr>
          <w:rFonts w:ascii="微软雅黑" w:hAnsi="微软雅黑" w:eastAsia="微软雅黑" w:cs="微软雅黑"/>
          <w:color w:val="000000"/>
          <w:sz w:val="24"/>
          <w:szCs w:val="24"/>
        </w:rPr>
        <w:t>：展示可用额度、待还账单、快速申请入口</w:t>
      </w:r>
    </w:p>
    <w:p w14:paraId="3C795272">
      <w:pPr>
        <w:ind w:left="720" w:hanging="360"/>
      </w:pPr>
      <w:r>
        <w:rPr>
          <w:rFonts w:ascii="微软雅黑" w:hAnsi="微软雅黑" w:eastAsia="微软雅黑" w:cs="微软雅黑"/>
          <w:sz w:val="24"/>
          <w:szCs w:val="24"/>
        </w:rPr>
        <w:t xml:space="preserve">• </w:t>
      </w:r>
      <w:r>
        <w:rPr>
          <w:rFonts w:ascii="微软雅黑" w:hAnsi="微软雅黑" w:eastAsia="微软雅黑" w:cs="微软雅黑"/>
          <w:b/>
          <w:bCs/>
          <w:color w:val="000000"/>
          <w:sz w:val="24"/>
          <w:szCs w:val="24"/>
        </w:rPr>
        <w:t>申请页</w:t>
      </w:r>
      <w:r>
        <w:rPr>
          <w:rFonts w:ascii="微软雅黑" w:hAnsi="微软雅黑" w:eastAsia="微软雅黑" w:cs="微软雅黑"/>
          <w:color w:val="000000"/>
          <w:sz w:val="24"/>
          <w:szCs w:val="24"/>
        </w:rPr>
        <w:t>：引导租户完成授信申请（授权数据、签署协议）</w:t>
      </w:r>
    </w:p>
    <w:p w14:paraId="7882DE8B">
      <w:pPr>
        <w:ind w:left="720" w:hanging="360"/>
      </w:pPr>
      <w:r>
        <w:rPr>
          <w:rFonts w:ascii="微软雅黑" w:hAnsi="微软雅黑" w:eastAsia="微软雅黑" w:cs="微软雅黑"/>
          <w:sz w:val="24"/>
          <w:szCs w:val="24"/>
        </w:rPr>
        <w:t xml:space="preserve">• </w:t>
      </w:r>
      <w:r>
        <w:rPr>
          <w:rFonts w:ascii="微软雅黑" w:hAnsi="微软雅黑" w:eastAsia="微软雅黑" w:cs="微软雅黑"/>
          <w:b/>
          <w:bCs/>
          <w:color w:val="000000"/>
          <w:sz w:val="24"/>
          <w:szCs w:val="24"/>
        </w:rPr>
        <w:t>用款页</w:t>
      </w:r>
      <w:r>
        <w:rPr>
          <w:rFonts w:ascii="微软雅黑" w:hAnsi="微软雅黑" w:eastAsia="微软雅黑" w:cs="微软雅黑"/>
          <w:color w:val="000000"/>
          <w:sz w:val="24"/>
          <w:szCs w:val="24"/>
        </w:rPr>
        <w:t>：在采购单支付时选择“金融支付”，输入金额后提交</w:t>
      </w:r>
    </w:p>
    <w:p w14:paraId="6F882A19">
      <w:pPr>
        <w:ind w:left="720" w:hanging="360"/>
      </w:pPr>
      <w:r>
        <w:rPr>
          <w:rFonts w:ascii="微软雅黑" w:hAnsi="微软雅黑" w:eastAsia="微软雅黑" w:cs="微软雅黑"/>
          <w:sz w:val="24"/>
          <w:szCs w:val="24"/>
        </w:rPr>
        <w:t xml:space="preserve">• </w:t>
      </w:r>
      <w:r>
        <w:rPr>
          <w:rFonts w:ascii="微软雅黑" w:hAnsi="微软雅黑" w:eastAsia="微软雅黑" w:cs="微软雅黑"/>
          <w:b/>
          <w:bCs/>
          <w:color w:val="000000"/>
          <w:sz w:val="24"/>
          <w:szCs w:val="24"/>
        </w:rPr>
        <w:t>账单页</w:t>
      </w:r>
      <w:r>
        <w:rPr>
          <w:rFonts w:ascii="微软雅黑" w:hAnsi="微软雅黑" w:eastAsia="微软雅黑" w:cs="微软雅黑"/>
          <w:color w:val="000000"/>
          <w:sz w:val="24"/>
          <w:szCs w:val="24"/>
        </w:rPr>
        <w:t>：列出每笔用款的还款计划、状态、操作（提前还款）</w:t>
      </w:r>
    </w:p>
    <w:p w14:paraId="777E9240">
      <w:pPr>
        <w:ind w:left="720" w:hanging="360"/>
      </w:pPr>
      <w:r>
        <w:rPr>
          <w:rFonts w:ascii="微软雅黑" w:hAnsi="微软雅黑" w:eastAsia="微软雅黑" w:cs="微软雅黑"/>
          <w:sz w:val="24"/>
          <w:szCs w:val="24"/>
        </w:rPr>
        <w:t xml:space="preserve">• </w:t>
      </w:r>
      <w:r>
        <w:rPr>
          <w:rFonts w:ascii="微软雅黑" w:hAnsi="微软雅黑" w:eastAsia="微软雅黑" w:cs="微软雅黑"/>
          <w:b/>
          <w:bCs/>
          <w:color w:val="000000"/>
          <w:sz w:val="24"/>
          <w:szCs w:val="24"/>
        </w:rPr>
        <w:t>记录页</w:t>
      </w:r>
      <w:r>
        <w:rPr>
          <w:rFonts w:ascii="微软雅黑" w:hAnsi="微软雅黑" w:eastAsia="微软雅黑" w:cs="微软雅黑"/>
          <w:color w:val="000000"/>
          <w:sz w:val="24"/>
          <w:szCs w:val="24"/>
        </w:rPr>
        <w:t>：历史用款与还款流水</w:t>
      </w:r>
    </w:p>
    <w:p w14:paraId="705C4C9E">
      <w:pPr>
        <w:pStyle w:val="4"/>
        <w:spacing w:before="240" w:after="120" w:line="360" w:lineRule="auto"/>
      </w:pPr>
      <w:r>
        <w:rPr>
          <w:rFonts w:ascii="微软雅黑" w:hAnsi="微软雅黑" w:eastAsia="微软雅黑" w:cs="微软雅黑"/>
          <w:b/>
          <w:bCs/>
          <w:color w:val="000000"/>
          <w:sz w:val="28"/>
          <w:szCs w:val="28"/>
        </w:rPr>
        <w:t>8.2 资金方管理后台</w:t>
      </w:r>
    </w:p>
    <w:p w14:paraId="708F747F">
      <w:pPr>
        <w:ind w:left="720" w:hanging="360"/>
      </w:pPr>
      <w:r>
        <w:rPr>
          <w:rFonts w:ascii="微软雅黑" w:hAnsi="微软雅黑" w:eastAsia="微软雅黑" w:cs="微软雅黑"/>
          <w:sz w:val="24"/>
          <w:szCs w:val="24"/>
        </w:rPr>
        <w:t xml:space="preserve">• </w:t>
      </w:r>
      <w:r>
        <w:rPr>
          <w:rFonts w:ascii="微软雅黑" w:hAnsi="微软雅黑" w:eastAsia="微软雅黑" w:cs="微软雅黑"/>
          <w:b/>
          <w:bCs/>
          <w:color w:val="000000"/>
          <w:sz w:val="24"/>
          <w:szCs w:val="24"/>
        </w:rPr>
        <w:t>资产总览</w:t>
      </w:r>
      <w:r>
        <w:rPr>
          <w:rFonts w:ascii="微软雅黑" w:hAnsi="微软雅黑" w:eastAsia="微软雅黑" w:cs="微软雅黑"/>
          <w:color w:val="000000"/>
          <w:sz w:val="24"/>
          <w:szCs w:val="24"/>
        </w:rPr>
        <w:t>：展示在贷余额、逾期率、资产分布</w:t>
      </w:r>
    </w:p>
    <w:p w14:paraId="20DFCE39">
      <w:pPr>
        <w:ind w:left="720" w:hanging="360"/>
      </w:pPr>
      <w:r>
        <w:rPr>
          <w:rFonts w:ascii="微软雅黑" w:hAnsi="微软雅黑" w:eastAsia="微软雅黑" w:cs="微软雅黑"/>
          <w:sz w:val="24"/>
          <w:szCs w:val="24"/>
        </w:rPr>
        <w:t xml:space="preserve">• </w:t>
      </w:r>
      <w:r>
        <w:rPr>
          <w:rFonts w:ascii="微软雅黑" w:hAnsi="微软雅黑" w:eastAsia="微软雅黑" w:cs="微软雅黑"/>
          <w:b/>
          <w:bCs/>
          <w:color w:val="000000"/>
          <w:sz w:val="24"/>
          <w:szCs w:val="24"/>
        </w:rPr>
        <w:t>风控配置</w:t>
      </w:r>
      <w:r>
        <w:rPr>
          <w:rFonts w:ascii="微软雅黑" w:hAnsi="微软雅黑" w:eastAsia="微软雅黑" w:cs="微软雅黑"/>
          <w:color w:val="000000"/>
          <w:sz w:val="24"/>
          <w:szCs w:val="24"/>
        </w:rPr>
        <w:t>：设置准入规则、授信系数、预警阈值</w:t>
      </w:r>
    </w:p>
    <w:p w14:paraId="372F4225">
      <w:pPr>
        <w:ind w:left="720" w:hanging="360"/>
      </w:pPr>
      <w:r>
        <w:rPr>
          <w:rFonts w:ascii="微软雅黑" w:hAnsi="微软雅黑" w:eastAsia="微软雅黑" w:cs="微软雅黑"/>
          <w:sz w:val="24"/>
          <w:szCs w:val="24"/>
        </w:rPr>
        <w:t xml:space="preserve">• </w:t>
      </w:r>
      <w:r>
        <w:rPr>
          <w:rFonts w:ascii="微软雅黑" w:hAnsi="微软雅黑" w:eastAsia="微软雅黑" w:cs="微软雅黑"/>
          <w:b/>
          <w:bCs/>
          <w:color w:val="000000"/>
          <w:sz w:val="24"/>
          <w:szCs w:val="24"/>
        </w:rPr>
        <w:t>审批列表</w:t>
      </w:r>
      <w:r>
        <w:rPr>
          <w:rFonts w:ascii="微软雅黑" w:hAnsi="微软雅黑" w:eastAsia="微软雅黑" w:cs="微软雅黑"/>
          <w:color w:val="000000"/>
          <w:sz w:val="24"/>
          <w:szCs w:val="24"/>
        </w:rPr>
        <w:t>：待审批的租户申请，可查看平台预审报告</w:t>
      </w:r>
    </w:p>
    <w:p w14:paraId="22DBDD4F">
      <w:pPr>
        <w:ind w:left="720" w:hanging="360"/>
      </w:pPr>
      <w:r>
        <w:rPr>
          <w:rFonts w:ascii="微软雅黑" w:hAnsi="微软雅黑" w:eastAsia="微软雅黑" w:cs="微软雅黑"/>
          <w:sz w:val="24"/>
          <w:szCs w:val="24"/>
        </w:rPr>
        <w:t xml:space="preserve">• </w:t>
      </w:r>
      <w:r>
        <w:rPr>
          <w:rFonts w:ascii="微软雅黑" w:hAnsi="微软雅黑" w:eastAsia="微软雅黑" w:cs="微软雅黑"/>
          <w:b/>
          <w:bCs/>
          <w:color w:val="000000"/>
          <w:sz w:val="24"/>
          <w:szCs w:val="24"/>
        </w:rPr>
        <w:t>监控报表</w:t>
      </w:r>
      <w:r>
        <w:rPr>
          <w:rFonts w:ascii="微软雅黑" w:hAnsi="微软雅黑" w:eastAsia="微软雅黑" w:cs="微软雅黑"/>
          <w:color w:val="000000"/>
          <w:sz w:val="24"/>
          <w:szCs w:val="24"/>
        </w:rPr>
        <w:t>：实时监控租户回款、预警事件</w:t>
      </w:r>
    </w:p>
    <w:p w14:paraId="229BF7BF">
      <w:pPr>
        <w:pStyle w:val="4"/>
        <w:spacing w:before="240" w:after="120" w:line="360" w:lineRule="auto"/>
      </w:pPr>
      <w:r>
        <w:rPr>
          <w:rFonts w:ascii="微软雅黑" w:hAnsi="微软雅黑" w:eastAsia="微软雅黑" w:cs="微软雅黑"/>
          <w:b/>
          <w:bCs/>
          <w:color w:val="000000"/>
          <w:sz w:val="28"/>
          <w:szCs w:val="28"/>
        </w:rPr>
        <w:t>8.3 运营后台</w:t>
      </w:r>
    </w:p>
    <w:p w14:paraId="67C36DC1">
      <w:pPr>
        <w:ind w:left="720" w:hanging="360"/>
      </w:pPr>
      <w:r>
        <w:rPr>
          <w:rFonts w:ascii="微软雅黑" w:hAnsi="微软雅黑" w:eastAsia="微软雅黑" w:cs="微软雅黑"/>
          <w:sz w:val="24"/>
          <w:szCs w:val="24"/>
        </w:rPr>
        <w:t xml:space="preserve">• </w:t>
      </w:r>
      <w:r>
        <w:rPr>
          <w:rFonts w:ascii="微软雅黑" w:hAnsi="微软雅黑" w:eastAsia="微软雅黑" w:cs="微软雅黑"/>
          <w:b/>
          <w:bCs/>
          <w:color w:val="000000"/>
          <w:sz w:val="24"/>
          <w:szCs w:val="24"/>
        </w:rPr>
        <w:t>租户管理</w:t>
      </w:r>
      <w:r>
        <w:rPr>
          <w:rFonts w:ascii="微软雅黑" w:hAnsi="微软雅黑" w:eastAsia="微软雅黑" w:cs="微软雅黑"/>
          <w:color w:val="000000"/>
          <w:sz w:val="24"/>
          <w:szCs w:val="24"/>
        </w:rPr>
        <w:t>：查看租户信息、授信状态、操作记录</w:t>
      </w:r>
    </w:p>
    <w:p w14:paraId="183C7709">
      <w:pPr>
        <w:ind w:left="720" w:hanging="360"/>
      </w:pPr>
      <w:r>
        <w:rPr>
          <w:rFonts w:ascii="微软雅黑" w:hAnsi="微软雅黑" w:eastAsia="微软雅黑" w:cs="微软雅黑"/>
          <w:sz w:val="24"/>
          <w:szCs w:val="24"/>
        </w:rPr>
        <w:t xml:space="preserve">• </w:t>
      </w:r>
      <w:r>
        <w:rPr>
          <w:rFonts w:ascii="微软雅黑" w:hAnsi="微软雅黑" w:eastAsia="微软雅黑" w:cs="微软雅黑"/>
          <w:b/>
          <w:bCs/>
          <w:color w:val="000000"/>
          <w:sz w:val="24"/>
          <w:szCs w:val="24"/>
        </w:rPr>
        <w:t>授信审批</w:t>
      </w:r>
      <w:r>
        <w:rPr>
          <w:rFonts w:ascii="微软雅黑" w:hAnsi="微软雅黑" w:eastAsia="微软雅黑" w:cs="微软雅黑"/>
          <w:color w:val="000000"/>
          <w:sz w:val="24"/>
          <w:szCs w:val="24"/>
        </w:rPr>
        <w:t>：人工复核（如需）</w:t>
      </w:r>
    </w:p>
    <w:p w14:paraId="5EA37427">
      <w:pPr>
        <w:ind w:left="720" w:hanging="360"/>
      </w:pPr>
      <w:r>
        <w:rPr>
          <w:rFonts w:ascii="微软雅黑" w:hAnsi="微软雅黑" w:eastAsia="微软雅黑" w:cs="微软雅黑"/>
          <w:sz w:val="24"/>
          <w:szCs w:val="24"/>
        </w:rPr>
        <w:t xml:space="preserve">• </w:t>
      </w:r>
      <w:r>
        <w:rPr>
          <w:rFonts w:ascii="微软雅黑" w:hAnsi="微软雅黑" w:eastAsia="微软雅黑" w:cs="微软雅黑"/>
          <w:b/>
          <w:bCs/>
          <w:color w:val="000000"/>
          <w:sz w:val="24"/>
          <w:szCs w:val="24"/>
        </w:rPr>
        <w:t>预警中心</w:t>
      </w:r>
      <w:r>
        <w:rPr>
          <w:rFonts w:ascii="微软雅黑" w:hAnsi="微软雅黑" w:eastAsia="微软雅黑" w:cs="微软雅黑"/>
          <w:color w:val="000000"/>
          <w:sz w:val="24"/>
          <w:szCs w:val="24"/>
        </w:rPr>
        <w:t>：展示触发的预警事件及处理状态</w:t>
      </w:r>
    </w:p>
    <w:p w14:paraId="719DB206">
      <w:pPr>
        <w:ind w:left="720" w:hanging="360"/>
      </w:pPr>
      <w:r>
        <w:rPr>
          <w:rFonts w:ascii="微软雅黑" w:hAnsi="微软雅黑" w:eastAsia="微软雅黑" w:cs="微软雅黑"/>
          <w:sz w:val="24"/>
          <w:szCs w:val="24"/>
        </w:rPr>
        <w:t xml:space="preserve">• </w:t>
      </w:r>
      <w:r>
        <w:rPr>
          <w:rFonts w:ascii="微软雅黑" w:hAnsi="微软雅黑" w:eastAsia="微软雅黑" w:cs="微软雅黑"/>
          <w:b/>
          <w:bCs/>
          <w:color w:val="000000"/>
          <w:sz w:val="24"/>
          <w:szCs w:val="24"/>
        </w:rPr>
        <w:t>对账模块</w:t>
      </w:r>
      <w:r>
        <w:rPr>
          <w:rFonts w:ascii="微软雅黑" w:hAnsi="微软雅黑" w:eastAsia="微软雅黑" w:cs="微软雅黑"/>
          <w:color w:val="000000"/>
          <w:sz w:val="24"/>
          <w:szCs w:val="24"/>
        </w:rPr>
        <w:t>：与银行每日对账，确保交易一致</w:t>
      </w:r>
    </w:p>
    <w:p w14:paraId="28E2C1D9">
      <w:pPr>
        <w:pBdr>
          <w:bottom w:val="single" w:color="999999" w:sz="2" w:space="0"/>
        </w:pBdr>
        <w:spacing w:before="240" w:after="240"/>
      </w:pPr>
    </w:p>
    <w:p w14:paraId="080634EB">
      <w:pPr>
        <w:pStyle w:val="3"/>
        <w:spacing w:before="240" w:after="120" w:line="360" w:lineRule="auto"/>
      </w:pPr>
      <w:r>
        <w:rPr>
          <w:rFonts w:ascii="微软雅黑" w:hAnsi="微软雅黑" w:eastAsia="微软雅黑" w:cs="微软雅黑"/>
          <w:b/>
          <w:bCs/>
          <w:color w:val="000000"/>
          <w:sz w:val="32"/>
          <w:szCs w:val="32"/>
        </w:rPr>
        <w:t>9. 银行合作谈判话术与材料</w:t>
      </w:r>
    </w:p>
    <w:p w14:paraId="6FB894DC">
      <w:pPr>
        <w:pStyle w:val="4"/>
        <w:spacing w:before="240" w:after="120" w:line="360" w:lineRule="auto"/>
      </w:pPr>
      <w:r>
        <w:rPr>
          <w:rFonts w:ascii="微软雅黑" w:hAnsi="微软雅黑" w:eastAsia="微软雅黑" w:cs="微软雅黑"/>
          <w:b/>
          <w:bCs/>
          <w:color w:val="000000"/>
          <w:sz w:val="28"/>
          <w:szCs w:val="28"/>
        </w:rPr>
        <w:t>9.1 平台介绍PPT核心页</w:t>
      </w:r>
    </w:p>
    <w:p w14:paraId="4AFD6BF6">
      <w:pPr>
        <w:ind w:left="720" w:hanging="360"/>
      </w:pPr>
      <w:r>
        <w:rPr>
          <w:rFonts w:ascii="微软雅黑" w:hAnsi="微软雅黑" w:eastAsia="微软雅黑" w:cs="微软雅黑"/>
          <w:sz w:val="24"/>
          <w:szCs w:val="24"/>
        </w:rPr>
        <w:t>• 公司背景与SaaS业务规模</w:t>
      </w:r>
    </w:p>
    <w:p w14:paraId="489CB7DC">
      <w:pPr>
        <w:ind w:left="720" w:hanging="360"/>
      </w:pPr>
      <w:r>
        <w:rPr>
          <w:rFonts w:ascii="微软雅黑" w:hAnsi="微软雅黑" w:eastAsia="微软雅黑" w:cs="微软雅黑"/>
          <w:sz w:val="24"/>
          <w:szCs w:val="24"/>
        </w:rPr>
        <w:t>• 租户画像与行业痛点</w:t>
      </w:r>
    </w:p>
    <w:p w14:paraId="7C1A857D">
      <w:pPr>
        <w:ind w:left="720" w:hanging="360"/>
      </w:pPr>
      <w:r>
        <w:rPr>
          <w:rFonts w:ascii="微软雅黑" w:hAnsi="微软雅黑" w:eastAsia="微软雅黑" w:cs="微软雅黑"/>
          <w:sz w:val="24"/>
          <w:szCs w:val="24"/>
        </w:rPr>
        <w:t>• 供应链金融闭环设计图</w:t>
      </w:r>
    </w:p>
    <w:p w14:paraId="5922BD8B">
      <w:pPr>
        <w:ind w:left="720" w:hanging="360"/>
      </w:pPr>
      <w:r>
        <w:rPr>
          <w:rFonts w:ascii="微软雅黑" w:hAnsi="微软雅黑" w:eastAsia="微软雅黑" w:cs="微软雅黑"/>
          <w:sz w:val="24"/>
          <w:szCs w:val="24"/>
        </w:rPr>
        <w:t>• 数据优势与风控能力</w:t>
      </w:r>
    </w:p>
    <w:p w14:paraId="60895E43">
      <w:pPr>
        <w:ind w:left="720" w:hanging="360"/>
      </w:pPr>
      <w:r>
        <w:rPr>
          <w:rFonts w:ascii="微软雅黑" w:hAnsi="微软雅黑" w:eastAsia="微软雅黑" w:cs="微软雅黑"/>
          <w:sz w:val="24"/>
          <w:szCs w:val="24"/>
        </w:rPr>
        <w:t>• 合作价值：为银行输送优质小微资产</w:t>
      </w:r>
    </w:p>
    <w:p w14:paraId="7015BDBE">
      <w:pPr>
        <w:pStyle w:val="4"/>
        <w:spacing w:before="240" w:after="120" w:line="360" w:lineRule="auto"/>
      </w:pPr>
      <w:r>
        <w:rPr>
          <w:rFonts w:ascii="微软雅黑" w:hAnsi="微软雅黑" w:eastAsia="微软雅黑" w:cs="微软雅黑"/>
          <w:b/>
          <w:bCs/>
          <w:color w:val="000000"/>
          <w:sz w:val="28"/>
          <w:szCs w:val="28"/>
        </w:rPr>
        <w:t>9.2 合作价值主张</w:t>
      </w:r>
    </w:p>
    <w:p w14:paraId="5FCAE967">
      <w:pPr>
        <w:ind w:left="720" w:hanging="360"/>
      </w:pPr>
      <w:r>
        <w:rPr>
          <w:rFonts w:ascii="微软雅黑" w:hAnsi="微软雅黑" w:eastAsia="微软雅黑" w:cs="微软雅黑"/>
          <w:sz w:val="24"/>
          <w:szCs w:val="24"/>
        </w:rPr>
        <w:t xml:space="preserve">• </w:t>
      </w:r>
      <w:r>
        <w:rPr>
          <w:rFonts w:ascii="微软雅黑" w:hAnsi="微软雅黑" w:eastAsia="微软雅黑" w:cs="微软雅黑"/>
          <w:b/>
          <w:bCs/>
          <w:color w:val="000000"/>
          <w:sz w:val="24"/>
          <w:szCs w:val="24"/>
        </w:rPr>
        <w:t>场景真实</w:t>
      </w:r>
      <w:r>
        <w:rPr>
          <w:rFonts w:ascii="微软雅黑" w:hAnsi="微软雅黑" w:eastAsia="微软雅黑" w:cs="微软雅黑"/>
          <w:color w:val="000000"/>
          <w:sz w:val="24"/>
          <w:szCs w:val="24"/>
        </w:rPr>
        <w:t>：资金流向真实采购，订单可追溯</w:t>
      </w:r>
    </w:p>
    <w:p w14:paraId="54A6F5A5">
      <w:pPr>
        <w:ind w:left="720" w:hanging="360"/>
      </w:pPr>
      <w:r>
        <w:rPr>
          <w:rFonts w:ascii="微软雅黑" w:hAnsi="微软雅黑" w:eastAsia="微软雅黑" w:cs="微软雅黑"/>
          <w:sz w:val="24"/>
          <w:szCs w:val="24"/>
        </w:rPr>
        <w:t xml:space="preserve">• </w:t>
      </w:r>
      <w:r>
        <w:rPr>
          <w:rFonts w:ascii="微软雅黑" w:hAnsi="微软雅黑" w:eastAsia="微软雅黑" w:cs="微软雅黑"/>
          <w:b/>
          <w:bCs/>
          <w:color w:val="000000"/>
          <w:sz w:val="24"/>
          <w:szCs w:val="24"/>
        </w:rPr>
        <w:t>数据多维</w:t>
      </w:r>
      <w:r>
        <w:rPr>
          <w:rFonts w:ascii="微软雅黑" w:hAnsi="微软雅黑" w:eastAsia="微软雅黑" w:cs="微软雅黑"/>
          <w:color w:val="000000"/>
          <w:sz w:val="24"/>
          <w:szCs w:val="24"/>
        </w:rPr>
        <w:t>：经营数据实时监控，远超传统尽调</w:t>
      </w:r>
    </w:p>
    <w:p w14:paraId="091274B3">
      <w:pPr>
        <w:ind w:left="720" w:hanging="360"/>
      </w:pPr>
      <w:r>
        <w:rPr>
          <w:rFonts w:ascii="微软雅黑" w:hAnsi="微软雅黑" w:eastAsia="微软雅黑" w:cs="微软雅黑"/>
          <w:sz w:val="24"/>
          <w:szCs w:val="24"/>
        </w:rPr>
        <w:t xml:space="preserve">• </w:t>
      </w:r>
      <w:r>
        <w:rPr>
          <w:rFonts w:ascii="微软雅黑" w:hAnsi="微软雅黑" w:eastAsia="微软雅黑" w:cs="微软雅黑"/>
          <w:b/>
          <w:bCs/>
          <w:color w:val="000000"/>
          <w:sz w:val="24"/>
          <w:szCs w:val="24"/>
        </w:rPr>
        <w:t>闭环可控</w:t>
      </w:r>
      <w:r>
        <w:rPr>
          <w:rFonts w:ascii="微软雅黑" w:hAnsi="微软雅黑" w:eastAsia="微软雅黑" w:cs="微软雅黑"/>
          <w:color w:val="000000"/>
          <w:sz w:val="24"/>
          <w:szCs w:val="24"/>
        </w:rPr>
        <w:t>：回款账户锁定+自动扣款，风险极低</w:t>
      </w:r>
    </w:p>
    <w:p w14:paraId="079F5E2F">
      <w:pPr>
        <w:ind w:left="720" w:hanging="360"/>
      </w:pPr>
      <w:r>
        <w:rPr>
          <w:rFonts w:ascii="微软雅黑" w:hAnsi="微软雅黑" w:eastAsia="微软雅黑" w:cs="微软雅黑"/>
          <w:sz w:val="24"/>
          <w:szCs w:val="24"/>
        </w:rPr>
        <w:t xml:space="preserve">• </w:t>
      </w:r>
      <w:r>
        <w:rPr>
          <w:rFonts w:ascii="微软雅黑" w:hAnsi="微软雅黑" w:eastAsia="微软雅黑" w:cs="微软雅黑"/>
          <w:b/>
          <w:bCs/>
          <w:color w:val="000000"/>
          <w:sz w:val="24"/>
          <w:szCs w:val="24"/>
        </w:rPr>
        <w:t>批量获客</w:t>
      </w:r>
      <w:r>
        <w:rPr>
          <w:rFonts w:ascii="微软雅黑" w:hAnsi="微软雅黑" w:eastAsia="微软雅黑" w:cs="微软雅黑"/>
          <w:color w:val="000000"/>
          <w:sz w:val="24"/>
          <w:szCs w:val="24"/>
        </w:rPr>
        <w:t>：平台已有数千家租户，可快速规模</w:t>
      </w:r>
    </w:p>
    <w:p w14:paraId="08828B29">
      <w:pPr>
        <w:pStyle w:val="4"/>
        <w:spacing w:before="240" w:after="120" w:line="360" w:lineRule="auto"/>
      </w:pPr>
      <w:r>
        <w:rPr>
          <w:rFonts w:ascii="微软雅黑" w:hAnsi="微软雅黑" w:eastAsia="微软雅黑" w:cs="微软雅黑"/>
          <w:b/>
          <w:bCs/>
          <w:color w:val="000000"/>
          <w:sz w:val="28"/>
          <w:szCs w:val="28"/>
        </w:rPr>
        <w:t>9.3 常见问题应答（Q&amp;A）</w:t>
      </w:r>
    </w:p>
    <w:p w14:paraId="092D86B3">
      <w:pPr>
        <w:ind w:left="720" w:hanging="360"/>
      </w:pPr>
      <w:r>
        <w:rPr>
          <w:rFonts w:ascii="微软雅黑" w:hAnsi="微软雅黑" w:eastAsia="微软雅黑" w:cs="微软雅黑"/>
          <w:sz w:val="24"/>
          <w:szCs w:val="24"/>
        </w:rPr>
        <w:t xml:space="preserve">• </w:t>
      </w:r>
      <w:r>
        <w:rPr>
          <w:rFonts w:ascii="微软雅黑" w:hAnsi="微软雅黑" w:eastAsia="微软雅黑" w:cs="微软雅黑"/>
          <w:color w:val="000000"/>
          <w:sz w:val="24"/>
          <w:szCs w:val="24"/>
        </w:rPr>
        <w:t>Q：平台是否承担信用风险？</w:t>
      </w:r>
      <w:r>
        <w:br w:type="textWrapping"/>
      </w:r>
      <w:r>
        <w:rPr>
          <w:rFonts w:ascii="微软雅黑" w:hAnsi="微软雅黑" w:eastAsia="微软雅黑" w:cs="微软雅黑"/>
          <w:color w:val="000000"/>
          <w:sz w:val="24"/>
          <w:szCs w:val="24"/>
        </w:rPr>
        <w:t>
A：平台作为技术服务方，不承担信用风险；但通过数据与闭环设计帮助银行降低风险。</w:t>
      </w:r>
    </w:p>
    <w:p w14:paraId="603C24DF">
      <w:pPr>
        <w:ind w:left="720" w:hanging="360"/>
      </w:pPr>
      <w:r>
        <w:rPr>
          <w:rFonts w:ascii="微软雅黑" w:hAnsi="微软雅黑" w:eastAsia="微软雅黑" w:cs="微软雅黑"/>
          <w:sz w:val="24"/>
          <w:szCs w:val="24"/>
        </w:rPr>
        <w:t xml:space="preserve">• </w:t>
      </w:r>
      <w:r>
        <w:rPr>
          <w:rFonts w:ascii="微软雅黑" w:hAnsi="微软雅黑" w:eastAsia="微软雅黑" w:cs="微软雅黑"/>
          <w:color w:val="000000"/>
          <w:sz w:val="24"/>
          <w:szCs w:val="24"/>
        </w:rPr>
        <w:t>Q：如何保证数据真实性？</w:t>
      </w:r>
      <w:r>
        <w:br w:type="textWrapping"/>
      </w:r>
      <w:r>
        <w:rPr>
          <w:rFonts w:ascii="微软雅黑" w:hAnsi="微软雅黑" w:eastAsia="微软雅黑" w:cs="微软雅黑"/>
          <w:color w:val="000000"/>
          <w:sz w:val="24"/>
          <w:szCs w:val="24"/>
        </w:rPr>
        <w:t>
A：租户日常经营依赖SaaS，订单、库存、财务数据均为操作产生，难以篡改。</w:t>
      </w:r>
    </w:p>
    <w:p w14:paraId="3ED01D0C">
      <w:pPr>
        <w:ind w:left="720" w:hanging="360"/>
      </w:pPr>
      <w:r>
        <w:rPr>
          <w:rFonts w:ascii="微软雅黑" w:hAnsi="微软雅黑" w:eastAsia="微软雅黑" w:cs="微软雅黑"/>
          <w:sz w:val="24"/>
          <w:szCs w:val="24"/>
        </w:rPr>
        <w:t xml:space="preserve">• </w:t>
      </w:r>
      <w:r>
        <w:rPr>
          <w:rFonts w:ascii="微软雅黑" w:hAnsi="微软雅黑" w:eastAsia="微软雅黑" w:cs="微软雅黑"/>
          <w:color w:val="000000"/>
          <w:sz w:val="24"/>
          <w:szCs w:val="24"/>
        </w:rPr>
        <w:t>Q：如果租户私下要求客户转款到其他账户？</w:t>
      </w:r>
      <w:r>
        <w:br w:type="textWrapping"/>
      </w:r>
      <w:r>
        <w:rPr>
          <w:rFonts w:ascii="微软雅黑" w:hAnsi="微软雅黑" w:eastAsia="微软雅黑" w:cs="微软雅黑"/>
          <w:color w:val="000000"/>
          <w:sz w:val="24"/>
          <w:szCs w:val="24"/>
        </w:rPr>
        <w:t>
A：租户与银行已签署账户监管协议，回款账户为绑定账户，若发现异常流水将触发预警。</w:t>
      </w:r>
    </w:p>
    <w:p w14:paraId="0153B07A">
      <w:pPr>
        <w:pStyle w:val="4"/>
        <w:spacing w:before="240" w:after="120" w:line="360" w:lineRule="auto"/>
      </w:pPr>
      <w:r>
        <w:rPr>
          <w:rFonts w:ascii="微软雅黑" w:hAnsi="微软雅黑" w:eastAsia="微软雅黑" w:cs="微软雅黑"/>
          <w:b/>
          <w:bCs/>
          <w:color w:val="000000"/>
          <w:sz w:val="28"/>
          <w:szCs w:val="28"/>
        </w:rPr>
        <w:t>9.4 谈判步骤与注意事项</w:t>
      </w:r>
    </w:p>
    <w:p w14:paraId="1B750187">
      <w:pPr>
        <w:ind w:left="720" w:hanging="360"/>
      </w:pPr>
      <w:r>
        <w:rPr>
          <w:rFonts w:ascii="微软雅黑" w:hAnsi="微软雅黑" w:eastAsia="微软雅黑" w:cs="微软雅黑"/>
          <w:sz w:val="24"/>
          <w:szCs w:val="24"/>
        </w:rPr>
        <w:t>• 第一步：展示平台价值，引起兴趣</w:t>
      </w:r>
    </w:p>
    <w:p w14:paraId="142CE925">
      <w:pPr>
        <w:ind w:left="720" w:hanging="360"/>
      </w:pPr>
      <w:r>
        <w:rPr>
          <w:rFonts w:ascii="微软雅黑" w:hAnsi="微软雅黑" w:eastAsia="微软雅黑" w:cs="微软雅黑"/>
          <w:sz w:val="24"/>
          <w:szCs w:val="24"/>
        </w:rPr>
        <w:t>• 第二步：探讨合作模式，明确双方需求</w:t>
      </w:r>
    </w:p>
    <w:p w14:paraId="6875F574">
      <w:pPr>
        <w:ind w:left="720" w:hanging="360"/>
      </w:pPr>
      <w:r>
        <w:rPr>
          <w:rFonts w:ascii="微软雅黑" w:hAnsi="微软雅黑" w:eastAsia="微软雅黑" w:cs="微软雅黑"/>
          <w:sz w:val="24"/>
          <w:szCs w:val="24"/>
        </w:rPr>
        <w:t>• 第三步：提供技术接口文档，启动技术对接</w:t>
      </w:r>
    </w:p>
    <w:p w14:paraId="6C4FA56E">
      <w:pPr>
        <w:ind w:left="720" w:hanging="360"/>
      </w:pPr>
      <w:r>
        <w:rPr>
          <w:rFonts w:ascii="微软雅黑" w:hAnsi="微软雅黑" w:eastAsia="微软雅黑" w:cs="微软雅黑"/>
          <w:sz w:val="24"/>
          <w:szCs w:val="24"/>
        </w:rPr>
        <w:t>• 第四步：协商协议条款，推动签约</w:t>
      </w:r>
    </w:p>
    <w:p w14:paraId="03EBE046">
      <w:pPr>
        <w:ind w:left="720" w:hanging="360"/>
      </w:pPr>
      <w:r>
        <w:rPr>
          <w:rFonts w:ascii="微软雅黑" w:hAnsi="微软雅黑" w:eastAsia="微软雅黑" w:cs="微软雅黑"/>
          <w:sz w:val="24"/>
          <w:szCs w:val="24"/>
        </w:rPr>
        <w:t>• 注意：强调数据安全与合规，打消银行顾虑</w:t>
      </w:r>
    </w:p>
    <w:p w14:paraId="41BAD029">
      <w:pPr>
        <w:pBdr>
          <w:bottom w:val="single" w:color="999999" w:sz="2" w:space="0"/>
        </w:pBdr>
        <w:spacing w:before="240" w:after="240"/>
      </w:pPr>
    </w:p>
    <w:p w14:paraId="627AB0E2">
      <w:pPr>
        <w:pStyle w:val="3"/>
        <w:spacing w:before="240" w:after="120" w:line="360" w:lineRule="auto"/>
      </w:pPr>
      <w:r>
        <w:rPr>
          <w:rFonts w:ascii="微软雅黑" w:hAnsi="微软雅黑" w:eastAsia="微软雅黑" w:cs="微软雅黑"/>
          <w:b/>
          <w:bCs/>
          <w:color w:val="000000"/>
          <w:sz w:val="32"/>
          <w:szCs w:val="32"/>
        </w:rPr>
        <w:t>10. 运营与客服流程手册</w:t>
      </w:r>
    </w:p>
    <w:p w14:paraId="49951292">
      <w:pPr>
        <w:pStyle w:val="4"/>
        <w:spacing w:before="240" w:after="120" w:line="360" w:lineRule="auto"/>
      </w:pPr>
      <w:r>
        <w:rPr>
          <w:rFonts w:ascii="微软雅黑" w:hAnsi="微软雅黑" w:eastAsia="微软雅黑" w:cs="微软雅黑"/>
          <w:b/>
          <w:bCs/>
          <w:color w:val="000000"/>
          <w:sz w:val="28"/>
          <w:szCs w:val="28"/>
        </w:rPr>
        <w:t>10.1 租户准入审核流程</w:t>
      </w:r>
    </w:p>
    <w:p w14:paraId="6474963A">
      <w:pPr>
        <w:ind w:left="720" w:hanging="360"/>
      </w:pPr>
      <w:r>
        <w:rPr>
          <w:rFonts w:ascii="微软雅黑" w:hAnsi="微软雅黑" w:eastAsia="微软雅黑" w:cs="微软雅黑"/>
          <w:sz w:val="24"/>
          <w:szCs w:val="24"/>
        </w:rPr>
        <w:t>1. 租户在SaaS提交融资申请，授权数据查询</w:t>
      </w:r>
    </w:p>
    <w:p w14:paraId="0261A09C">
      <w:pPr>
        <w:ind w:left="720" w:hanging="360"/>
      </w:pPr>
      <w:r>
        <w:rPr>
          <w:rFonts w:ascii="微软雅黑" w:hAnsi="微软雅黑" w:eastAsia="微软雅黑" w:cs="微软雅黑"/>
          <w:sz w:val="24"/>
          <w:szCs w:val="24"/>
        </w:rPr>
        <w:t>2. 系统自动预审，输出预授信结果</w:t>
      </w:r>
    </w:p>
    <w:p w14:paraId="69F824E1">
      <w:pPr>
        <w:ind w:left="720" w:hanging="360"/>
      </w:pPr>
      <w:r>
        <w:rPr>
          <w:rFonts w:ascii="微软雅黑" w:hAnsi="微软雅黑" w:eastAsia="微软雅黑" w:cs="微软雅黑"/>
          <w:sz w:val="24"/>
          <w:szCs w:val="24"/>
        </w:rPr>
        <w:t>3. 运营人员复核（如需）后提交银行终审</w:t>
      </w:r>
    </w:p>
    <w:p w14:paraId="2DE97CC2">
      <w:pPr>
        <w:ind w:left="720" w:hanging="360"/>
      </w:pPr>
      <w:r>
        <w:rPr>
          <w:rFonts w:ascii="微软雅黑" w:hAnsi="微软雅黑" w:eastAsia="微软雅黑" w:cs="微软雅黑"/>
          <w:sz w:val="24"/>
          <w:szCs w:val="24"/>
        </w:rPr>
        <w:t>4. 银行审批通过后，租户在线签约</w:t>
      </w:r>
    </w:p>
    <w:p w14:paraId="0EB99848">
      <w:pPr>
        <w:ind w:left="720" w:hanging="360"/>
      </w:pPr>
      <w:r>
        <w:rPr>
          <w:rFonts w:ascii="微软雅黑" w:hAnsi="微软雅黑" w:eastAsia="微软雅黑" w:cs="微软雅黑"/>
          <w:sz w:val="24"/>
          <w:szCs w:val="24"/>
        </w:rPr>
        <w:t>5. 平台开通金融支付权限</w:t>
      </w:r>
    </w:p>
    <w:p w14:paraId="563D2833">
      <w:pPr>
        <w:pStyle w:val="4"/>
        <w:spacing w:before="240" w:after="120" w:line="360" w:lineRule="auto"/>
      </w:pPr>
      <w:r>
        <w:rPr>
          <w:rFonts w:ascii="微软雅黑" w:hAnsi="微软雅黑" w:eastAsia="微软雅黑" w:cs="微软雅黑"/>
          <w:b/>
          <w:bCs/>
          <w:color w:val="000000"/>
          <w:sz w:val="28"/>
          <w:szCs w:val="28"/>
        </w:rPr>
        <w:t>10.2 贷后监控与预警处理SOP</w:t>
      </w:r>
    </w:p>
    <w:p w14:paraId="41DB0829">
      <w:pPr>
        <w:ind w:left="720" w:hanging="360"/>
      </w:pPr>
      <w:r>
        <w:rPr>
          <w:rFonts w:ascii="微软雅黑" w:hAnsi="微软雅黑" w:eastAsia="微软雅黑" w:cs="微软雅黑"/>
          <w:sz w:val="24"/>
          <w:szCs w:val="24"/>
        </w:rPr>
        <w:t>• 每日自动扫描监控指标</w:t>
      </w:r>
    </w:p>
    <w:p w14:paraId="71B4E9B2">
      <w:pPr>
        <w:ind w:left="720" w:hanging="360"/>
      </w:pPr>
      <w:r>
        <w:rPr>
          <w:rFonts w:ascii="微软雅黑" w:hAnsi="微软雅黑" w:eastAsia="微软雅黑" w:cs="微软雅黑"/>
          <w:sz w:val="24"/>
          <w:szCs w:val="24"/>
        </w:rPr>
        <w:t>• 触发预警后，系统发送通知给运营和银行</w:t>
      </w:r>
    </w:p>
    <w:p w14:paraId="6ECEB8E0">
      <w:pPr>
        <w:ind w:left="720" w:hanging="360"/>
      </w:pPr>
      <w:r>
        <w:rPr>
          <w:rFonts w:ascii="微软雅黑" w:hAnsi="微软雅黑" w:eastAsia="微软雅黑" w:cs="微软雅黑"/>
          <w:sz w:val="24"/>
          <w:szCs w:val="24"/>
        </w:rPr>
        <w:t>• 运营联系租户了解情况（电话/消息）</w:t>
      </w:r>
    </w:p>
    <w:p w14:paraId="4FFEF7D3">
      <w:pPr>
        <w:ind w:left="720" w:hanging="360"/>
      </w:pPr>
      <w:r>
        <w:rPr>
          <w:rFonts w:ascii="微软雅黑" w:hAnsi="微软雅黑" w:eastAsia="微软雅黑" w:cs="微软雅黑"/>
          <w:sz w:val="24"/>
          <w:szCs w:val="24"/>
        </w:rPr>
        <w:t>• 根据风险等级采取相应措施：暂停额度、要求补充资料、启动催收</w:t>
      </w:r>
    </w:p>
    <w:p w14:paraId="6E3A398B">
      <w:pPr>
        <w:pStyle w:val="4"/>
        <w:spacing w:before="240" w:after="120" w:line="360" w:lineRule="auto"/>
      </w:pPr>
      <w:r>
        <w:rPr>
          <w:rFonts w:ascii="微软雅黑" w:hAnsi="微软雅黑" w:eastAsia="微软雅黑" w:cs="微软雅黑"/>
          <w:b/>
          <w:bCs/>
          <w:color w:val="000000"/>
          <w:sz w:val="28"/>
          <w:szCs w:val="28"/>
        </w:rPr>
        <w:t>10.3 客服常见问题库</w:t>
      </w:r>
    </w:p>
    <w:p w14:paraId="47C771E6">
      <w:pPr>
        <w:ind w:left="720" w:hanging="360"/>
      </w:pPr>
      <w:r>
        <w:rPr>
          <w:rFonts w:ascii="微软雅黑" w:hAnsi="微软雅黑" w:eastAsia="微软雅黑" w:cs="微软雅黑"/>
          <w:sz w:val="24"/>
          <w:szCs w:val="24"/>
        </w:rPr>
        <w:t xml:space="preserve">• </w:t>
      </w:r>
      <w:r>
        <w:rPr>
          <w:rFonts w:ascii="微软雅黑" w:hAnsi="微软雅黑" w:eastAsia="微软雅黑" w:cs="微软雅黑"/>
          <w:b/>
          <w:bCs/>
          <w:color w:val="000000"/>
          <w:sz w:val="24"/>
          <w:szCs w:val="24"/>
        </w:rPr>
        <w:t>如何申请融资？</w:t>
      </w:r>
      <w:r>
        <w:rPr>
          <w:rFonts w:ascii="微软雅黑" w:hAnsi="微软雅黑" w:eastAsia="微软雅黑" w:cs="微软雅黑"/>
          <w:color w:val="000000"/>
          <w:sz w:val="24"/>
          <w:szCs w:val="24"/>
        </w:rPr>
        <w:t xml:space="preserve"> 答：在金融工作台点击“申请额度”，按指引操作。</w:t>
      </w:r>
    </w:p>
    <w:p w14:paraId="05C6C69E">
      <w:pPr>
        <w:ind w:left="720" w:hanging="360"/>
      </w:pPr>
      <w:r>
        <w:rPr>
          <w:rFonts w:ascii="微软雅黑" w:hAnsi="微软雅黑" w:eastAsia="微软雅黑" w:cs="微软雅黑"/>
          <w:sz w:val="24"/>
          <w:szCs w:val="24"/>
        </w:rPr>
        <w:t xml:space="preserve">• </w:t>
      </w:r>
      <w:r>
        <w:rPr>
          <w:rFonts w:ascii="微软雅黑" w:hAnsi="微软雅黑" w:eastAsia="微软雅黑" w:cs="微软雅黑"/>
          <w:b/>
          <w:bCs/>
          <w:color w:val="000000"/>
          <w:sz w:val="24"/>
          <w:szCs w:val="24"/>
        </w:rPr>
        <w:t>额度如何计算？</w:t>
      </w:r>
      <w:r>
        <w:rPr>
          <w:rFonts w:ascii="微软雅黑" w:hAnsi="微软雅黑" w:eastAsia="微软雅黑" w:cs="微软雅黑"/>
          <w:color w:val="000000"/>
          <w:sz w:val="24"/>
          <w:szCs w:val="24"/>
        </w:rPr>
        <w:t xml:space="preserve"> 答：根据您的经营数据动态评估，每月更新。</w:t>
      </w:r>
    </w:p>
    <w:p w14:paraId="39B58AB2">
      <w:pPr>
        <w:ind w:left="720" w:hanging="360"/>
      </w:pPr>
      <w:r>
        <w:rPr>
          <w:rFonts w:ascii="微软雅黑" w:hAnsi="微软雅黑" w:eastAsia="微软雅黑" w:cs="微软雅黑"/>
          <w:sz w:val="24"/>
          <w:szCs w:val="24"/>
        </w:rPr>
        <w:t xml:space="preserve">• </w:t>
      </w:r>
      <w:r>
        <w:rPr>
          <w:rFonts w:ascii="微软雅黑" w:hAnsi="微软雅黑" w:eastAsia="微软雅黑" w:cs="微软雅黑"/>
          <w:b/>
          <w:bCs/>
          <w:color w:val="000000"/>
          <w:sz w:val="24"/>
          <w:szCs w:val="24"/>
        </w:rPr>
        <w:t>还款方式？</w:t>
      </w:r>
      <w:r>
        <w:rPr>
          <w:rFonts w:ascii="微软雅黑" w:hAnsi="微软雅黑" w:eastAsia="微软雅黑" w:cs="微软雅黑"/>
          <w:color w:val="000000"/>
          <w:sz w:val="24"/>
          <w:szCs w:val="24"/>
        </w:rPr>
        <w:t xml:space="preserve"> 答：到期日从您的回款账户自动扣款，您也可提前手动还款。</w:t>
      </w:r>
    </w:p>
    <w:p w14:paraId="20534938">
      <w:pPr>
        <w:ind w:left="720" w:hanging="360"/>
      </w:pPr>
      <w:r>
        <w:rPr>
          <w:rFonts w:ascii="微软雅黑" w:hAnsi="微软雅黑" w:eastAsia="微软雅黑" w:cs="微软雅黑"/>
          <w:sz w:val="24"/>
          <w:szCs w:val="24"/>
        </w:rPr>
        <w:t xml:space="preserve">• </w:t>
      </w:r>
      <w:r>
        <w:rPr>
          <w:rFonts w:ascii="微软雅黑" w:hAnsi="微软雅黑" w:eastAsia="微软雅黑" w:cs="微软雅黑"/>
          <w:b/>
          <w:bCs/>
          <w:color w:val="000000"/>
          <w:sz w:val="24"/>
          <w:szCs w:val="24"/>
        </w:rPr>
        <w:t>逾期怎么办？</w:t>
      </w:r>
      <w:r>
        <w:rPr>
          <w:rFonts w:ascii="微软雅黑" w:hAnsi="微软雅黑" w:eastAsia="微软雅黑" w:cs="微软雅黑"/>
          <w:color w:val="000000"/>
          <w:sz w:val="24"/>
          <w:szCs w:val="24"/>
        </w:rPr>
        <w:t xml:space="preserve"> 答：会产生罚息，并影响后续额度使用，请尽快还款。</w:t>
      </w:r>
    </w:p>
    <w:p w14:paraId="03A9967E">
      <w:pPr>
        <w:pStyle w:val="4"/>
        <w:spacing w:before="240" w:after="120" w:line="360" w:lineRule="auto"/>
      </w:pPr>
      <w:r>
        <w:rPr>
          <w:rFonts w:ascii="微软雅黑" w:hAnsi="微软雅黑" w:eastAsia="微软雅黑" w:cs="微软雅黑"/>
          <w:b/>
          <w:bCs/>
          <w:color w:val="000000"/>
          <w:sz w:val="28"/>
          <w:szCs w:val="28"/>
        </w:rPr>
        <w:t>10.4 逾期催收流程</w:t>
      </w:r>
    </w:p>
    <w:p w14:paraId="467CC0F3">
      <w:pPr>
        <w:ind w:left="720" w:hanging="360"/>
      </w:pPr>
      <w:r>
        <w:rPr>
          <w:rFonts w:ascii="微软雅黑" w:hAnsi="微软雅黑" w:eastAsia="微软雅黑" w:cs="微软雅黑"/>
          <w:sz w:val="24"/>
          <w:szCs w:val="24"/>
        </w:rPr>
        <w:t xml:space="preserve">• </w:t>
      </w:r>
      <w:r>
        <w:rPr>
          <w:rFonts w:ascii="微软雅黑" w:hAnsi="微软雅黑" w:eastAsia="微软雅黑" w:cs="微软雅黑"/>
          <w:b/>
          <w:bCs/>
          <w:color w:val="000000"/>
          <w:sz w:val="24"/>
          <w:szCs w:val="24"/>
        </w:rPr>
        <w:t>第1-3天</w:t>
      </w:r>
      <w:r>
        <w:rPr>
          <w:rFonts w:ascii="微软雅黑" w:hAnsi="微软雅黑" w:eastAsia="微软雅黑" w:cs="微软雅黑"/>
          <w:color w:val="000000"/>
          <w:sz w:val="24"/>
          <w:szCs w:val="24"/>
        </w:rPr>
        <w:t>：短信提醒</w:t>
      </w:r>
    </w:p>
    <w:p w14:paraId="43E21157">
      <w:pPr>
        <w:ind w:left="720" w:hanging="360"/>
      </w:pPr>
      <w:r>
        <w:rPr>
          <w:rFonts w:ascii="微软雅黑" w:hAnsi="微软雅黑" w:eastAsia="微软雅黑" w:cs="微软雅黑"/>
          <w:sz w:val="24"/>
          <w:szCs w:val="24"/>
        </w:rPr>
        <w:t xml:space="preserve">• </w:t>
      </w:r>
      <w:r>
        <w:rPr>
          <w:rFonts w:ascii="微软雅黑" w:hAnsi="微软雅黑" w:eastAsia="微软雅黑" w:cs="微软雅黑"/>
          <w:b/>
          <w:bCs/>
          <w:color w:val="000000"/>
          <w:sz w:val="24"/>
          <w:szCs w:val="24"/>
        </w:rPr>
        <w:t>第4-7天</w:t>
      </w:r>
      <w:r>
        <w:rPr>
          <w:rFonts w:ascii="微软雅黑" w:hAnsi="微软雅黑" w:eastAsia="微软雅黑" w:cs="微软雅黑"/>
          <w:color w:val="000000"/>
          <w:sz w:val="24"/>
          <w:szCs w:val="24"/>
        </w:rPr>
        <w:t>：电话沟通，了解原因</w:t>
      </w:r>
    </w:p>
    <w:p w14:paraId="172FCE4D">
      <w:pPr>
        <w:ind w:left="720" w:hanging="360"/>
      </w:pPr>
      <w:r>
        <w:rPr>
          <w:rFonts w:ascii="微软雅黑" w:hAnsi="微软雅黑" w:eastAsia="微软雅黑" w:cs="微软雅黑"/>
          <w:sz w:val="24"/>
          <w:szCs w:val="24"/>
        </w:rPr>
        <w:t xml:space="preserve">• </w:t>
      </w:r>
      <w:r>
        <w:rPr>
          <w:rFonts w:ascii="微软雅黑" w:hAnsi="微软雅黑" w:eastAsia="微软雅黑" w:cs="微软雅黑"/>
          <w:b/>
          <w:bCs/>
          <w:color w:val="000000"/>
          <w:sz w:val="24"/>
          <w:szCs w:val="24"/>
        </w:rPr>
        <w:t>第8-15天</w:t>
      </w:r>
      <w:r>
        <w:rPr>
          <w:rFonts w:ascii="微软雅黑" w:hAnsi="微软雅黑" w:eastAsia="微软雅黑" w:cs="微软雅黑"/>
          <w:color w:val="000000"/>
          <w:sz w:val="24"/>
          <w:szCs w:val="24"/>
        </w:rPr>
        <w:t>：发送催收函，平台暂停服务</w:t>
      </w:r>
    </w:p>
    <w:p w14:paraId="1F6EE68E">
      <w:pPr>
        <w:ind w:left="720" w:hanging="360"/>
      </w:pPr>
      <w:r>
        <w:rPr>
          <w:rFonts w:ascii="微软雅黑" w:hAnsi="微软雅黑" w:eastAsia="微软雅黑" w:cs="微软雅黑"/>
          <w:sz w:val="24"/>
          <w:szCs w:val="24"/>
        </w:rPr>
        <w:t xml:space="preserve">• </w:t>
      </w:r>
      <w:r>
        <w:rPr>
          <w:rFonts w:ascii="微软雅黑" w:hAnsi="微软雅黑" w:eastAsia="微软雅黑" w:cs="微软雅黑"/>
          <w:b/>
          <w:bCs/>
          <w:color w:val="000000"/>
          <w:sz w:val="24"/>
          <w:szCs w:val="24"/>
        </w:rPr>
        <w:t>超过15天</w:t>
      </w:r>
      <w:r>
        <w:rPr>
          <w:rFonts w:ascii="微软雅黑" w:hAnsi="微软雅黑" w:eastAsia="微软雅黑" w:cs="微软雅黑"/>
          <w:color w:val="000000"/>
          <w:sz w:val="24"/>
          <w:szCs w:val="24"/>
        </w:rPr>
        <w:t>：移交银行法务或合作催收机构</w:t>
      </w:r>
    </w:p>
    <w:p w14:paraId="5434F985">
      <w:pPr>
        <w:pBdr>
          <w:bottom w:val="single" w:color="999999" w:sz="2" w:space="0"/>
        </w:pBdr>
        <w:spacing w:before="240" w:after="240"/>
      </w:pPr>
    </w:p>
    <w:p w14:paraId="6C1755ED">
      <w:pPr>
        <w:pStyle w:val="3"/>
        <w:spacing w:before="240" w:after="120" w:line="360" w:lineRule="auto"/>
      </w:pPr>
      <w:r>
        <w:rPr>
          <w:rFonts w:ascii="微软雅黑" w:hAnsi="微软雅黑" w:eastAsia="微软雅黑" w:cs="微软雅黑"/>
          <w:b/>
          <w:bCs/>
          <w:color w:val="000000"/>
          <w:sz w:val="32"/>
          <w:szCs w:val="32"/>
        </w:rPr>
        <w:t>11. 数据安全与隐私保护方案</w:t>
      </w:r>
    </w:p>
    <w:p w14:paraId="3C9EC08F">
      <w:pPr>
        <w:pStyle w:val="4"/>
        <w:spacing w:before="240" w:after="120" w:line="360" w:lineRule="auto"/>
      </w:pPr>
      <w:r>
        <w:rPr>
          <w:rFonts w:ascii="微软雅黑" w:hAnsi="微软雅黑" w:eastAsia="微软雅黑" w:cs="微软雅黑"/>
          <w:b/>
          <w:bCs/>
          <w:color w:val="000000"/>
          <w:sz w:val="28"/>
          <w:szCs w:val="28"/>
        </w:rPr>
        <w:t>11.1 数据分类与分级</w:t>
      </w:r>
    </w:p>
    <w:p w14:paraId="31D8C388">
      <w:pPr>
        <w:ind w:left="720" w:hanging="360"/>
      </w:pPr>
      <w:r>
        <w:rPr>
          <w:rFonts w:ascii="微软雅黑" w:hAnsi="微软雅黑" w:eastAsia="微软雅黑" w:cs="微软雅黑"/>
          <w:sz w:val="24"/>
          <w:szCs w:val="24"/>
        </w:rPr>
        <w:t xml:space="preserve">• </w:t>
      </w:r>
      <w:r>
        <w:rPr>
          <w:rFonts w:ascii="微软雅黑" w:hAnsi="微软雅黑" w:eastAsia="微软雅黑" w:cs="微软雅黑"/>
          <w:b/>
          <w:bCs/>
          <w:color w:val="000000"/>
          <w:sz w:val="24"/>
          <w:szCs w:val="24"/>
        </w:rPr>
        <w:t>敏感数据</w:t>
      </w:r>
      <w:r>
        <w:rPr>
          <w:rFonts w:ascii="微软雅黑" w:hAnsi="微软雅黑" w:eastAsia="微软雅黑" w:cs="微软雅黑"/>
          <w:color w:val="000000"/>
          <w:sz w:val="24"/>
          <w:szCs w:val="24"/>
        </w:rPr>
        <w:t>：身份证、银行卡号、手机号——加密存储，访问需审批</w:t>
      </w:r>
    </w:p>
    <w:p w14:paraId="24D63D24">
      <w:pPr>
        <w:ind w:left="720" w:hanging="360"/>
      </w:pPr>
      <w:r>
        <w:rPr>
          <w:rFonts w:ascii="微软雅黑" w:hAnsi="微软雅黑" w:eastAsia="微软雅黑" w:cs="微软雅黑"/>
          <w:sz w:val="24"/>
          <w:szCs w:val="24"/>
        </w:rPr>
        <w:t xml:space="preserve">• </w:t>
      </w:r>
      <w:r>
        <w:rPr>
          <w:rFonts w:ascii="微软雅黑" w:hAnsi="微软雅黑" w:eastAsia="微软雅黑" w:cs="微软雅黑"/>
          <w:b/>
          <w:bCs/>
          <w:color w:val="000000"/>
          <w:sz w:val="24"/>
          <w:szCs w:val="24"/>
        </w:rPr>
        <w:t>重要数据</w:t>
      </w:r>
      <w:r>
        <w:rPr>
          <w:rFonts w:ascii="微软雅黑" w:hAnsi="微软雅黑" w:eastAsia="微软雅黑" w:cs="微软雅黑"/>
          <w:color w:val="000000"/>
          <w:sz w:val="24"/>
          <w:szCs w:val="24"/>
        </w:rPr>
        <w:t>：订单、财务流水——仅内部系统可访问</w:t>
      </w:r>
    </w:p>
    <w:p w14:paraId="24499E48">
      <w:pPr>
        <w:ind w:left="720" w:hanging="360"/>
      </w:pPr>
      <w:r>
        <w:rPr>
          <w:rFonts w:ascii="微软雅黑" w:hAnsi="微软雅黑" w:eastAsia="微软雅黑" w:cs="微软雅黑"/>
          <w:sz w:val="24"/>
          <w:szCs w:val="24"/>
        </w:rPr>
        <w:t xml:space="preserve">• </w:t>
      </w:r>
      <w:r>
        <w:rPr>
          <w:rFonts w:ascii="微软雅黑" w:hAnsi="微软雅黑" w:eastAsia="微软雅黑" w:cs="微软雅黑"/>
          <w:b/>
          <w:bCs/>
          <w:color w:val="000000"/>
          <w:sz w:val="24"/>
          <w:szCs w:val="24"/>
        </w:rPr>
        <w:t>一般数据</w:t>
      </w:r>
      <w:r>
        <w:rPr>
          <w:rFonts w:ascii="微软雅黑" w:hAnsi="微软雅黑" w:eastAsia="微软雅黑" w:cs="微软雅黑"/>
          <w:color w:val="000000"/>
          <w:sz w:val="24"/>
          <w:szCs w:val="24"/>
        </w:rPr>
        <w:t>：操作日志、行为数据——常规保护</w:t>
      </w:r>
    </w:p>
    <w:p w14:paraId="6E56EC3D">
      <w:pPr>
        <w:pStyle w:val="4"/>
        <w:spacing w:before="240" w:after="120" w:line="360" w:lineRule="auto"/>
      </w:pPr>
      <w:r>
        <w:rPr>
          <w:rFonts w:ascii="微软雅黑" w:hAnsi="微软雅黑" w:eastAsia="微软雅黑" w:cs="微软雅黑"/>
          <w:b/>
          <w:bCs/>
          <w:color w:val="000000"/>
          <w:sz w:val="28"/>
          <w:szCs w:val="28"/>
        </w:rPr>
        <w:t>11.2 加密传输与存储</w:t>
      </w:r>
    </w:p>
    <w:p w14:paraId="5188931B">
      <w:pPr>
        <w:ind w:left="720" w:hanging="360"/>
      </w:pPr>
      <w:r>
        <w:rPr>
          <w:rFonts w:ascii="微软雅黑" w:hAnsi="微软雅黑" w:eastAsia="微软雅黑" w:cs="微软雅黑"/>
          <w:sz w:val="24"/>
          <w:szCs w:val="24"/>
        </w:rPr>
        <w:t>• 传输：TLS 1.2+，敏感字段额外加密</w:t>
      </w:r>
    </w:p>
    <w:p w14:paraId="1DD4B772">
      <w:pPr>
        <w:ind w:left="720" w:hanging="360"/>
      </w:pPr>
      <w:r>
        <w:rPr>
          <w:rFonts w:ascii="微软雅黑" w:hAnsi="微软雅黑" w:eastAsia="微软雅黑" w:cs="微软雅黑"/>
          <w:sz w:val="24"/>
          <w:szCs w:val="24"/>
        </w:rPr>
        <w:t>• 存储：数据库加密（AES-256），密钥定期轮换</w:t>
      </w:r>
    </w:p>
    <w:p w14:paraId="2D6160AA">
      <w:pPr>
        <w:pStyle w:val="4"/>
        <w:spacing w:before="240" w:after="120" w:line="360" w:lineRule="auto"/>
      </w:pPr>
      <w:r>
        <w:rPr>
          <w:rFonts w:ascii="微软雅黑" w:hAnsi="微软雅黑" w:eastAsia="微软雅黑" w:cs="微软雅黑"/>
          <w:b/>
          <w:bCs/>
          <w:color w:val="000000"/>
          <w:sz w:val="28"/>
          <w:szCs w:val="28"/>
        </w:rPr>
        <w:t>11.3 访问控制与审计</w:t>
      </w:r>
    </w:p>
    <w:p w14:paraId="3874EEB8">
      <w:pPr>
        <w:ind w:left="720" w:hanging="360"/>
      </w:pPr>
      <w:r>
        <w:rPr>
          <w:rFonts w:ascii="微软雅黑" w:hAnsi="微软雅黑" w:eastAsia="微软雅黑" w:cs="微软雅黑"/>
          <w:sz w:val="24"/>
          <w:szCs w:val="24"/>
        </w:rPr>
        <w:t>• 基于角色的访问控制（RBAC）</w:t>
      </w:r>
    </w:p>
    <w:p w14:paraId="41AADC24">
      <w:pPr>
        <w:ind w:left="720" w:hanging="360"/>
      </w:pPr>
      <w:r>
        <w:rPr>
          <w:rFonts w:ascii="微软雅黑" w:hAnsi="微软雅黑" w:eastAsia="微软雅黑" w:cs="微软雅黑"/>
          <w:sz w:val="24"/>
          <w:szCs w:val="24"/>
        </w:rPr>
        <w:t>• 所有数据操作记录日志，定期审计</w:t>
      </w:r>
    </w:p>
    <w:p w14:paraId="4C3D0C2B">
      <w:pPr>
        <w:pStyle w:val="4"/>
        <w:spacing w:before="240" w:after="120" w:line="360" w:lineRule="auto"/>
      </w:pPr>
      <w:r>
        <w:rPr>
          <w:rFonts w:ascii="微软雅黑" w:hAnsi="微软雅黑" w:eastAsia="微软雅黑" w:cs="微软雅黑"/>
          <w:b/>
          <w:bCs/>
          <w:color w:val="000000"/>
          <w:sz w:val="28"/>
          <w:szCs w:val="28"/>
        </w:rPr>
        <w:t>11.4 合规 checklist</w:t>
      </w:r>
    </w:p>
    <w:p w14:paraId="6076257B">
      <w:pPr>
        <w:ind w:left="720" w:hanging="360"/>
      </w:pPr>
      <w:r>
        <w:rPr>
          <w:rFonts w:ascii="微软雅黑" w:hAnsi="微软雅黑" w:eastAsia="微软雅黑" w:cs="微软雅黑"/>
          <w:sz w:val="24"/>
          <w:szCs w:val="24"/>
        </w:rPr>
        <w:t>• 通过等保三级测评</w:t>
      </w:r>
    </w:p>
    <w:p w14:paraId="09CB6426">
      <w:pPr>
        <w:ind w:left="720" w:hanging="360"/>
      </w:pPr>
      <w:r>
        <w:rPr>
          <w:rFonts w:ascii="微软雅黑" w:hAnsi="微软雅黑" w:eastAsia="微软雅黑" w:cs="微软雅黑"/>
          <w:sz w:val="24"/>
          <w:szCs w:val="24"/>
        </w:rPr>
        <w:t>• 制定《隐私政策》《数据安全管理制度》</w:t>
      </w:r>
    </w:p>
    <w:p w14:paraId="110AA257">
      <w:pPr>
        <w:ind w:left="720" w:hanging="360"/>
      </w:pPr>
      <w:r>
        <w:rPr>
          <w:rFonts w:ascii="微软雅黑" w:hAnsi="微软雅黑" w:eastAsia="微软雅黑" w:cs="微软雅黑"/>
          <w:sz w:val="24"/>
          <w:szCs w:val="24"/>
        </w:rPr>
        <w:t>• 定期进行员工安全培训</w:t>
      </w:r>
    </w:p>
    <w:p w14:paraId="28098EEA">
      <w:pPr>
        <w:pBdr>
          <w:bottom w:val="single" w:color="999999" w:sz="2" w:space="0"/>
        </w:pBdr>
        <w:spacing w:before="240" w:after="240"/>
      </w:pPr>
    </w:p>
    <w:p w14:paraId="480F179D">
      <w:pPr>
        <w:pStyle w:val="3"/>
        <w:spacing w:before="240" w:after="120" w:line="360" w:lineRule="auto"/>
      </w:pPr>
      <w:r>
        <w:rPr>
          <w:rFonts w:ascii="微软雅黑" w:hAnsi="微软雅黑" w:eastAsia="微软雅黑" w:cs="微软雅黑"/>
          <w:b/>
          <w:bCs/>
          <w:color w:val="000000"/>
          <w:sz w:val="32"/>
          <w:szCs w:val="32"/>
        </w:rPr>
        <w:t>12. 市场推广与租户教育方案</w:t>
      </w:r>
    </w:p>
    <w:p w14:paraId="571C5373">
      <w:pPr>
        <w:pStyle w:val="4"/>
        <w:spacing w:before="240" w:after="120" w:line="360" w:lineRule="auto"/>
      </w:pPr>
      <w:r>
        <w:rPr>
          <w:rFonts w:ascii="微软雅黑" w:hAnsi="微软雅黑" w:eastAsia="微软雅黑" w:cs="微软雅黑"/>
          <w:b/>
          <w:bCs/>
          <w:color w:val="000000"/>
          <w:sz w:val="28"/>
          <w:szCs w:val="28"/>
        </w:rPr>
        <w:t>12.1 目标租户画像</w:t>
      </w:r>
    </w:p>
    <w:p w14:paraId="374F941C">
      <w:pPr>
        <w:ind w:left="720" w:hanging="360"/>
      </w:pPr>
      <w:r>
        <w:rPr>
          <w:rFonts w:ascii="微软雅黑" w:hAnsi="微软雅黑" w:eastAsia="微软雅黑" w:cs="微软雅黑"/>
          <w:sz w:val="24"/>
          <w:szCs w:val="24"/>
        </w:rPr>
        <w:t>• 使用SaaS超过6个月</w:t>
      </w:r>
    </w:p>
    <w:p w14:paraId="1679DDDA">
      <w:pPr>
        <w:ind w:left="720" w:hanging="360"/>
      </w:pPr>
      <w:r>
        <w:rPr>
          <w:rFonts w:ascii="微软雅黑" w:hAnsi="微软雅黑" w:eastAsia="微软雅黑" w:cs="微软雅黑"/>
          <w:sz w:val="24"/>
          <w:szCs w:val="24"/>
        </w:rPr>
        <w:t>• 月销售额10万以上</w:t>
      </w:r>
    </w:p>
    <w:p w14:paraId="65CE3A2C">
      <w:pPr>
        <w:ind w:left="720" w:hanging="360"/>
      </w:pPr>
      <w:r>
        <w:rPr>
          <w:rFonts w:ascii="微软雅黑" w:hAnsi="微软雅黑" w:eastAsia="微软雅黑" w:cs="微软雅黑"/>
          <w:sz w:val="24"/>
          <w:szCs w:val="24"/>
        </w:rPr>
        <w:t>• 有短期资金周转需求（如旺季备货）</w:t>
      </w:r>
    </w:p>
    <w:p w14:paraId="24ED4500">
      <w:pPr>
        <w:pStyle w:val="4"/>
        <w:spacing w:before="240" w:after="120" w:line="360" w:lineRule="auto"/>
      </w:pPr>
      <w:r>
        <w:rPr>
          <w:rFonts w:ascii="微软雅黑" w:hAnsi="微软雅黑" w:eastAsia="微软雅黑" w:cs="微软雅黑"/>
          <w:b/>
          <w:bCs/>
          <w:color w:val="000000"/>
          <w:sz w:val="28"/>
          <w:szCs w:val="28"/>
        </w:rPr>
        <w:t>12.2 触达渠道</w:t>
      </w:r>
    </w:p>
    <w:p w14:paraId="044BD6DD">
      <w:pPr>
        <w:ind w:left="720" w:hanging="360"/>
      </w:pPr>
      <w:r>
        <w:rPr>
          <w:rFonts w:ascii="微软雅黑" w:hAnsi="微软雅黑" w:eastAsia="微软雅黑" w:cs="微软雅黑"/>
          <w:sz w:val="24"/>
          <w:szCs w:val="24"/>
        </w:rPr>
        <w:t>• SaaS内推送：首页banner、消息中心</w:t>
      </w:r>
    </w:p>
    <w:p w14:paraId="29113264">
      <w:pPr>
        <w:ind w:left="720" w:hanging="360"/>
      </w:pPr>
      <w:r>
        <w:rPr>
          <w:rFonts w:ascii="微软雅黑" w:hAnsi="微软雅黑" w:eastAsia="微软雅黑" w:cs="微软雅黑"/>
          <w:sz w:val="24"/>
          <w:szCs w:val="24"/>
        </w:rPr>
        <w:t>• 微信公众号推文</w:t>
      </w:r>
    </w:p>
    <w:p w14:paraId="086278AD">
      <w:pPr>
        <w:ind w:left="720" w:hanging="360"/>
      </w:pPr>
      <w:r>
        <w:rPr>
          <w:rFonts w:ascii="微软雅黑" w:hAnsi="微软雅黑" w:eastAsia="微软雅黑" w:cs="微软雅黑"/>
          <w:sz w:val="24"/>
          <w:szCs w:val="24"/>
        </w:rPr>
        <w:t>• 线下沙龙/培训会</w:t>
      </w:r>
    </w:p>
    <w:p w14:paraId="48CDC9E8">
      <w:pPr>
        <w:ind w:left="720" w:hanging="360"/>
      </w:pPr>
      <w:r>
        <w:rPr>
          <w:rFonts w:ascii="微软雅黑" w:hAnsi="微软雅黑" w:eastAsia="微软雅黑" w:cs="微软雅黑"/>
          <w:sz w:val="24"/>
          <w:szCs w:val="24"/>
        </w:rPr>
        <w:t>• 客户经理一对一邀约</w:t>
      </w:r>
    </w:p>
    <w:p w14:paraId="57A6CFE5">
      <w:pPr>
        <w:pStyle w:val="4"/>
        <w:spacing w:before="240" w:after="120" w:line="360" w:lineRule="auto"/>
      </w:pPr>
      <w:r>
        <w:rPr>
          <w:rFonts w:ascii="微软雅黑" w:hAnsi="微软雅黑" w:eastAsia="微软雅黑" w:cs="微软雅黑"/>
          <w:b/>
          <w:bCs/>
          <w:color w:val="000000"/>
          <w:sz w:val="28"/>
          <w:szCs w:val="28"/>
        </w:rPr>
        <w:t>12.3 营销文案示例</w:t>
      </w:r>
    </w:p>
    <w:p w14:paraId="31DB1ABD">
      <w:pPr>
        <w:ind w:left="720" w:hanging="360"/>
      </w:pPr>
      <w:r>
        <w:rPr>
          <w:rFonts w:ascii="微软雅黑" w:hAnsi="微软雅黑" w:eastAsia="微软雅黑" w:cs="微软雅黑"/>
          <w:sz w:val="24"/>
          <w:szCs w:val="24"/>
        </w:rPr>
        <w:t xml:space="preserve">• </w:t>
      </w:r>
      <w:r>
        <w:rPr>
          <w:rFonts w:ascii="微软雅黑" w:hAnsi="微软雅黑" w:eastAsia="微软雅黑" w:cs="微软雅黑"/>
          <w:b/>
          <w:bCs/>
          <w:color w:val="000000"/>
          <w:sz w:val="24"/>
          <w:szCs w:val="24"/>
        </w:rPr>
        <w:t>标题</w:t>
      </w:r>
      <w:r>
        <w:rPr>
          <w:rFonts w:ascii="微软雅黑" w:hAnsi="微软雅黑" w:eastAsia="微软雅黑" w:cs="微软雅黑"/>
          <w:color w:val="000000"/>
          <w:sz w:val="24"/>
          <w:szCs w:val="24"/>
        </w:rPr>
        <w:t>：备货缺资金？链禾金融帮您“先采购，后付款”</w:t>
      </w:r>
    </w:p>
    <w:p w14:paraId="048D6F1D">
      <w:pPr>
        <w:ind w:left="720" w:hanging="360"/>
      </w:pPr>
      <w:r>
        <w:rPr>
          <w:rFonts w:ascii="微软雅黑" w:hAnsi="微软雅黑" w:eastAsia="微软雅黑" w:cs="微软雅黑"/>
          <w:sz w:val="24"/>
          <w:szCs w:val="24"/>
        </w:rPr>
        <w:t xml:space="preserve">• </w:t>
      </w:r>
      <w:r>
        <w:rPr>
          <w:rFonts w:ascii="微软雅黑" w:hAnsi="微软雅黑" w:eastAsia="微软雅黑" w:cs="微软雅黑"/>
          <w:b/>
          <w:bCs/>
          <w:color w:val="000000"/>
          <w:sz w:val="24"/>
          <w:szCs w:val="24"/>
        </w:rPr>
        <w:t>内容</w:t>
      </w:r>
      <w:r>
        <w:rPr>
          <w:rFonts w:ascii="微软雅黑" w:hAnsi="微软雅黑" w:eastAsia="微软雅黑" w:cs="微软雅黑"/>
          <w:color w:val="000000"/>
          <w:sz w:val="24"/>
          <w:szCs w:val="24"/>
        </w:rPr>
        <w:t>：基于您的经营数据，最高50万额度，随借随还，按日计息。</w:t>
      </w:r>
    </w:p>
    <w:p w14:paraId="27394CDA">
      <w:pPr>
        <w:pStyle w:val="4"/>
        <w:spacing w:before="240" w:after="120" w:line="360" w:lineRule="auto"/>
      </w:pPr>
      <w:r>
        <w:rPr>
          <w:rFonts w:ascii="微软雅黑" w:hAnsi="微软雅黑" w:eastAsia="微软雅黑" w:cs="微软雅黑"/>
          <w:b/>
          <w:bCs/>
          <w:color w:val="000000"/>
          <w:sz w:val="28"/>
          <w:szCs w:val="28"/>
        </w:rPr>
        <w:t>12.4 培训材料</w:t>
      </w:r>
    </w:p>
    <w:p w14:paraId="65061545">
      <w:pPr>
        <w:ind w:left="720" w:hanging="360"/>
      </w:pPr>
      <w:r>
        <w:rPr>
          <w:rFonts w:ascii="微软雅黑" w:hAnsi="微软雅黑" w:eastAsia="微软雅黑" w:cs="微软雅黑"/>
          <w:sz w:val="24"/>
          <w:szCs w:val="24"/>
        </w:rPr>
        <w:t>• 操作视频：3分钟学会申请融资</w:t>
      </w:r>
    </w:p>
    <w:p w14:paraId="755456E8">
      <w:pPr>
        <w:ind w:left="720" w:hanging="360"/>
      </w:pPr>
      <w:r>
        <w:rPr>
          <w:rFonts w:ascii="微软雅黑" w:hAnsi="微软雅黑" w:eastAsia="微软雅黑" w:cs="微软雅黑"/>
          <w:sz w:val="24"/>
          <w:szCs w:val="24"/>
        </w:rPr>
        <w:t>• 用户手册PDF：详细步骤与常见问题</w:t>
      </w:r>
    </w:p>
    <w:p w14:paraId="53094737">
      <w:pPr>
        <w:pStyle w:val="4"/>
        <w:spacing w:before="240" w:after="120" w:line="360" w:lineRule="auto"/>
      </w:pPr>
      <w:r>
        <w:rPr>
          <w:rFonts w:ascii="微软雅黑" w:hAnsi="微软雅黑" w:eastAsia="微软雅黑" w:cs="微软雅黑"/>
          <w:b/>
          <w:bCs/>
          <w:color w:val="000000"/>
          <w:sz w:val="28"/>
          <w:szCs w:val="28"/>
        </w:rPr>
        <w:t>12.5 首批种子用户招募计划</w:t>
      </w:r>
    </w:p>
    <w:p w14:paraId="16720B5B">
      <w:pPr>
        <w:ind w:left="720" w:hanging="360"/>
      </w:pPr>
      <w:r>
        <w:rPr>
          <w:rFonts w:ascii="微软雅黑" w:hAnsi="微软雅黑" w:eastAsia="微软雅黑" w:cs="微软雅黑"/>
          <w:sz w:val="24"/>
          <w:szCs w:val="24"/>
        </w:rPr>
        <w:t>• 筛选50家优质租户，发送定向邀请</w:t>
      </w:r>
    </w:p>
    <w:p w14:paraId="4CD59060">
      <w:pPr>
        <w:ind w:left="720" w:hanging="360"/>
      </w:pPr>
      <w:r>
        <w:rPr>
          <w:rFonts w:ascii="微软雅黑" w:hAnsi="微软雅黑" w:eastAsia="微软雅黑" w:cs="微软雅黑"/>
          <w:sz w:val="24"/>
          <w:szCs w:val="24"/>
        </w:rPr>
        <w:t>• 前10名成功用款者赠送礼品</w:t>
      </w:r>
    </w:p>
    <w:p w14:paraId="1C72C492">
      <w:pPr>
        <w:ind w:left="720" w:hanging="360"/>
      </w:pPr>
      <w:r>
        <w:rPr>
          <w:rFonts w:ascii="微软雅黑" w:hAnsi="微软雅黑" w:eastAsia="微软雅黑" w:cs="微软雅黑"/>
          <w:sz w:val="24"/>
          <w:szCs w:val="24"/>
        </w:rPr>
        <w:t>• 收集使用反馈，优化产品</w:t>
      </w:r>
    </w:p>
    <w:p w14:paraId="59D507B7">
      <w:pPr>
        <w:pBdr>
          <w:bottom w:val="single" w:color="999999" w:sz="2" w:space="0"/>
        </w:pBdr>
        <w:spacing w:before="240" w:after="240"/>
      </w:pPr>
    </w:p>
    <w:p w14:paraId="273663C6">
      <w:pPr>
        <w:pStyle w:val="3"/>
        <w:spacing w:before="240" w:after="120" w:line="360" w:lineRule="auto"/>
      </w:pPr>
      <w:r>
        <w:rPr>
          <w:rFonts w:ascii="微软雅黑" w:hAnsi="微软雅黑" w:eastAsia="微软雅黑" w:cs="微软雅黑"/>
          <w:b/>
          <w:bCs/>
          <w:color w:val="000000"/>
          <w:sz w:val="32"/>
          <w:szCs w:val="32"/>
        </w:rPr>
        <w:t>13. 法律协议要点清单</w:t>
      </w:r>
    </w:p>
    <w:p w14:paraId="2D679FC5">
      <w:pPr>
        <w:pStyle w:val="4"/>
        <w:spacing w:before="240" w:after="120" w:line="360" w:lineRule="auto"/>
      </w:pPr>
      <w:r>
        <w:rPr>
          <w:rFonts w:ascii="微软雅黑" w:hAnsi="微软雅黑" w:eastAsia="微软雅黑" w:cs="微软雅黑"/>
          <w:b/>
          <w:bCs/>
          <w:color w:val="000000"/>
          <w:sz w:val="28"/>
          <w:szCs w:val="28"/>
        </w:rPr>
        <w:t>13.1 平台与银行之间的协议</w:t>
      </w:r>
    </w:p>
    <w:p w14:paraId="080827E0">
      <w:pPr>
        <w:ind w:left="720" w:hanging="360"/>
      </w:pPr>
      <w:r>
        <w:rPr>
          <w:rFonts w:ascii="微软雅黑" w:hAnsi="微软雅黑" w:eastAsia="微软雅黑" w:cs="微软雅黑"/>
          <w:sz w:val="24"/>
          <w:szCs w:val="24"/>
        </w:rPr>
        <w:t xml:space="preserve">• </w:t>
      </w:r>
      <w:r>
        <w:rPr>
          <w:rFonts w:ascii="微软雅黑" w:hAnsi="微软雅黑" w:eastAsia="微软雅黑" w:cs="微软雅黑"/>
          <w:color w:val="000000"/>
          <w:sz w:val="24"/>
          <w:szCs w:val="24"/>
        </w:rPr>
        <w:t>《供应链金融服务合作协议》
</w:t>
      </w:r>
    </w:p>
    <w:p w14:paraId="1A6AD46D">
      <w:pPr>
        <w:ind w:left="720" w:hanging="360"/>
      </w:pPr>
      <w:r>
        <w:rPr>
          <w:rFonts w:ascii="微软雅黑" w:hAnsi="微软雅黑" w:eastAsia="微软雅黑" w:cs="微软雅黑"/>
          <w:sz w:val="24"/>
          <w:szCs w:val="24"/>
        </w:rPr>
        <w:t>• 双方权利义务、服务范围</w:t>
      </w:r>
    </w:p>
    <w:p w14:paraId="1A494C94">
      <w:pPr>
        <w:ind w:left="720" w:hanging="360"/>
      </w:pPr>
      <w:r>
        <w:rPr>
          <w:rFonts w:ascii="微软雅黑" w:hAnsi="微软雅黑" w:eastAsia="微软雅黑" w:cs="微软雅黑"/>
          <w:sz w:val="24"/>
          <w:szCs w:val="24"/>
        </w:rPr>
        <w:t>• 数据交互与保密条款</w:t>
      </w:r>
    </w:p>
    <w:p w14:paraId="19BEF251">
      <w:pPr>
        <w:ind w:left="720" w:hanging="360"/>
      </w:pPr>
      <w:r>
        <w:rPr>
          <w:rFonts w:ascii="微软雅黑" w:hAnsi="微软雅黑" w:eastAsia="微软雅黑" w:cs="微软雅黑"/>
          <w:sz w:val="24"/>
          <w:szCs w:val="24"/>
        </w:rPr>
        <w:t>• 费用结算方式（技术服务费）</w:t>
      </w:r>
    </w:p>
    <w:p w14:paraId="4A54AA0C">
      <w:pPr>
        <w:ind w:left="720" w:hanging="360"/>
      </w:pPr>
      <w:r>
        <w:rPr>
          <w:rFonts w:ascii="微软雅黑" w:hAnsi="微软雅黑" w:eastAsia="微软雅黑" w:cs="微软雅黑"/>
          <w:sz w:val="24"/>
          <w:szCs w:val="24"/>
        </w:rPr>
        <w:t>• 违约责任与免责条款</w:t>
      </w:r>
    </w:p>
    <w:p w14:paraId="6ED99708">
      <w:pPr>
        <w:pStyle w:val="4"/>
        <w:spacing w:before="240" w:after="120" w:line="360" w:lineRule="auto"/>
      </w:pPr>
      <w:r>
        <w:rPr>
          <w:rFonts w:ascii="微软雅黑" w:hAnsi="微软雅黑" w:eastAsia="微软雅黑" w:cs="微软雅黑"/>
          <w:b/>
          <w:bCs/>
          <w:color w:val="000000"/>
          <w:sz w:val="28"/>
          <w:szCs w:val="28"/>
        </w:rPr>
        <w:t>13.2 平台与租户之间的协议</w:t>
      </w:r>
    </w:p>
    <w:p w14:paraId="4439BA0C">
      <w:pPr>
        <w:ind w:left="720" w:hanging="360"/>
      </w:pPr>
      <w:r>
        <w:rPr>
          <w:rFonts w:ascii="微软雅黑" w:hAnsi="微软雅黑" w:eastAsia="微软雅黑" w:cs="微软雅黑"/>
          <w:sz w:val="24"/>
          <w:szCs w:val="24"/>
        </w:rPr>
        <w:t xml:space="preserve">• </w:t>
      </w:r>
      <w:r>
        <w:rPr>
          <w:rFonts w:ascii="微软雅黑" w:hAnsi="微软雅黑" w:eastAsia="微软雅黑" w:cs="微软雅黑"/>
          <w:color w:val="000000"/>
          <w:sz w:val="24"/>
          <w:szCs w:val="24"/>
        </w:rPr>
        <w:t>《融资服务协议》
</w:t>
      </w:r>
    </w:p>
    <w:p w14:paraId="05486DF6">
      <w:pPr>
        <w:ind w:left="720" w:hanging="360"/>
      </w:pPr>
      <w:r>
        <w:rPr>
          <w:rFonts w:ascii="微软雅黑" w:hAnsi="微软雅黑" w:eastAsia="微软雅黑" w:cs="微软雅黑"/>
          <w:sz w:val="24"/>
          <w:szCs w:val="24"/>
        </w:rPr>
        <w:t>• 服务内容（额度申请、用款、还款）</w:t>
      </w:r>
    </w:p>
    <w:p w14:paraId="24EE3AAA">
      <w:pPr>
        <w:ind w:left="720" w:hanging="360"/>
      </w:pPr>
      <w:r>
        <w:rPr>
          <w:rFonts w:ascii="微软雅黑" w:hAnsi="微软雅黑" w:eastAsia="微软雅黑" w:cs="微软雅黑"/>
          <w:sz w:val="24"/>
          <w:szCs w:val="24"/>
        </w:rPr>
        <w:t>• 授权条款（授权平台查询经营数据、向银行提交申请）</w:t>
      </w:r>
    </w:p>
    <w:p w14:paraId="2F77CDDC">
      <w:pPr>
        <w:ind w:left="720" w:hanging="360"/>
      </w:pPr>
      <w:r>
        <w:rPr>
          <w:rFonts w:ascii="微软雅黑" w:hAnsi="微软雅黑" w:eastAsia="微软雅黑" w:cs="微软雅黑"/>
          <w:sz w:val="24"/>
          <w:szCs w:val="24"/>
        </w:rPr>
        <w:t>• 费用说明（服务费、逾期管理费）</w:t>
      </w:r>
    </w:p>
    <w:p w14:paraId="6F3D2FD5">
      <w:pPr>
        <w:ind w:left="720" w:hanging="360"/>
      </w:pPr>
      <w:r>
        <w:rPr>
          <w:rFonts w:ascii="微软雅黑" w:hAnsi="微软雅黑" w:eastAsia="微软雅黑" w:cs="微软雅黑"/>
          <w:sz w:val="24"/>
          <w:szCs w:val="24"/>
        </w:rPr>
        <w:t xml:space="preserve">• </w:t>
      </w:r>
      <w:r>
        <w:rPr>
          <w:rFonts w:ascii="微软雅黑" w:hAnsi="微软雅黑" w:eastAsia="微软雅黑" w:cs="微软雅黑"/>
          <w:color w:val="000000"/>
          <w:sz w:val="24"/>
          <w:szCs w:val="24"/>
        </w:rPr>
        <w:t>《数据授权书》
</w:t>
      </w:r>
    </w:p>
    <w:p w14:paraId="33160581">
      <w:pPr>
        <w:ind w:left="720" w:hanging="360"/>
      </w:pPr>
      <w:r>
        <w:rPr>
          <w:rFonts w:ascii="微软雅黑" w:hAnsi="微软雅黑" w:eastAsia="微软雅黑" w:cs="微软雅黑"/>
          <w:sz w:val="24"/>
          <w:szCs w:val="24"/>
        </w:rPr>
        <w:t>• 授权平台收集、使用其SaaS数据用于风控</w:t>
      </w:r>
    </w:p>
    <w:p w14:paraId="51120B12">
      <w:pPr>
        <w:ind w:left="720" w:hanging="360"/>
      </w:pPr>
      <w:r>
        <w:rPr>
          <w:rFonts w:ascii="微软雅黑" w:hAnsi="微软雅黑" w:eastAsia="微软雅黑" w:cs="微软雅黑"/>
          <w:sz w:val="24"/>
          <w:szCs w:val="24"/>
        </w:rPr>
        <w:t>• 授权平台将数据共享给合作银行</w:t>
      </w:r>
    </w:p>
    <w:p w14:paraId="6A29B44D">
      <w:pPr>
        <w:pStyle w:val="4"/>
        <w:spacing w:before="240" w:after="120" w:line="360" w:lineRule="auto"/>
      </w:pPr>
      <w:r>
        <w:rPr>
          <w:rFonts w:ascii="微软雅黑" w:hAnsi="微软雅黑" w:eastAsia="微软雅黑" w:cs="微软雅黑"/>
          <w:b/>
          <w:bCs/>
          <w:color w:val="000000"/>
          <w:sz w:val="28"/>
          <w:szCs w:val="28"/>
        </w:rPr>
        <w:t>13.3 租户与银行之间的协议（由银行提供）</w:t>
      </w:r>
    </w:p>
    <w:p w14:paraId="043267FC">
      <w:pPr>
        <w:ind w:left="720" w:hanging="360"/>
      </w:pPr>
      <w:r>
        <w:rPr>
          <w:rFonts w:ascii="微软雅黑" w:hAnsi="微软雅黑" w:eastAsia="微软雅黑" w:cs="微软雅黑"/>
          <w:sz w:val="24"/>
          <w:szCs w:val="24"/>
        </w:rPr>
        <w:t xml:space="preserve">• </w:t>
      </w:r>
      <w:r>
        <w:rPr>
          <w:rFonts w:ascii="微软雅黑" w:hAnsi="微软雅黑" w:eastAsia="微软雅黑" w:cs="微软雅黑"/>
          <w:color w:val="000000"/>
          <w:sz w:val="24"/>
          <w:szCs w:val="24"/>
        </w:rPr>
        <w:t>《借款合同》
</w:t>
      </w:r>
    </w:p>
    <w:p w14:paraId="36987136">
      <w:pPr>
        <w:ind w:left="720" w:hanging="360"/>
      </w:pPr>
      <w:r>
        <w:rPr>
          <w:rFonts w:ascii="微软雅黑" w:hAnsi="微软雅黑" w:eastAsia="微软雅黑" w:cs="微软雅黑"/>
          <w:sz w:val="24"/>
          <w:szCs w:val="24"/>
        </w:rPr>
        <w:t>• 贷款金额、利率、期限、还款方式</w:t>
      </w:r>
    </w:p>
    <w:p w14:paraId="28D9EF5B">
      <w:pPr>
        <w:ind w:left="720" w:hanging="360"/>
      </w:pPr>
      <w:r>
        <w:rPr>
          <w:rFonts w:ascii="微软雅黑" w:hAnsi="微软雅黑" w:eastAsia="微软雅黑" w:cs="微软雅黑"/>
          <w:sz w:val="24"/>
          <w:szCs w:val="24"/>
        </w:rPr>
        <w:t>• 受托支付条款</w:t>
      </w:r>
    </w:p>
    <w:p w14:paraId="6039E853">
      <w:pPr>
        <w:ind w:left="720" w:hanging="360"/>
      </w:pPr>
      <w:r>
        <w:rPr>
          <w:rFonts w:ascii="微软雅黑" w:hAnsi="微软雅黑" w:eastAsia="微软雅黑" w:cs="微软雅黑"/>
          <w:sz w:val="24"/>
          <w:szCs w:val="24"/>
        </w:rPr>
        <w:t>• 逾期罚息与违约责任</w:t>
      </w:r>
    </w:p>
    <w:p w14:paraId="34DE7500">
      <w:pPr>
        <w:ind w:left="720" w:hanging="360"/>
      </w:pPr>
      <w:r>
        <w:rPr>
          <w:rFonts w:ascii="微软雅黑" w:hAnsi="微软雅黑" w:eastAsia="微软雅黑" w:cs="微软雅黑"/>
          <w:sz w:val="24"/>
          <w:szCs w:val="24"/>
        </w:rPr>
        <w:t xml:space="preserve">• </w:t>
      </w:r>
      <w:r>
        <w:rPr>
          <w:rFonts w:ascii="微软雅黑" w:hAnsi="微软雅黑" w:eastAsia="微软雅黑" w:cs="微软雅黑"/>
          <w:color w:val="000000"/>
          <w:sz w:val="24"/>
          <w:szCs w:val="24"/>
        </w:rPr>
        <w:t>《账户监管协议》
</w:t>
      </w:r>
    </w:p>
    <w:p w14:paraId="77710D3D">
      <w:pPr>
        <w:ind w:left="720" w:hanging="360"/>
      </w:pPr>
      <w:r>
        <w:rPr>
          <w:rFonts w:ascii="微软雅黑" w:hAnsi="微软雅黑" w:eastAsia="微软雅黑" w:cs="微软雅黑"/>
          <w:sz w:val="24"/>
          <w:szCs w:val="24"/>
        </w:rPr>
        <w:t>• 约定租户将指定回款账户作为监管账户</w:t>
      </w:r>
    </w:p>
    <w:p w14:paraId="6E2050DC">
      <w:pPr>
        <w:ind w:left="720" w:hanging="360"/>
      </w:pPr>
      <w:r>
        <w:rPr>
          <w:rFonts w:ascii="微软雅黑" w:hAnsi="微软雅黑" w:eastAsia="微软雅黑" w:cs="微软雅黑"/>
          <w:sz w:val="24"/>
          <w:szCs w:val="24"/>
        </w:rPr>
        <w:t>• 授权银行从该账户扣款</w:t>
      </w:r>
    </w:p>
    <w:p w14:paraId="3406973B">
      <w:pPr>
        <w:pStyle w:val="4"/>
        <w:spacing w:before="240" w:after="120" w:line="360" w:lineRule="auto"/>
      </w:pPr>
      <w:r>
        <w:rPr>
          <w:rFonts w:ascii="微软雅黑" w:hAnsi="微软雅黑" w:eastAsia="微软雅黑" w:cs="微软雅黑"/>
          <w:b/>
          <w:bCs/>
          <w:color w:val="000000"/>
          <w:sz w:val="28"/>
          <w:szCs w:val="28"/>
        </w:rPr>
        <w:t>13.4 电子签约要求</w:t>
      </w:r>
    </w:p>
    <w:p w14:paraId="02BADF4B">
      <w:pPr>
        <w:ind w:left="720" w:hanging="360"/>
      </w:pPr>
      <w:r>
        <w:rPr>
          <w:rFonts w:ascii="微软雅黑" w:hAnsi="微软雅黑" w:eastAsia="微软雅黑" w:cs="微软雅黑"/>
          <w:sz w:val="24"/>
          <w:szCs w:val="24"/>
        </w:rPr>
        <w:t>• 所有协议通过符合《电子签名法》的第三方平台签署</w:t>
      </w:r>
    </w:p>
    <w:p w14:paraId="5B14C9AD">
      <w:pPr>
        <w:ind w:left="720" w:hanging="360"/>
      </w:pPr>
      <w:r>
        <w:rPr>
          <w:rFonts w:ascii="微软雅黑" w:hAnsi="微软雅黑" w:eastAsia="微软雅黑" w:cs="微软雅黑"/>
          <w:sz w:val="24"/>
          <w:szCs w:val="24"/>
        </w:rPr>
        <w:t>• 签约过程存证，确保法律效力</w:t>
      </w:r>
    </w:p>
    <w:p w14:paraId="7DB5A7CE">
      <w:pPr>
        <w:pBdr>
          <w:bottom w:val="single" w:color="999999" w:sz="2" w:space="0"/>
        </w:pBdr>
        <w:spacing w:before="240" w:after="240"/>
      </w:pPr>
    </w:p>
    <w:p w14:paraId="7351FC39">
      <w:pPr>
        <w:pStyle w:val="3"/>
        <w:spacing w:before="240" w:after="120" w:line="360" w:lineRule="auto"/>
      </w:pPr>
      <w:r>
        <w:rPr>
          <w:rFonts w:ascii="微软雅黑" w:hAnsi="微软雅黑" w:eastAsia="微软雅黑" w:cs="微软雅黑"/>
          <w:b/>
          <w:bCs/>
          <w:color w:val="000000"/>
          <w:sz w:val="32"/>
          <w:szCs w:val="32"/>
        </w:rPr>
        <w:t>14. 结语</w:t>
      </w:r>
    </w:p>
    <w:p w14:paraId="6740801D">
      <w:pPr>
        <w:spacing w:before="0" w:after="120" w:line="360" w:lineRule="exact"/>
      </w:pPr>
      <w:r>
        <w:rPr>
          <w:rFonts w:ascii="微软雅黑" w:hAnsi="微软雅黑" w:eastAsia="微软雅黑" w:cs="微软雅黑"/>
          <w:color w:val="000000"/>
          <w:sz w:val="24"/>
          <w:szCs w:val="24"/>
        </w:rPr>
        <w:t>本方案全面梳理了链禾农业供应链金融服务平台在对接银行过程中的需求、准备、执行与运营要点。平台应尽快组建专项团队，按照方案逐步推进，优先启动试点验证，在实践中不断优化。通过“SaaS+供应链金融”的深度融合，平台将实现从工具提供商到产业赋能平台的关键一跃，为租户、银行和自身创造长期价值。</w:t>
      </w:r>
    </w:p>
    <w:p w14:paraId="4D578F52">
      <w:pPr>
        <w:spacing w:before="0" w:after="120" w:line="360" w:lineRule="exact"/>
      </w:pPr>
      <w:bookmarkStart w:id="0" w:name="_GoBack"/>
      <w:bookmarkEnd w:id="0"/>
    </w:p>
    <w:sectPr>
      <w:pgSz w:w="11908" w:h="16833"/>
      <w:pgMar w:top="1440" w:right="1802" w:bottom="1440" w:left="1802"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微软雅黑">
    <w:altName w:val="汉仪旗黑"/>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displayBackgroundShape w:val="1"/>
  <w:documentProtection w:enforcement="0"/>
  <w:footnotePr>
    <w:footnote w:id="0"/>
    <w:footnote w:id="1"/>
  </w:footnotePr>
  <w:endnotePr>
    <w:endnote w:id="0"/>
    <w:endnote w:id="1"/>
  </w:endnotePr>
  <w:compat>
    <w:useFELayout/>
    <w:compatSetting w:name="compatibilityMode" w:uri="http://schemas.microsoft.com/office/word" w:val="15"/>
  </w:compat>
  <w:rsids>
    <w:rsidRoot w:val="00000000"/>
    <w:rsid w:val="6FECBF5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line="360" w:lineRule="auto"/>
    </w:pPr>
    <w:rPr>
      <w:rFonts w:ascii="微软雅黑" w:hAnsi="微软雅黑" w:eastAsia="微软雅黑" w:cs="微软雅黑"/>
      <w:sz w:val="24"/>
      <w:szCs w:val="24"/>
    </w:rPr>
  </w:style>
  <w:style w:type="paragraph" w:styleId="2">
    <w:name w:val="heading 1"/>
    <w:next w:val="1"/>
    <w:uiPriority w:val="0"/>
    <w:pPr>
      <w:spacing w:before="240" w:after="120"/>
    </w:pPr>
    <w:rPr>
      <w:rFonts w:ascii="微软雅黑" w:hAnsi="微软雅黑" w:eastAsia="微软雅黑" w:cs="微软雅黑"/>
      <w:b/>
      <w:bCs/>
      <w:sz w:val="36"/>
      <w:szCs w:val="36"/>
    </w:rPr>
  </w:style>
  <w:style w:type="paragraph" w:styleId="3">
    <w:name w:val="heading 2"/>
    <w:next w:val="1"/>
    <w:uiPriority w:val="0"/>
    <w:pPr>
      <w:spacing w:before="240" w:after="120"/>
    </w:pPr>
    <w:rPr>
      <w:rFonts w:ascii="微软雅黑" w:hAnsi="微软雅黑" w:eastAsia="微软雅黑" w:cs="微软雅黑"/>
      <w:b/>
      <w:bCs/>
      <w:sz w:val="32"/>
      <w:szCs w:val="32"/>
    </w:rPr>
  </w:style>
  <w:style w:type="paragraph" w:styleId="4">
    <w:name w:val="heading 3"/>
    <w:next w:val="1"/>
    <w:uiPriority w:val="0"/>
    <w:pPr>
      <w:spacing w:before="240" w:after="120"/>
    </w:pPr>
    <w:rPr>
      <w:rFonts w:ascii="微软雅黑" w:hAnsi="微软雅黑" w:eastAsia="微软雅黑" w:cs="微软雅黑"/>
      <w:b/>
      <w:bCs/>
      <w:sz w:val="28"/>
      <w:szCs w:val="28"/>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footnote text"/>
    <w:basedOn w:val="1"/>
    <w:link w:val="15"/>
    <w:semiHidden/>
    <w:unhideWhenUsed/>
    <w:uiPriority w:val="99"/>
    <w:pPr>
      <w:spacing w:after="0" w:line="240" w:lineRule="auto"/>
    </w:pPr>
    <w:rPr>
      <w:sz w:val="20"/>
      <w:szCs w:val="20"/>
    </w:rPr>
  </w:style>
  <w:style w:type="paragraph" w:styleId="9">
    <w:name w:val="Title"/>
    <w:basedOn w:val="1"/>
    <w:next w:val="1"/>
    <w:qFormat/>
    <w:uiPriority w:val="0"/>
    <w:rPr>
      <w:sz w:val="56"/>
      <w:szCs w:val="56"/>
    </w:rPr>
  </w:style>
  <w:style w:type="character" w:styleId="12">
    <w:name w:val="Hyperlink"/>
    <w:unhideWhenUsed/>
    <w:uiPriority w:val="99"/>
    <w:rPr>
      <w:color w:val="0563C1"/>
      <w:u w:val="single"/>
    </w:rPr>
  </w:style>
  <w:style w:type="character" w:styleId="13">
    <w:name w:val="footnote reference"/>
    <w:semiHidden/>
    <w:unhideWhenUsed/>
    <w:uiPriority w:val="99"/>
    <w:rPr>
      <w:vertAlign w:val="superscript"/>
    </w:rPr>
  </w:style>
  <w:style w:type="paragraph" w:styleId="14">
    <w:name w:val="List Paragraph"/>
    <w:basedOn w:val="1"/>
    <w:qFormat/>
    <w:uiPriority w:val="0"/>
  </w:style>
  <w:style w:type="character" w:customStyle="1" w:styleId="15">
    <w:name w:val="Footnote Text Char"/>
    <w:link w:val="8"/>
    <w:semiHidden/>
    <w:unhideWhenUsed/>
    <w:uiPriority w:val="99"/>
    <w:rPr>
      <w:sz w:val="20"/>
      <w:szCs w:val="20"/>
    </w:rPr>
  </w:style>
  <w:style w:type="paragraph" w:customStyle="1" w:styleId="16">
    <w:name w:val="Code"/>
    <w:basedOn w:val="1"/>
    <w:next w:val="1"/>
    <w:uiPriority w:val="0"/>
    <w:pPr>
      <w:spacing w:before="120" w:after="120" w:line="240" w:lineRule="auto"/>
    </w:pPr>
    <w:rPr>
      <w:rFonts w:ascii="Consolas" w:hAnsi="Consolas" w:eastAsia="Consolas" w:cs="Consolas"/>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TotalTime>0</TotalTime>
  <ScaleCrop>false</ScaleCrop>
  <LinksUpToDate>false</LinksUpToDate>
  <Application>WPS Office_12.1.24709.24709_F1E327BC-269C-435d-A152-05C5408002CA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Markdown To Word Converter</dc:creator>
  <dc:description>Document converted from Markdown/HTML</dc:description>
  <cp:lastModifiedBy>程老妖</cp:lastModifiedBy>
  <dcterms:modified xsi:type="dcterms:W3CDTF">2026-02-26T15:16:47Z</dcterms:modified>
  <dc:title>Converted Document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5493FD147F1FCED05FF39F69C445BEA2_42</vt:lpwstr>
  </property>
</Properties>
</file>