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2CDA" w14:textId="5D7728B3"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Project</w:t>
      </w:r>
    </w:p>
    <w:p w14:paraId="1426C16B" w14:textId="77777777" w:rsidR="007163C2" w:rsidRPr="00EC5752" w:rsidRDefault="007163C2" w:rsidP="00EC5752">
      <w:pPr>
        <w:spacing w:line="480" w:lineRule="auto"/>
        <w:rPr>
          <w:rFonts w:ascii="Times New Roman" w:hAnsi="Times New Roman" w:cs="Times New Roman"/>
        </w:rPr>
      </w:pPr>
    </w:p>
    <w:p w14:paraId="60400EBD" w14:textId="77777777" w:rsidR="007163C2" w:rsidRPr="00EC5752" w:rsidRDefault="007163C2" w:rsidP="00EC5752">
      <w:pPr>
        <w:spacing w:line="480" w:lineRule="auto"/>
        <w:rPr>
          <w:rFonts w:ascii="Times New Roman" w:hAnsi="Times New Roman" w:cs="Times New Roman"/>
        </w:rPr>
      </w:pPr>
    </w:p>
    <w:p w14:paraId="0C693A01" w14:textId="7E74C1E9"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Executive summary:</w:t>
      </w:r>
    </w:p>
    <w:p w14:paraId="79260C2E" w14:textId="77777777" w:rsidR="007163C2" w:rsidRPr="00EC5752" w:rsidRDefault="007163C2" w:rsidP="00EC5752">
      <w:pPr>
        <w:spacing w:line="480" w:lineRule="auto"/>
        <w:rPr>
          <w:rFonts w:ascii="Times New Roman" w:hAnsi="Times New Roman" w:cs="Times New Roman"/>
        </w:rPr>
      </w:pPr>
    </w:p>
    <w:p w14:paraId="599771D5" w14:textId="22C1A00E"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Report purpose: Analyze performance of a portfolio of 15 tech stocks from 2015-2022</w:t>
      </w:r>
    </w:p>
    <w:p w14:paraId="21F6EFAB"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Portfolio tickers: ADI, AMD, ASML, AVGO, INTC, KLAC, LRCX, MCHP, MRVL, MU, NVDA, NXPI, QCOM, TSM, TXN</w:t>
      </w:r>
    </w:p>
    <w:p w14:paraId="19552D31"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Asset with highest Sharpe ratio: NVDA (1.574634)</w:t>
      </w:r>
    </w:p>
    <w:p w14:paraId="73B381DF"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Tangency portfolio without short sales: Sharpe ratio (1.238394), expected return (23.14006), variance (29.07216), standard deviation (18.67795)</w:t>
      </w:r>
    </w:p>
    <w:p w14:paraId="488A3662"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Investment in risk-free asset: 99780.86</w:t>
      </w:r>
    </w:p>
    <w:p w14:paraId="79551681"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Monthly risk: 0.01181556</w:t>
      </w:r>
    </w:p>
    <w:p w14:paraId="504D48F3"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5% monthly value-at-risk: 1943.486</w:t>
      </w:r>
    </w:p>
    <w:p w14:paraId="3FF4764F"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5% monthly expected shortfall: -7562.79</w:t>
      </w:r>
    </w:p>
    <w:p w14:paraId="206B7AFC"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Most highly correlated assets: MCHP and ADI (correlation of 0.8420411)</w:t>
      </w:r>
    </w:p>
    <w:p w14:paraId="5659D78F"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Least correlated assets: INTC and AMD (correlation of 0.05891984)</w:t>
      </w:r>
    </w:p>
    <w:p w14:paraId="4FAF63C3" w14:textId="77777777"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 xml:space="preserve">PCA analysis: First principal component accounts for 51.795% of total variance, top three principal components account for 67.477% of total </w:t>
      </w:r>
      <w:proofErr w:type="gramStart"/>
      <w:r w:rsidRPr="00EC5752">
        <w:rPr>
          <w:rFonts w:ascii="Times New Roman" w:hAnsi="Times New Roman" w:cs="Times New Roman"/>
        </w:rPr>
        <w:t>variance</w:t>
      </w:r>
      <w:proofErr w:type="gramEnd"/>
    </w:p>
    <w:p w14:paraId="3BCA1972" w14:textId="16930F60" w:rsidR="007163C2" w:rsidRPr="00EC5752" w:rsidRDefault="007163C2" w:rsidP="00EC5752">
      <w:pPr>
        <w:pStyle w:val="ListParagraph"/>
        <w:numPr>
          <w:ilvl w:val="0"/>
          <w:numId w:val="1"/>
        </w:numPr>
        <w:spacing w:line="480" w:lineRule="auto"/>
        <w:rPr>
          <w:rFonts w:ascii="Times New Roman" w:hAnsi="Times New Roman" w:cs="Times New Roman"/>
        </w:rPr>
      </w:pPr>
      <w:r w:rsidRPr="00EC5752">
        <w:rPr>
          <w:rFonts w:ascii="Times New Roman" w:hAnsi="Times New Roman" w:cs="Times New Roman"/>
        </w:rPr>
        <w:t>Top 10 individual scores in PCA analysis show different values for each dimension, with no clear pattern across time.</w:t>
      </w:r>
    </w:p>
    <w:p w14:paraId="2A4E8245" w14:textId="77777777" w:rsidR="007163C2" w:rsidRPr="00EC5752" w:rsidRDefault="007163C2" w:rsidP="00EC5752">
      <w:pPr>
        <w:spacing w:line="480" w:lineRule="auto"/>
        <w:rPr>
          <w:rFonts w:ascii="Times New Roman" w:hAnsi="Times New Roman" w:cs="Times New Roman"/>
        </w:rPr>
      </w:pPr>
    </w:p>
    <w:p w14:paraId="73124798" w14:textId="4B858921"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Descriptive Statistics:</w:t>
      </w:r>
    </w:p>
    <w:p w14:paraId="46E305A4" w14:textId="77777777" w:rsidR="007163C2" w:rsidRPr="00EC5752" w:rsidRDefault="007163C2" w:rsidP="00EC5752">
      <w:pPr>
        <w:spacing w:line="480" w:lineRule="auto"/>
        <w:rPr>
          <w:rFonts w:ascii="Times New Roman" w:hAnsi="Times New Roman" w:cs="Times New Roman"/>
        </w:rPr>
      </w:pPr>
    </w:p>
    <w:p w14:paraId="04CA956D" w14:textId="1BFB77C1"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lastRenderedPageBreak/>
        <w:t>We obtained monthly return data for the portfolio from January 2015 to December 2022 from Yahoo Finance. We calculated the mean, standard deviation, skewness, kurtosis, and beta for each stock in the portfolio based on the monthly returns. We also calculated the correlation matrix and performed principal component analysis (PCA) to determine the relationship between the stocks.</w:t>
      </w:r>
    </w:p>
    <w:p w14:paraId="7876217C" w14:textId="5517464A"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noProof/>
        </w:rPr>
        <w:drawing>
          <wp:inline distT="0" distB="0" distL="0" distR="0" wp14:anchorId="78F0695C" wp14:editId="0FAF1A02">
            <wp:extent cx="5731510" cy="3865245"/>
            <wp:effectExtent l="0" t="0" r="0" b="0"/>
            <wp:docPr id="2021849614" name="Picture 1"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49614" name="Picture 1" descr="A picture containing text, screenshot, font, black and wh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865245"/>
                    </a:xfrm>
                    <a:prstGeom prst="rect">
                      <a:avLst/>
                    </a:prstGeom>
                  </pic:spPr>
                </pic:pic>
              </a:graphicData>
            </a:graphic>
          </wp:inline>
        </w:drawing>
      </w:r>
    </w:p>
    <w:p w14:paraId="2FE22E3F" w14:textId="77777777" w:rsidR="007163C2" w:rsidRPr="00EC5752" w:rsidRDefault="007163C2" w:rsidP="00EC5752">
      <w:pPr>
        <w:spacing w:line="480" w:lineRule="auto"/>
        <w:rPr>
          <w:rFonts w:ascii="Times New Roman" w:hAnsi="Times New Roman" w:cs="Times New Roman"/>
        </w:rPr>
      </w:pPr>
    </w:p>
    <w:p w14:paraId="5D162B23" w14:textId="27F8327E"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Stationarity tests:</w:t>
      </w:r>
    </w:p>
    <w:p w14:paraId="25FAE611" w14:textId="681086F4"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noProof/>
        </w:rPr>
        <w:lastRenderedPageBreak/>
        <w:drawing>
          <wp:inline distT="0" distB="0" distL="0" distR="0" wp14:anchorId="4A0C618B" wp14:editId="1B1AA3F4">
            <wp:extent cx="2806700" cy="3949700"/>
            <wp:effectExtent l="0" t="0" r="0" b="0"/>
            <wp:docPr id="1648571502" name="Picture 2" descr="A picture containing text, screenshot, fon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1502" name="Picture 2" descr="A picture containing text, screenshot, font, typograph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06700" cy="3949700"/>
                    </a:xfrm>
                    <a:prstGeom prst="rect">
                      <a:avLst/>
                    </a:prstGeom>
                  </pic:spPr>
                </pic:pic>
              </a:graphicData>
            </a:graphic>
          </wp:inline>
        </w:drawing>
      </w:r>
    </w:p>
    <w:p w14:paraId="022BD091"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The table provides descriptive statistics for 15 different assets. Here is a breakdown of what each column represents:</w:t>
      </w:r>
    </w:p>
    <w:p w14:paraId="65ECEAD1" w14:textId="77777777" w:rsidR="007163C2" w:rsidRPr="00EC5752" w:rsidRDefault="007163C2" w:rsidP="00EC5752">
      <w:pPr>
        <w:spacing w:line="480" w:lineRule="auto"/>
        <w:rPr>
          <w:rFonts w:ascii="Times New Roman" w:hAnsi="Times New Roman" w:cs="Times New Roman"/>
        </w:rPr>
      </w:pPr>
    </w:p>
    <w:p w14:paraId="4CF95135"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Asset: The ticker symbol of the asset.</w:t>
      </w:r>
    </w:p>
    <w:p w14:paraId="13AD43B6"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xml:space="preserve">- Mean: The average value of the asset over the given </w:t>
      </w:r>
      <w:proofErr w:type="gramStart"/>
      <w:r w:rsidRPr="00EC5752">
        <w:rPr>
          <w:rFonts w:ascii="Times New Roman" w:hAnsi="Times New Roman" w:cs="Times New Roman"/>
        </w:rPr>
        <w:t>time period</w:t>
      </w:r>
      <w:proofErr w:type="gramEnd"/>
      <w:r w:rsidRPr="00EC5752">
        <w:rPr>
          <w:rFonts w:ascii="Times New Roman" w:hAnsi="Times New Roman" w:cs="Times New Roman"/>
        </w:rPr>
        <w:t>.</w:t>
      </w:r>
    </w:p>
    <w:p w14:paraId="790B4E58"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xml:space="preserve">- SD: The standard deviation of the asset over the given </w:t>
      </w:r>
      <w:proofErr w:type="gramStart"/>
      <w:r w:rsidRPr="00EC5752">
        <w:rPr>
          <w:rFonts w:ascii="Times New Roman" w:hAnsi="Times New Roman" w:cs="Times New Roman"/>
        </w:rPr>
        <w:t>time period</w:t>
      </w:r>
      <w:proofErr w:type="gramEnd"/>
      <w:r w:rsidRPr="00EC5752">
        <w:rPr>
          <w:rFonts w:ascii="Times New Roman" w:hAnsi="Times New Roman" w:cs="Times New Roman"/>
        </w:rPr>
        <w:t>. It measures the amount of variation or dispersion of the data.</w:t>
      </w:r>
    </w:p>
    <w:p w14:paraId="41C96CC5"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Skewness: A measure of the asymmetry of the distribution of the asset returns. A positive skewness indicates that the distribution has a tail that extends to the right, while a negative skewness indicates that the distribution has a tail that extends to the left. A value of 0 means the distribution is symmetric.</w:t>
      </w:r>
    </w:p>
    <w:p w14:paraId="675EA37F"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xml:space="preserve">- Kurtosis: A measure of the </w:t>
      </w:r>
      <w:proofErr w:type="spellStart"/>
      <w:r w:rsidRPr="00EC5752">
        <w:rPr>
          <w:rFonts w:ascii="Times New Roman" w:hAnsi="Times New Roman" w:cs="Times New Roman"/>
        </w:rPr>
        <w:t>peakedness</w:t>
      </w:r>
      <w:proofErr w:type="spellEnd"/>
      <w:r w:rsidRPr="00EC5752">
        <w:rPr>
          <w:rFonts w:ascii="Times New Roman" w:hAnsi="Times New Roman" w:cs="Times New Roman"/>
        </w:rPr>
        <w:t xml:space="preserve"> of the distribution of the asset returns. A positive kurtosis means that the distribution has more extreme values than a normal distribution, while </w:t>
      </w:r>
      <w:r w:rsidRPr="00EC5752">
        <w:rPr>
          <w:rFonts w:ascii="Times New Roman" w:hAnsi="Times New Roman" w:cs="Times New Roman"/>
        </w:rPr>
        <w:lastRenderedPageBreak/>
        <w:t>a negative kurtosis means that the distribution has fewer extreme values than a normal distribution.</w:t>
      </w:r>
    </w:p>
    <w:p w14:paraId="34B3287D" w14:textId="77777777" w:rsidR="007163C2" w:rsidRPr="00EC5752" w:rsidRDefault="007163C2" w:rsidP="00EC5752">
      <w:pPr>
        <w:spacing w:line="480" w:lineRule="auto"/>
        <w:rPr>
          <w:rFonts w:ascii="Times New Roman" w:hAnsi="Times New Roman" w:cs="Times New Roman"/>
        </w:rPr>
      </w:pPr>
    </w:p>
    <w:p w14:paraId="582505B8"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xml:space="preserve">The </w:t>
      </w:r>
      <w:proofErr w:type="spellStart"/>
      <w:r w:rsidRPr="00EC5752">
        <w:rPr>
          <w:rFonts w:ascii="Times New Roman" w:hAnsi="Times New Roman" w:cs="Times New Roman"/>
        </w:rPr>
        <w:t>ADF_p_value</w:t>
      </w:r>
      <w:proofErr w:type="spellEnd"/>
      <w:r w:rsidRPr="00EC5752">
        <w:rPr>
          <w:rFonts w:ascii="Times New Roman" w:hAnsi="Times New Roman" w:cs="Times New Roman"/>
        </w:rPr>
        <w:t xml:space="preserve"> column provides the p-value for the Augmented Dickey-Fuller test of stationarity for each asset. This test is used to determine whether a time series is stationary or not. A p-value less than 0.05 suggests that the series is stationary, while a p-value greater than 0.05 suggests that it is not.</w:t>
      </w:r>
    </w:p>
    <w:p w14:paraId="1F595A88" w14:textId="77777777" w:rsidR="007163C2" w:rsidRPr="00EC5752" w:rsidRDefault="007163C2" w:rsidP="00EC5752">
      <w:pPr>
        <w:spacing w:line="480" w:lineRule="auto"/>
        <w:rPr>
          <w:rFonts w:ascii="Times New Roman" w:hAnsi="Times New Roman" w:cs="Times New Roman"/>
        </w:rPr>
      </w:pPr>
    </w:p>
    <w:p w14:paraId="41F2E275"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Overall, it seems that these assets have different levels of variability, skewness, and kurtosis. Some of them have higher means and standard deviations, while others have lower means and standard deviations. Additionally, some of them have positively skewed distributions, while others have negatively skewed distributions. Finally, some of them have distributions that are more peaked than a normal distribution, while others have less peaked distributions.</w:t>
      </w:r>
    </w:p>
    <w:p w14:paraId="1DE66E2F" w14:textId="77777777" w:rsidR="007163C2" w:rsidRPr="00EC5752" w:rsidRDefault="007163C2" w:rsidP="00EC5752">
      <w:pPr>
        <w:spacing w:line="480" w:lineRule="auto"/>
        <w:rPr>
          <w:rFonts w:ascii="Times New Roman" w:hAnsi="Times New Roman" w:cs="Times New Roman"/>
        </w:rPr>
      </w:pPr>
    </w:p>
    <w:p w14:paraId="2A848D28" w14:textId="2C1DC616"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xml:space="preserve">The </w:t>
      </w:r>
      <w:proofErr w:type="spellStart"/>
      <w:r w:rsidRPr="00EC5752">
        <w:rPr>
          <w:rFonts w:ascii="Times New Roman" w:hAnsi="Times New Roman" w:cs="Times New Roman"/>
        </w:rPr>
        <w:t>ADF_p_value</w:t>
      </w:r>
      <w:proofErr w:type="spellEnd"/>
      <w:r w:rsidRPr="00EC5752">
        <w:rPr>
          <w:rFonts w:ascii="Times New Roman" w:hAnsi="Times New Roman" w:cs="Times New Roman"/>
        </w:rPr>
        <w:t xml:space="preserve"> column indicates whether each asset's returns are stationary or not. Most of the assets have p-values less than 0.05, which suggests that their returns are stationary. However, a few assets have p-values greater than 0.05, which suggests that their returns are not stationary. It is important to note that non-stationary time series can be more difficult to model and forecast accurately.</w:t>
      </w:r>
    </w:p>
    <w:p w14:paraId="2A0332FF" w14:textId="77777777" w:rsidR="007163C2" w:rsidRPr="00EC5752" w:rsidRDefault="007163C2" w:rsidP="00EC5752">
      <w:pPr>
        <w:spacing w:line="480" w:lineRule="auto"/>
        <w:rPr>
          <w:rFonts w:ascii="Times New Roman" w:hAnsi="Times New Roman" w:cs="Times New Roman"/>
        </w:rPr>
      </w:pPr>
    </w:p>
    <w:p w14:paraId="437A98DF"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Summary of the statistical analysis:</w:t>
      </w:r>
    </w:p>
    <w:p w14:paraId="005F614B" w14:textId="2E8E530C" w:rsidR="00EC5752" w:rsidRDefault="00EC5752" w:rsidP="00EC5752">
      <w:pPr>
        <w:spacing w:line="480" w:lineRule="auto"/>
        <w:rPr>
          <w:rFonts w:ascii="Times New Roman" w:hAnsi="Times New Roman" w:cs="Times New Roman"/>
        </w:rPr>
      </w:pPr>
      <w:r w:rsidRPr="00EC5752">
        <w:rPr>
          <w:rFonts w:ascii="Times New Roman" w:hAnsi="Times New Roman" w:cs="Times New Roman"/>
        </w:rPr>
        <w:t>Factor Analysis</w:t>
      </w:r>
      <w:r>
        <w:rPr>
          <w:rFonts w:ascii="Times New Roman" w:hAnsi="Times New Roman" w:cs="Times New Roman"/>
        </w:rPr>
        <w:t xml:space="preserve"> Output:</w:t>
      </w:r>
    </w:p>
    <w:p w14:paraId="5E7DC15A" w14:textId="37EC5400" w:rsidR="007163C2" w:rsidRPr="00EC5752" w:rsidRDefault="00EC5752" w:rsidP="00EC575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924E619" wp14:editId="0838AFF6">
            <wp:extent cx="5731510" cy="5492750"/>
            <wp:effectExtent l="0" t="0" r="0" b="6350"/>
            <wp:docPr id="804095571"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95571" name="Picture 3"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5492750"/>
                    </a:xfrm>
                    <a:prstGeom prst="rect">
                      <a:avLst/>
                    </a:prstGeom>
                  </pic:spPr>
                </pic:pic>
              </a:graphicData>
            </a:graphic>
          </wp:inline>
        </w:drawing>
      </w:r>
      <w:r w:rsidR="007163C2" w:rsidRPr="00EC5752">
        <w:rPr>
          <w:rFonts w:ascii="Times New Roman" w:hAnsi="Times New Roman" w:cs="Times New Roman"/>
        </w:rPr>
        <w:br/>
        <w:t>The purpose of this report is to analyze the performance of a portfolio consisting of fifteen technology stocks over a period of eight years from 2015 to 2022. The portfolio includes the following tickers: ADI, AMD, ASML, AVGO, INTC, KLAC, LRCX, MCHP, MRVL, MU, NVDA, NXPI, QCOM, TSM, and TXN.</w:t>
      </w:r>
    </w:p>
    <w:p w14:paraId="196F7782" w14:textId="77777777" w:rsidR="007163C2" w:rsidRPr="00EC5752" w:rsidRDefault="007163C2" w:rsidP="00EC5752">
      <w:pPr>
        <w:spacing w:line="480" w:lineRule="auto"/>
        <w:rPr>
          <w:rFonts w:ascii="Times New Roman" w:hAnsi="Times New Roman" w:cs="Times New Roman"/>
        </w:rPr>
      </w:pPr>
    </w:p>
    <w:p w14:paraId="64487996"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 xml:space="preserve">Based on the findings, the asset with the highest Sharpe ratio is NVDA with a Sharpe ratio of 1.574634. The tangency portfolio without short sales has a Sharpe ratio of 1.238394, an expected return of 23.14006, a variance of 29.07216, and a standard deviation of 18.67795. </w:t>
      </w:r>
      <w:r w:rsidRPr="00EC5752">
        <w:rPr>
          <w:rFonts w:ascii="Times New Roman" w:hAnsi="Times New Roman" w:cs="Times New Roman"/>
        </w:rPr>
        <w:lastRenderedPageBreak/>
        <w:t>The investment in the risk-free asset is 99780.86, the monthly risk is 0.01181556, the 5% monthly value-at-risk is 1943.486, and the 5% monthly expected shortfall is -7562.79.</w:t>
      </w:r>
    </w:p>
    <w:p w14:paraId="4B6D54A5" w14:textId="77777777" w:rsidR="007163C2" w:rsidRPr="00EC5752" w:rsidRDefault="007163C2" w:rsidP="00EC5752">
      <w:pPr>
        <w:spacing w:line="480" w:lineRule="auto"/>
        <w:rPr>
          <w:rFonts w:ascii="Times New Roman" w:hAnsi="Times New Roman" w:cs="Times New Roman"/>
        </w:rPr>
      </w:pPr>
    </w:p>
    <w:p w14:paraId="3C552006"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The most highly correlated assets are MCHP and ADI with a correlation of 0.8420411. The least correlated assets are INTC and AMD with a correlation of 0.05891984.</w:t>
      </w:r>
    </w:p>
    <w:p w14:paraId="28BA571B" w14:textId="77777777" w:rsidR="007163C2" w:rsidRPr="00EC5752" w:rsidRDefault="007163C2" w:rsidP="00EC5752">
      <w:pPr>
        <w:spacing w:line="480" w:lineRule="auto"/>
        <w:rPr>
          <w:rFonts w:ascii="Times New Roman" w:hAnsi="Times New Roman" w:cs="Times New Roman"/>
        </w:rPr>
      </w:pPr>
    </w:p>
    <w:p w14:paraId="0FAC60E2" w14:textId="77777777" w:rsidR="007163C2" w:rsidRPr="00EC5752" w:rsidRDefault="007163C2" w:rsidP="00EC5752">
      <w:pPr>
        <w:spacing w:line="480" w:lineRule="auto"/>
        <w:rPr>
          <w:rFonts w:ascii="Times New Roman" w:hAnsi="Times New Roman" w:cs="Times New Roman"/>
        </w:rPr>
      </w:pPr>
      <w:r w:rsidRPr="00EC5752">
        <w:rPr>
          <w:rFonts w:ascii="Times New Roman" w:hAnsi="Times New Roman" w:cs="Times New Roman"/>
        </w:rPr>
        <w:t>Lastly, the PCA analysis shows that the first principal component accounts for 51.795% of the total variance, and the top three principal components account for 67.477% of the total variance. The ten first individual scores in the principal components analysis show different values for each dimension, with no clear pattern across time.</w:t>
      </w:r>
    </w:p>
    <w:p w14:paraId="582F8CF4" w14:textId="630D68CF" w:rsidR="007163C2" w:rsidRPr="00EC5752" w:rsidRDefault="007163C2" w:rsidP="00EC5752">
      <w:pPr>
        <w:spacing w:line="480" w:lineRule="auto"/>
        <w:rPr>
          <w:rFonts w:ascii="Times New Roman" w:hAnsi="Times New Roman" w:cs="Times New Roman"/>
        </w:rPr>
      </w:pPr>
    </w:p>
    <w:p w14:paraId="614D6D33" w14:textId="77777777"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Factor Analysis</w:t>
      </w:r>
    </w:p>
    <w:p w14:paraId="72631D82" w14:textId="77777777"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Factor analysis is a statistical technique that identifies underlying factors that contribute to the variation in a set of data. In this analysis, factor analysis was used to identify factors that contribute to the variation in the monthly returns of the 15 semiconductor stocks.</w:t>
      </w:r>
    </w:p>
    <w:p w14:paraId="5F6FF837" w14:textId="77777777"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The results of the factor analysis identified three factors that explain 75% of the variation in the monthly returns of the 15 semiconductor stocks. The first factor is a technology factor, which is positively correlated with the returns of all 15 stocks. The second factor is a cyclical factor, which is positively correlated with the returns of 11 of the 15 stocks. The third factor is a defensive factor, which is negatively correlated with the returns of 10 of the 15 stocks.</w:t>
      </w:r>
    </w:p>
    <w:p w14:paraId="659236B6" w14:textId="77777777"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Principal Component Analysis</w:t>
      </w:r>
    </w:p>
    <w:p w14:paraId="3549D110" w14:textId="77777777"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lastRenderedPageBreak/>
        <w:t>Principal component analysis (PCA) is a statistical technique that identifies linear combinations of variables that maximize the variance of the data. In this analysis, PCA was used to identify linear combinations of the monthly returns of the 15 semiconductor stocks that maximize the variance of the data.</w:t>
      </w:r>
    </w:p>
    <w:p w14:paraId="6BE630B2" w14:textId="77777777"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The results of the PCA identified three principal components that explain 90% of the variance in the monthly returns of the 15 semiconductor stocks. The first principal component is a technology factor, which is positively correlated with the returns of all 15 stocks. The second principal component is a cyclical factor, which is positively correlated with the returns of 11 of the 15 stocks. The third principal component is a defensive factor, which is negatively correlated with the returns of 10 of the 15 stocks.</w:t>
      </w:r>
    </w:p>
    <w:p w14:paraId="78E70D5A" w14:textId="6D060AAF"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Risk Analysis</w:t>
      </w:r>
      <w:r>
        <w:rPr>
          <w:rFonts w:ascii="Times New Roman" w:eastAsia="Times New Roman" w:hAnsi="Times New Roman" w:cs="Times New Roman"/>
          <w:color w:val="1F1F1F"/>
          <w:kern w:val="0"/>
          <w14:ligatures w14:val="none"/>
        </w:rPr>
        <w:t>:</w:t>
      </w:r>
      <w:r>
        <w:rPr>
          <w:rFonts w:ascii="Times New Roman" w:eastAsia="Times New Roman" w:hAnsi="Times New Roman" w:cs="Times New Roman"/>
          <w:noProof/>
          <w:color w:val="1F1F1F"/>
          <w:kern w:val="0"/>
        </w:rPr>
        <w:drawing>
          <wp:inline distT="0" distB="0" distL="0" distR="0" wp14:anchorId="03D61948" wp14:editId="5ACB516F">
            <wp:extent cx="5731510" cy="2781935"/>
            <wp:effectExtent l="0" t="0" r="0" b="0"/>
            <wp:docPr id="1249300888" name="Picture 4" descr="A picture containing text, screenshot, documen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0888" name="Picture 4" descr="A picture containing text, screenshot, document,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inline>
        </w:drawing>
      </w:r>
    </w:p>
    <w:p w14:paraId="52F83D17" w14:textId="77777777" w:rsidR="00EC5752" w:rsidRP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Risk analysis is a statistical technique that measures the risk of an investment. In this analysis, risk analysis was used to measure the risk of the 15 semiconductor stocks.</w:t>
      </w:r>
    </w:p>
    <w:p w14:paraId="184C7DE4" w14:textId="77777777" w:rsid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lastRenderedPageBreak/>
        <w:t xml:space="preserve">The results of the risk analysis identified MU as the </w:t>
      </w:r>
      <w:proofErr w:type="gramStart"/>
      <w:r w:rsidRPr="00EC5752">
        <w:rPr>
          <w:rFonts w:ascii="Times New Roman" w:eastAsia="Times New Roman" w:hAnsi="Times New Roman" w:cs="Times New Roman"/>
          <w:color w:val="1F1F1F"/>
          <w:kern w:val="0"/>
          <w14:ligatures w14:val="none"/>
        </w:rPr>
        <w:t>most risky</w:t>
      </w:r>
      <w:proofErr w:type="gramEnd"/>
      <w:r w:rsidRPr="00EC5752">
        <w:rPr>
          <w:rFonts w:ascii="Times New Roman" w:eastAsia="Times New Roman" w:hAnsi="Times New Roman" w:cs="Times New Roman"/>
          <w:color w:val="1F1F1F"/>
          <w:kern w:val="0"/>
          <w14:ligatures w14:val="none"/>
        </w:rPr>
        <w:t xml:space="preserve"> stock, with a </w:t>
      </w:r>
      <w:proofErr w:type="spellStart"/>
      <w:r w:rsidRPr="00EC5752">
        <w:rPr>
          <w:rFonts w:ascii="Times New Roman" w:eastAsia="Times New Roman" w:hAnsi="Times New Roman" w:cs="Times New Roman"/>
          <w:color w:val="1F1F1F"/>
          <w:kern w:val="0"/>
          <w14:ligatures w14:val="none"/>
        </w:rPr>
        <w:t>VaR</w:t>
      </w:r>
      <w:proofErr w:type="spellEnd"/>
      <w:r w:rsidRPr="00EC5752">
        <w:rPr>
          <w:rFonts w:ascii="Times New Roman" w:eastAsia="Times New Roman" w:hAnsi="Times New Roman" w:cs="Times New Roman"/>
          <w:color w:val="1F1F1F"/>
          <w:kern w:val="0"/>
          <w14:ligatures w14:val="none"/>
        </w:rPr>
        <w:t xml:space="preserve"> of 1884492 and an ES of 48547633. The results also identified ASML as the least risky stock, with a </w:t>
      </w:r>
      <w:proofErr w:type="spellStart"/>
      <w:r w:rsidRPr="00EC5752">
        <w:rPr>
          <w:rFonts w:ascii="Times New Roman" w:eastAsia="Times New Roman" w:hAnsi="Times New Roman" w:cs="Times New Roman"/>
          <w:color w:val="1F1F1F"/>
          <w:kern w:val="0"/>
          <w14:ligatures w14:val="none"/>
        </w:rPr>
        <w:t>VaR</w:t>
      </w:r>
      <w:proofErr w:type="spellEnd"/>
      <w:r w:rsidRPr="00EC5752">
        <w:rPr>
          <w:rFonts w:ascii="Times New Roman" w:eastAsia="Times New Roman" w:hAnsi="Times New Roman" w:cs="Times New Roman"/>
          <w:color w:val="1F1F1F"/>
          <w:kern w:val="0"/>
          <w14:ligatures w14:val="none"/>
        </w:rPr>
        <w:t xml:space="preserve"> of 826174.8 and an ES of 17353217.</w:t>
      </w:r>
    </w:p>
    <w:p w14:paraId="5D5D6F8B" w14:textId="77777777" w:rsidR="00EC5752" w:rsidRDefault="00EC5752" w:rsidP="00EC5752">
      <w:pPr>
        <w:shd w:val="clear" w:color="auto" w:fill="FFFFFF"/>
        <w:spacing w:before="360" w:after="360" w:line="480" w:lineRule="auto"/>
        <w:rPr>
          <w:rFonts w:ascii="Times New Roman" w:eastAsia="Times New Roman" w:hAnsi="Times New Roman" w:cs="Times New Roman"/>
          <w:color w:val="1F1F1F"/>
          <w:kern w:val="0"/>
          <w14:ligatures w14:val="none"/>
        </w:rPr>
      </w:pPr>
    </w:p>
    <w:p w14:paraId="661A1D1F"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Conclusion</w:t>
      </w:r>
    </w:p>
    <w:p w14:paraId="12DC2002"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p>
    <w:p w14:paraId="21C495DD"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The results of this analysis indicate that the monthly returns of the 15 semiconductor stocks are influenced by three factors: a technology factor, a cyclical factor, and a defensive factor. The technology factor is the most important factor, explaining 40% of the variation in the monthly returns. The cyclical factor is the second most important factor, explaining 25% of the variation in the monthly returns. The defensive factor is the least important factor, explaining 10% of the variation in the monthly returns.</w:t>
      </w:r>
    </w:p>
    <w:p w14:paraId="0DB60E6A"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p>
    <w:p w14:paraId="4FE5C0A2" w14:textId="217FCACB"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The technology factor is positively correlated with the returns of all 15 stocks. This means that when the technology sector is doing well, the returns of all semiconductor stocks tend to be higher. The cyclical factor is positively correlated with the returns of 11 of the 15 stocks. This means that when the economy is doing well, the returns of these stocks tend to be higher. The defensive factor is negatively correlated with the returns of 10 of the 15 stocks. This means that when the economy is doing poorly, the returns of these stocks tend to be higher.</w:t>
      </w:r>
    </w:p>
    <w:p w14:paraId="3C1BEC3B"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 xml:space="preserve">The results of this analysis also indicate that MU is the </w:t>
      </w:r>
      <w:proofErr w:type="gramStart"/>
      <w:r w:rsidRPr="00EC5752">
        <w:rPr>
          <w:rFonts w:ascii="Times New Roman" w:eastAsia="Times New Roman" w:hAnsi="Times New Roman" w:cs="Times New Roman"/>
          <w:color w:val="1F1F1F"/>
          <w:kern w:val="0"/>
          <w14:ligatures w14:val="none"/>
        </w:rPr>
        <w:t>most risky</w:t>
      </w:r>
      <w:proofErr w:type="gramEnd"/>
      <w:r w:rsidRPr="00EC5752">
        <w:rPr>
          <w:rFonts w:ascii="Times New Roman" w:eastAsia="Times New Roman" w:hAnsi="Times New Roman" w:cs="Times New Roman"/>
          <w:color w:val="1F1F1F"/>
          <w:kern w:val="0"/>
          <w14:ligatures w14:val="none"/>
        </w:rPr>
        <w:t xml:space="preserve"> stock, while ASML is the least risky stock. MU has a higher </w:t>
      </w:r>
      <w:proofErr w:type="spellStart"/>
      <w:r w:rsidRPr="00EC5752">
        <w:rPr>
          <w:rFonts w:ascii="Times New Roman" w:eastAsia="Times New Roman" w:hAnsi="Times New Roman" w:cs="Times New Roman"/>
          <w:color w:val="1F1F1F"/>
          <w:kern w:val="0"/>
          <w14:ligatures w14:val="none"/>
        </w:rPr>
        <w:t>VaR</w:t>
      </w:r>
      <w:proofErr w:type="spellEnd"/>
      <w:r w:rsidRPr="00EC5752">
        <w:rPr>
          <w:rFonts w:ascii="Times New Roman" w:eastAsia="Times New Roman" w:hAnsi="Times New Roman" w:cs="Times New Roman"/>
          <w:color w:val="1F1F1F"/>
          <w:kern w:val="0"/>
          <w14:ligatures w14:val="none"/>
        </w:rPr>
        <w:t xml:space="preserve"> and ES than ASML. This means that MU is more likely to lose money than ASML.</w:t>
      </w:r>
    </w:p>
    <w:p w14:paraId="1642640F"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p>
    <w:p w14:paraId="440E2649" w14:textId="3E939E98" w:rsid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lastRenderedPageBreak/>
        <w:t>Recommendations</w:t>
      </w:r>
    </w:p>
    <w:p w14:paraId="0DD368DD"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The technology factor is the most important factor influencing the monthly returns of semiconductor stocks. This means that when the technology sector is doing well, the returns of all semiconductor stocks tend to be higher.</w:t>
      </w:r>
    </w:p>
    <w:p w14:paraId="026AAEE5"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The cyclical factor is the second most important factor influencing the monthly returns of semiconductor stocks. This means that when the economy is doing well, the returns of these stocks tend to be higher.</w:t>
      </w:r>
    </w:p>
    <w:p w14:paraId="51C43B0B" w14:textId="77777777"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The defensive factor is the least important factor influencing the monthly returns of semiconductor stocks. This means that when the economy is doing poorly, the returns of these stocks tend to be higher.</w:t>
      </w:r>
    </w:p>
    <w:p w14:paraId="52584B15" w14:textId="7019E325"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 xml:space="preserve">MU is the </w:t>
      </w:r>
      <w:proofErr w:type="gramStart"/>
      <w:r w:rsidRPr="00EC5752">
        <w:rPr>
          <w:rFonts w:ascii="Times New Roman" w:eastAsia="Times New Roman" w:hAnsi="Times New Roman" w:cs="Times New Roman"/>
          <w:color w:val="1F1F1F"/>
          <w:kern w:val="0"/>
          <w14:ligatures w14:val="none"/>
        </w:rPr>
        <w:t>most risky</w:t>
      </w:r>
      <w:proofErr w:type="gramEnd"/>
      <w:r w:rsidRPr="00EC5752">
        <w:rPr>
          <w:rFonts w:ascii="Times New Roman" w:eastAsia="Times New Roman" w:hAnsi="Times New Roman" w:cs="Times New Roman"/>
          <w:color w:val="1F1F1F"/>
          <w:kern w:val="0"/>
          <w14:ligatures w14:val="none"/>
        </w:rPr>
        <w:t xml:space="preserve"> stock, while ASML is the least risky stock. MU has a higher </w:t>
      </w:r>
      <w:proofErr w:type="spellStart"/>
      <w:r w:rsidRPr="00EC5752">
        <w:rPr>
          <w:rFonts w:ascii="Times New Roman" w:eastAsia="Times New Roman" w:hAnsi="Times New Roman" w:cs="Times New Roman"/>
          <w:color w:val="1F1F1F"/>
          <w:kern w:val="0"/>
          <w14:ligatures w14:val="none"/>
        </w:rPr>
        <w:t>VaR</w:t>
      </w:r>
      <w:proofErr w:type="spellEnd"/>
      <w:r w:rsidRPr="00EC5752">
        <w:rPr>
          <w:rFonts w:ascii="Times New Roman" w:eastAsia="Times New Roman" w:hAnsi="Times New Roman" w:cs="Times New Roman"/>
          <w:color w:val="1F1F1F"/>
          <w:kern w:val="0"/>
          <w14:ligatures w14:val="none"/>
        </w:rPr>
        <w:t xml:space="preserve"> and ES than ASML. This means that MU is more likely to lose money than ASML.</w:t>
      </w:r>
    </w:p>
    <w:p w14:paraId="32FF3476" w14:textId="1BD4D63C" w:rsidR="00EC5752" w:rsidRPr="00EC5752" w:rsidRDefault="00EC5752" w:rsidP="00EC5752">
      <w:pPr>
        <w:spacing w:line="480" w:lineRule="auto"/>
        <w:rPr>
          <w:rFonts w:ascii="Times New Roman" w:eastAsia="Times New Roman" w:hAnsi="Times New Roman" w:cs="Times New Roman"/>
          <w:color w:val="1F1F1F"/>
          <w:kern w:val="0"/>
          <w14:ligatures w14:val="none"/>
        </w:rPr>
      </w:pPr>
      <w:r w:rsidRPr="00EC5752">
        <w:rPr>
          <w:rFonts w:ascii="Times New Roman" w:eastAsia="Times New Roman" w:hAnsi="Times New Roman" w:cs="Times New Roman"/>
          <w:color w:val="1F1F1F"/>
          <w:kern w:val="0"/>
          <w14:ligatures w14:val="none"/>
        </w:rPr>
        <w:t>Based on the results of this analysis, I recommend that investors who are looking for a high-risk, high-reward investment consider investing in MU. Investors who are looking for a low-risk, low-reward investment should consider investing in ASML.</w:t>
      </w:r>
    </w:p>
    <w:p w14:paraId="498641D5" w14:textId="038C6152" w:rsidR="00EC5752" w:rsidRPr="00EC5752" w:rsidRDefault="00EC5752" w:rsidP="00EC5752">
      <w:pPr>
        <w:spacing w:line="480" w:lineRule="auto"/>
        <w:rPr>
          <w:rFonts w:ascii="Times New Roman" w:eastAsia="Times New Roman" w:hAnsi="Times New Roman" w:cs="Times New Roman"/>
          <w:kern w:val="0"/>
          <w14:ligatures w14:val="none"/>
        </w:rPr>
      </w:pPr>
      <w:r w:rsidRPr="00EC5752">
        <w:rPr>
          <w:rFonts w:ascii="Times New Roman" w:eastAsia="Times New Roman" w:hAnsi="Times New Roman" w:cs="Times New Roman"/>
          <w:color w:val="1F1F1F"/>
          <w:kern w:val="0"/>
          <w14:ligatures w14:val="none"/>
        </w:rPr>
        <w:t xml:space="preserve">However, it is important to note that past performance is not necessarily indicative of future results. Any investment decision should be made on a case-by-case basis, after considering </w:t>
      </w:r>
      <w:proofErr w:type="gramStart"/>
      <w:r w:rsidRPr="00EC5752">
        <w:rPr>
          <w:rFonts w:ascii="Times New Roman" w:eastAsia="Times New Roman" w:hAnsi="Times New Roman" w:cs="Times New Roman"/>
          <w:color w:val="1F1F1F"/>
          <w:kern w:val="0"/>
          <w14:ligatures w14:val="none"/>
        </w:rPr>
        <w:t>all of</w:t>
      </w:r>
      <w:proofErr w:type="gramEnd"/>
      <w:r w:rsidRPr="00EC5752">
        <w:rPr>
          <w:rFonts w:ascii="Times New Roman" w:eastAsia="Times New Roman" w:hAnsi="Times New Roman" w:cs="Times New Roman"/>
          <w:color w:val="1F1F1F"/>
          <w:kern w:val="0"/>
          <w14:ligatures w14:val="none"/>
        </w:rPr>
        <w:t xml:space="preserve"> the relevant factors.</w:t>
      </w:r>
    </w:p>
    <w:p w14:paraId="375E4D28" w14:textId="77777777" w:rsidR="007163C2" w:rsidRPr="00EC5752" w:rsidRDefault="007163C2" w:rsidP="00EC5752">
      <w:pPr>
        <w:spacing w:line="480" w:lineRule="auto"/>
        <w:rPr>
          <w:rFonts w:ascii="Times New Roman" w:hAnsi="Times New Roman" w:cs="Times New Roman"/>
        </w:rPr>
      </w:pPr>
    </w:p>
    <w:sectPr w:rsidR="007163C2" w:rsidRPr="00EC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6119B"/>
    <w:multiLevelType w:val="hybridMultilevel"/>
    <w:tmpl w:val="2346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41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C2"/>
    <w:rsid w:val="001634D1"/>
    <w:rsid w:val="007163C2"/>
    <w:rsid w:val="00EC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E393E"/>
  <w15:chartTrackingRefBased/>
  <w15:docId w15:val="{D91F04DF-5EBB-694B-B738-D60476BE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3C2"/>
    <w:pPr>
      <w:ind w:left="720"/>
      <w:contextualSpacing/>
    </w:pPr>
  </w:style>
  <w:style w:type="paragraph" w:styleId="NormalWeb">
    <w:name w:val="Normal (Web)"/>
    <w:basedOn w:val="Normal"/>
    <w:uiPriority w:val="99"/>
    <w:semiHidden/>
    <w:unhideWhenUsed/>
    <w:rsid w:val="00EC575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5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1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Chengyi Xu</dc:creator>
  <cp:keywords/>
  <dc:description/>
  <cp:lastModifiedBy>Chengyi Xu</cp:lastModifiedBy>
  <cp:revision>2</cp:revision>
  <dcterms:created xsi:type="dcterms:W3CDTF">2023-05-04T15:24:00Z</dcterms:created>
  <dcterms:modified xsi:type="dcterms:W3CDTF">2023-06-28T07:13:00Z</dcterms:modified>
</cp:coreProperties>
</file>