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FOIL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Our paper was about the improvement of the users experience when contacting the uber customer service via a ticket system.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FOIL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At an early stage, Support Tickets at Uber had several attributes which were used in the routing process to direct the ticket to specific support agents.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Such attributes are: Country, Language and Ticket Type like Payment questions or lost items.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tickets are categorized on these attributes and queued until an appropriate agent is available to handle them.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simplest routing must consider all combinations of attributes and assign the ticket which has been waiting the longest to an agent.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Additional prioritization rules complicate this routing. For example are tickets from new driver partners prioritized but not all agents who support driver partner question do support new driver partner problems.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FOIL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This routing logic became comlex over time to satisfy all requirements.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Uber also grew and got into new businesses and expanded into more and more countries.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result was a logic that became hard to follow and harder to modify.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All the rules, prioritizations of segments and combinations of attributes lead to fragmentation which also made it hard to follow and less testable and more difficult to monitor.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When writing a new feature, this process fragmentation made it difficult to find and re-use existing code, resulting in code duplication. And when bugs were introduced, they were difficult to identify and fix.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FOIL 4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To overcome this, a flexible but stable routing platform is needed which makes it able for developers to build own routing rules to support new products and modalities.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To address the problems, the routing logic is designed as a workflow, using Cadence, Uber’s open source orchestration engine.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With Cadence the the control logic got separated from the business logic and also the business logic got modularized.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After the re-design of the routing process as a workflow, the control logic became much easier to understand and the core routing logic got reformulated.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These steps are: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categories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and sort the categories which an agent is trained to handle by priority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candidate tickets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of the tickets available to an agent from the queue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candidate tickets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a score to each of the candidate tickets.this score is mostly based on the age of the ticket.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top ticket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ticket with the highest score is assigned to the agent.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The new workflow helped uber to make the system easier to understand and improved the organization of the code.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FOIL 5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The major stakeholder identified are: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The End User, who creates a ticket and is waiting for response as well as the agent who answers to the ticket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Secondly the Maintainer who maintain the system and fixes bugs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The Implementer, who is responsible for taking individual and new components and integrating them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The Tester who actual test and verifies the system on requirements and the architecture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FOIL 6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Work is queued in a task list and once a workflow starts and every time execution passes from the workflow to an activity or vice versa.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This design supports durable, highly available and distributed workflow execution, but it also introduces activity to activity latencies on the order of 100 milliseconds.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This is acceptable but faster performance was needed from the routing workflow since it handles real time requests from users. Therefore, Cadence’S local activity functionality is used.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The local activity allows short-lived tasks to be scheduled and run in the workflow’s worker process instead of queueing the work in a task list.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The average performance is comparable to the original routing code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