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从运筹学和整数规划的理论框架来看，这段证明的</w:t>
      </w:r>
      <w:r>
        <w:rPr>
          <w:rFonts w:hint="eastAsia"/>
          <w:b/>
          <w:bCs/>
        </w:rPr>
        <w:t xml:space="preserve">核心逻辑链条是完全严格且闭环的</w:t>
      </w:r>
      <w:r>
        <w:rPr>
          <w:rFonts w:hint="eastAsia"/>
        </w:rPr>
        <w:t xml:space="preserve">。利用“可行解（给出具体排班方案，即上界）=</w:t>
      </w:r>
      <w:r>
        <w:t xml:space="preserve"> </w:t>
      </w:r>
      <w:r>
        <w:rPr>
          <w:rFonts w:hint="eastAsia"/>
        </w:rPr>
        <w:t xml:space="preserve">理论下界（分解求解并取松弛）”来证明全局最优，是数学优化领域最无可辩驳的证明路径。</w:t>
      </w:r>
    </w:p>
    <w:p>
      <w:pPr>
        <w:pStyle w:val="a0"/>
      </w:pPr>
      <w:r>
        <w:rPr>
          <w:rFonts w:hint="eastAsia"/>
        </w:rPr>
        <w:t xml:space="preserve">然而，要将这段逻辑转化为论文中</w:t>
      </w:r>
      <w:r>
        <w:rPr>
          <w:rFonts w:hint="eastAsia"/>
          <w:b/>
          <w:bCs/>
        </w:rPr>
        <w:t xml:space="preserve">严谨的数学证明</w:t>
      </w:r>
      <w:r>
        <w:rPr>
          <w:rFonts w:hint="eastAsia"/>
        </w:rPr>
        <w:t xml:space="preserve">，目前的文字说明还存在跳跃，缺乏支撑这些结论的“底层证据”。如果直接将这段话写入论文，评审专家会认为过程不够详实。为了达到真正的严格，你需要在论文中补全以下几个关键事实和推导过程：</w:t>
      </w:r>
    </w:p>
    <w:bookmarkStart w:id="17" w:name="lp-松弛下界lp_g的来源必须显式给出"/>
    <w:p>
      <w:pPr>
        <w:pStyle w:val="3"/>
      </w:pPr>
      <w:r>
        <w:t xml:space="preserve">1. LP </w:t>
      </w:r>
      <w:r>
        <w:rPr>
          <w:rFonts w:hint="eastAsia"/>
        </w:rPr>
        <w:t xml:space="preserve">松弛下界（</w:t>
      </w:r>
      <m:oMath>
        <m:r>
          <m:t>L</m:t>
        </m:r>
        <m:sSub>
          <m:e>
            <m:r>
              <m:t>P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）的来源必须显式给出</w:t>
      </w:r>
    </w:p>
    <w:p>
      <w:pPr>
        <w:pStyle w:val="FirstParagraph"/>
      </w:pPr>
      <w:r>
        <w:rPr>
          <w:rFonts w:hint="eastAsia"/>
        </w:rPr>
        <w:t xml:space="preserve">证明中直接引用了“LP</w:t>
      </w:r>
      <w:r>
        <w:t xml:space="preserve"> </w:t>
      </w:r>
      <w:r>
        <w:rPr>
          <w:rFonts w:hint="eastAsia"/>
        </w:rPr>
        <w:t xml:space="preserve">松弛下界”，但没有给出模型。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事实缺口</w:t>
      </w:r>
      <w:r>
        <w:rPr>
          <w:rFonts w:hint="eastAsia"/>
        </w:rPr>
        <w:t xml:space="preserve">：如果不列出原始的整数线性规划（ILP）模型，评审无法验证你的</w:t>
      </w:r>
      <w:r>
        <w:t xml:space="preserve"> LP </w:t>
      </w:r>
      <w:r>
        <w:rPr>
          <w:rFonts w:hint="eastAsia"/>
        </w:rPr>
        <w:t xml:space="preserve">松弛是否正确。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补全要求</w:t>
      </w:r>
      <w:r>
        <w:rPr>
          <w:rFonts w:hint="eastAsia"/>
        </w:rPr>
        <w:t xml:space="preserve">：在给出这段证明前，必须用严谨的数学符号建立单组排班的</w:t>
      </w:r>
      <w:r>
        <w:t xml:space="preserve"> ILP </w:t>
      </w:r>
      <w:r>
        <w:rPr>
          <w:rFonts w:hint="eastAsia"/>
        </w:rPr>
        <w:t xml:space="preserve">模型（包括决策变量设定、满足附件1每小时需求的覆盖约束、单日两段4小时的班型约束等）。然后声明：“通过将决策变量的整数约束松弛为连续变量约束，求解线性规划（LP），得到各组的</w:t>
      </w:r>
      <w:r>
        <w:t xml:space="preserve"> LP </w:t>
      </w:r>
      <w:r>
        <w:rPr>
          <w:rFonts w:hint="eastAsia"/>
        </w:rPr>
        <w:t xml:space="preserve">下界</w:t>
      </w:r>
      <w:r>
        <w:t xml:space="preserve"> </w:t>
      </w:r>
      <m:oMath>
        <m:r>
          <m:t>L</m:t>
        </m:r>
        <m:sSub>
          <m:e>
            <m:r>
              <m:t>P</m:t>
            </m:r>
          </m:e>
          <m:sub>
            <m:r>
              <m:t>g</m:t>
            </m:r>
          </m:sub>
        </m:sSub>
      </m:oMath>
      <w:r>
        <w:t xml:space="preserve">。”</w:t>
      </w:r>
    </w:p>
    <w:bookmarkEnd w:id="17"/>
    <w:bookmarkStart w:id="18" w:name="每日最少出勤总人次a_g的定义需要精确"/>
    <w:p>
      <w:pPr>
        <w:pStyle w:val="3"/>
      </w:pPr>
      <w:r>
        <w:t xml:space="preserve">2. </w:t>
      </w:r>
      <w:r>
        <w:rPr>
          <w:rFonts w:hint="eastAsia"/>
        </w:rPr>
        <w:t xml:space="preserve">“每日最少出勤总人次（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）”的定义需要精确</w:t>
      </w:r>
    </w:p>
    <w:p>
      <w:pPr>
        <w:pStyle w:val="FirstParagraph"/>
      </w:pPr>
      <w:r>
        <w:rPr>
          <w:rFonts w:hint="eastAsia"/>
        </w:rPr>
        <w:t xml:space="preserve">这部分很容易出现逻辑漏洞，因为员工的工作时间不是任意分配的，而是被“强绑定”在特定的连续4小时班型中。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事实缺口</w:t>
      </w:r>
      <w:r>
        <w:rPr>
          <w:rFonts w:hint="eastAsia"/>
        </w:rPr>
        <w:t xml:space="preserve">：如果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仅仅是简单地将附件1某组每天各小时的需求量加总，这个下界往往是偏松（偏小）的，因为实际排班时的班型会产生不可避免的“工时冗余”（例如某小时只需要3人，但班型覆盖导致有4人在岗）。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补全要求</w:t>
      </w:r>
      <w:r>
        <w:rPr>
          <w:rFonts w:hint="eastAsia"/>
        </w:rPr>
        <w:t xml:space="preserve">：需要明确说明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是如何计算的。它是指“满足每日各小时需求所需的</w:t>
      </w:r>
      <w:r>
        <w:rPr>
          <w:rFonts w:hint="eastAsia"/>
          <w:b/>
          <w:bCs/>
        </w:rPr>
        <w:t xml:space="preserve">最少标准班型数量</w:t>
      </w:r>
      <w:r>
        <w:rPr>
          <w:rFonts w:hint="eastAsia"/>
        </w:rPr>
        <w:t xml:space="preserve">”，还是单纯的“需求工时总和”。为了保持严格性，建议将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定义为“单日满足该组小时需求的最少标准班型（8小时）数量”，并在前文给出每天这个最小值的计算过程。</w:t>
      </w:r>
    </w:p>
    <w:bookmarkEnd w:id="18"/>
    <w:bookmarkStart w:id="19" w:name="表格数据的独立性"/>
    <w:p>
      <w:pPr>
        <w:pStyle w:val="3"/>
      </w:pPr>
      <w:r>
        <w:t xml:space="preserve">3. </w:t>
      </w:r>
      <w:r>
        <w:rPr>
          <w:rFonts w:hint="eastAsia"/>
        </w:rPr>
        <w:t xml:space="preserve">表格数据的独立性</w:t>
      </w:r>
    </w:p>
    <w:p>
      <w:pPr>
        <w:pStyle w:val="FirstParagraph"/>
      </w:pPr>
      <w:r>
        <w:rPr>
          <w:rFonts w:hint="eastAsia"/>
        </w:rPr>
        <w:t xml:space="preserve">证明的第三步给出了一个详实的数据比对表，这是整个证明最有力的落脚点。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事实缺口</w:t>
      </w:r>
      <w:r>
        <w:rPr>
          <w:rFonts w:hint="eastAsia"/>
        </w:rPr>
        <w:t xml:space="preserve">：表中的“已构造人数”必须是有实体方案支撑的。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补全要求</w:t>
      </w:r>
      <w:r>
        <w:rPr>
          <w:rFonts w:hint="eastAsia"/>
        </w:rPr>
        <w:t xml:space="preserve">：在陈述这个表格之前或之后，必须有一句话明确：“上述对应的</w:t>
      </w:r>
      <w:r>
        <w:t xml:space="preserve"> 417 </w:t>
      </w:r>
      <w:r>
        <w:rPr>
          <w:rFonts w:hint="eastAsia"/>
        </w:rPr>
        <w:t xml:space="preserve">人可行排班明细见附录</w:t>
      </w:r>
      <w:r>
        <w:t xml:space="preserve"> </w:t>
      </w:r>
      <w:r>
        <w:rPr>
          <w:rFonts w:hint="eastAsia"/>
        </w:rPr>
        <w:t xml:space="preserve">X”。（之前我通过代码验证过你的排班结果是完全合规的，所以这个“已构造人数”在客观事实上是站得住脚的）。</w:t>
      </w:r>
    </w:p>
    <w:bookmarkEnd w:id="19"/>
    <w:bookmarkStart w:id="20" w:name="客观分析总结"/>
    <w:p>
      <w:pPr>
        <w:pStyle w:val="3"/>
      </w:pPr>
      <w:r>
        <w:rPr>
          <w:rFonts w:hint="eastAsia"/>
        </w:rPr>
        <w:t xml:space="preserve">客观分析总结</w:t>
      </w:r>
    </w:p>
    <w:p>
      <w:pPr>
        <w:pStyle w:val="FirstParagraph"/>
      </w:pPr>
      <w:r>
        <w:rPr>
          <w:rFonts w:hint="eastAsia"/>
        </w:rPr>
        <w:t xml:space="preserve">这段证明的</w:t>
      </w:r>
      <w:r>
        <w:rPr>
          <w:rFonts w:hint="eastAsia"/>
          <w:b/>
          <w:bCs/>
        </w:rPr>
        <w:t xml:space="preserve">框架</w:t>
      </w:r>
      <w:r>
        <w:rPr>
          <w:rFonts w:hint="eastAsia"/>
        </w:rPr>
        <w:t xml:space="preserve">极佳，比单纯陈述“通过启发式算法/求解器得出结果为417人”的层次高出很多，它直接把解的性质提升到了“已证的绝对最优解”。</w:t>
      </w:r>
    </w:p>
    <w:p>
      <w:pPr>
        <w:pStyle w:val="a0"/>
      </w:pPr>
      <w:r>
        <w:rPr>
          <w:rFonts w:hint="eastAsia"/>
          <w:b/>
          <w:bCs/>
        </w:rPr>
        <w:t xml:space="preserve">最终建议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逻辑上非常严格，无需自我推翻。在论文撰写时，将上述三点缺口用具体的数学公式和计算结果填补进去，形成“</w:t>
      </w:r>
      <w:r>
        <w:rPr>
          <w:rFonts w:hint="eastAsia"/>
          <w:b/>
          <w:bCs/>
        </w:rPr>
        <w:t xml:space="preserve">建立子模型</w:t>
      </w:r>
      <w:r>
        <w:rPr>
          <w:b/>
          <w:bCs/>
        </w:rP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推导下界</w:t>
      </w:r>
      <w:r>
        <w:rPr>
          <w:b/>
          <w:bCs/>
        </w:rP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构造可行解</w:t>
      </w:r>
      <w:r>
        <w:rPr>
          <w:b/>
          <w:bCs/>
        </w:rP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上下界夹逼证明最优</w:t>
      </w:r>
      <w:r>
        <w:rPr>
          <w:rFonts w:hint="eastAsia"/>
        </w:rPr>
        <w:t xml:space="preserve">”的完整结构，这就是一段高质量的数学建模论文推导。</w:t>
      </w:r>
    </w:p>
    <w:bookmarkEnd w:id="20"/>
    <w:sectPr w:rsidR="00E1645B" w:rsidSect="00A410A1">
      <w:footerReference r:id="rId8" w:type="default"/>
      <w:pgSz w:code="9"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3818139"/>
      <w:docPartObj>
        <w:docPartGallery w:val="Page Numbers (Bottom of Page)"/>
        <w:docPartUnique/>
      </w:docPartObj>
    </w:sdtPr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0"/>
    <w:multiLevelType w:val="multilevel"/>
    <w:tmpl w:val="F7DE976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DCB2411E"/>
    <w:lvl w:ilvl="0">
      <w:numFmt w:val="bullet"/>
      <w:lvlText w:val="•"/>
      <w:lvlJc w:val="left"/>
      <w:pPr>
        <w:ind w:hanging="329" w:left="567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329" w:left="1134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329" w:left="1701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329" w:left="2268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329" w:left="2835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329" w:left="3402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329" w:left="3969"/>
      </w:pPr>
      <w:rPr>
        <w:rFonts w:eastAsia="微软雅黑" w:hint="eastAsia"/>
        <w:sz w:val="28"/>
      </w:rPr>
    </w:lvl>
    <w:lvl w:ilvl="7">
      <w:numFmt w:val="bullet"/>
      <w:lvlText w:val="•"/>
      <w:lvlJc w:val="left"/>
      <w:pPr>
        <w:ind w:hanging="329" w:left="4536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329" w:left="5103"/>
      </w:pPr>
      <w:rPr>
        <w:rFonts w:eastAsia="微软雅黑" w:hint="eastAsia"/>
        <w:sz w:val="28"/>
      </w:rPr>
    </w:lvl>
  </w:abstractNum>
  <w:abstractNum w15:restartNumberingAfterBreak="0" w:abstractNumId="2">
    <w:nsid w:val="00A99201"/>
    <w:multiLevelType w:val="multilevel"/>
    <w:tmpl w:val="845E9B8E"/>
    <w:lvl w:ilvl="0">
      <w:start w:val="1"/>
      <w:numFmt w:val="decimal"/>
      <w:lvlText w:val="%1."/>
      <w:lvlJc w:val="left"/>
      <w:pPr>
        <w:ind w:hanging="329" w:left="567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329" w:left="1134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329" w:left="1701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329" w:left="2268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329" w:left="2835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329" w:left="3402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329" w:left="3969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329" w:left="4536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329" w:left="5103"/>
      </w:pPr>
      <w:rPr>
        <w:rFonts w:hint="eastAsia"/>
      </w:rPr>
    </w:lvl>
  </w:abstractNum>
  <w:abstractNum w15:restartNumberingAfterBreak="0" w:abstractNumId="3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hanging="480" w:left="72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480" w:left="144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480" w:left="216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480" w:left="28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480" w:left="360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480" w:left="432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480" w:left="504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hanging="480" w:left="576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480" w:left="6480"/>
      </w:pPr>
      <w:rPr>
        <w:rFonts w:eastAsia="微软雅黑" w:hint="eastAsia"/>
        <w:sz w:val="28"/>
      </w:rPr>
    </w:lvl>
  </w:abstractNum>
  <w:abstractNum w15:restartNumberingAfterBreak="0" w:abstractNumId="4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hanging="480" w:left="1440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480" w:left="216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480" w:left="28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480" w:left="3600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480" w:left="4320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480" w:left="504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480" w:left="57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480" w:left="6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480" w:left="7200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79438853" w:numId="1">
    <w:abstractNumId w:val="3"/>
  </w:num>
  <w:num w16cid:durableId="1185561364" w:numId="2">
    <w:abstractNumId w:val="4"/>
  </w:num>
  <w:num w16cid:durableId="2049603216" w:numId="3">
    <w:abstractNumId w:val="0"/>
  </w:num>
  <w:num w16cid:durableId="703869699" w:numId="4">
    <w:abstractNumId w:val="2"/>
  </w:num>
  <w:num w16cid:durableId="1822653246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79478619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67565266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44447668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94360317"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8518209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43059312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111394418" w:numId="12">
    <w:abstractNumId w:val="1"/>
  </w:num>
  <w:num w16cid:durableId="723678939" w:numId="13">
    <w:abstractNumId w:val="1"/>
  </w:num>
  <w:num w16cid:durableId="2047368205" w:numId="14">
    <w:abstractNumId w:val="1"/>
  </w:num>
  <w:num w16cid:durableId="974989202" w:numId="15">
    <w:abstractNumId w:val="1"/>
  </w:num>
  <w:num w16cid:durableId="55974617" w:numId="16">
    <w:abstractNumId w:val="1"/>
  </w:num>
  <w:num w16cid:durableId="1273897876" w:numId="17">
    <w:abstractNumId w:val="1"/>
  </w:num>
  <w:num w16cid:durableId="1449272727" w:numId="18">
    <w:abstractNumId w:val="1"/>
  </w:num>
  <w:num w16cid:durableId="154762627" w:numId="19">
    <w:abstractNumId w:val="1"/>
  </w:num>
  <w:num w16cid:durableId="1122966913" w:numId="20">
    <w:abstractNumId w:val="1"/>
  </w:num>
  <w:num w16cid:durableId="370495256"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bordersDoNotSurroundHeader/>
  <w:bordersDoNotSurroundFooter/>
  <w:proofState w:grammar="clean"/>
  <w:stylePaneFormatFilter w:allStyles="1" w:alternateStyleNames="0" w:clearFormatting="1" w:customStyles="0" w:directFormattingOnNumbering="1" w:directFormattingOnParagraphs="1" w:directFormattingOnRuns="1" w:directFormattingOnTables="1" w:headingStyles="1" w:latentStyles="0" w:numberingStyles="0" w:stylesInUse="0" w:tableStyles="0" w:top3HeadingStyles="1" w:val="3F21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5AF3"/>
    <w:rsid w:val="00087AA0"/>
    <w:rsid w:val="00087D78"/>
    <w:rsid w:val="000E53CA"/>
    <w:rsid w:val="00116420"/>
    <w:rsid w:val="00117C22"/>
    <w:rsid w:val="00126FF3"/>
    <w:rsid w:val="00163624"/>
    <w:rsid w:val="00202703"/>
    <w:rsid w:val="0027770B"/>
    <w:rsid w:val="00293EE5"/>
    <w:rsid w:val="003A6057"/>
    <w:rsid w:val="00600508"/>
    <w:rsid w:val="006107E8"/>
    <w:rsid w:val="006747B6"/>
    <w:rsid w:val="00702FD9"/>
    <w:rsid w:val="00736DEE"/>
    <w:rsid w:val="00750F5C"/>
    <w:rsid w:val="00804C41"/>
    <w:rsid w:val="009013F6"/>
    <w:rsid w:val="009149B5"/>
    <w:rsid w:val="00970C9D"/>
    <w:rsid w:val="009A7706"/>
    <w:rsid w:val="00A14FF3"/>
    <w:rsid w:val="00A410A1"/>
    <w:rsid w:val="00BF6B73"/>
    <w:rsid w:val="00C214C8"/>
    <w:rsid w:val="00CA094E"/>
    <w:rsid w:val="00D022C3"/>
    <w:rsid w:val="00D7268B"/>
    <w:rsid w:val="00E1645B"/>
    <w:rsid w:val="00EA7BFB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DF3480"/>
    <w:pPr>
      <w:spacing w:after="0" w:line="360" w:lineRule="auto"/>
    </w:pPr>
    <w:rPr>
      <w:rFonts w:ascii="Times New Roman" w:eastAsia="宋体" w:hAnsi="Times New Roman"/>
    </w:rPr>
  </w:style>
  <w:style w:styleId="10" w:type="paragraph">
    <w:name w:val="heading 1"/>
    <w:basedOn w:val="a"/>
    <w:next w:val="a0"/>
    <w:autoRedefine/>
    <w:uiPriority w:val="9"/>
    <w:qFormat/>
    <w:rsid w:val="00202703"/>
    <w:pPr>
      <w:keepNext/>
      <w:keepLines/>
      <w:pageBreakBefore/>
      <w:spacing w:before="480"/>
      <w:jc w:val="center"/>
      <w:outlineLvl w:val="0"/>
    </w:pPr>
    <w:rPr>
      <w:rFonts w:cstheme="majorBidi" w:eastAsia="黑体"/>
      <w:bCs/>
      <w:sz w:val="36"/>
      <w:szCs w:val="32"/>
    </w:rPr>
  </w:style>
  <w:style w:styleId="20" w:type="paragraph">
    <w:name w:val="heading 2"/>
    <w:basedOn w:val="a"/>
    <w:next w:val="a0"/>
    <w:uiPriority w:val="9"/>
    <w:unhideWhenUsed/>
    <w:qFormat/>
    <w:rsid w:val="00202703"/>
    <w:pPr>
      <w:keepNext/>
      <w:keepLines/>
      <w:spacing w:before="300"/>
      <w:outlineLvl w:val="1"/>
    </w:pPr>
    <w:rPr>
      <w:rFonts w:cstheme="majorBidi" w:eastAsia="黑体"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rsid w:val="00163624"/>
    <w:pPr>
      <w:keepNext/>
      <w:keepLines/>
      <w:spacing w:before="200"/>
      <w:outlineLvl w:val="2"/>
    </w:pPr>
    <w:rPr>
      <w:rFonts w:cs="Times New Roman (标题 CS)" w:eastAsia="黑体"/>
      <w:bCs/>
      <w:sz w:val="28"/>
      <w:szCs w:val="28"/>
    </w:rPr>
  </w:style>
  <w:style w:styleId="4" w:type="paragraph">
    <w:name w:val="heading 4"/>
    <w:basedOn w:val="a"/>
    <w:next w:val="a0"/>
    <w:uiPriority w:val="9"/>
    <w:unhideWhenUsed/>
    <w:qFormat/>
    <w:rsid w:val="0027770B"/>
    <w:pPr>
      <w:keepNext/>
      <w:keepLines/>
      <w:spacing w:before="200"/>
      <w:outlineLvl w:val="3"/>
    </w:pPr>
    <w:rPr>
      <w:rFonts w:cs="Times New Roman (标题 CS)" w:eastAsia="黑体"/>
      <w:bCs/>
    </w:rPr>
  </w:style>
  <w:style w:styleId="5" w:type="paragraph">
    <w:name w:val="heading 5"/>
    <w:basedOn w:val="a"/>
    <w:next w:val="a0"/>
    <w:uiPriority w:val="9"/>
    <w:unhideWhenUsed/>
    <w:qFormat/>
    <w:rsid w:val="0027770B"/>
    <w:pPr>
      <w:keepNext/>
      <w:keepLines/>
      <w:spacing w:before="200"/>
      <w:outlineLvl w:val="4"/>
    </w:pPr>
    <w:rPr>
      <w:rFonts w:cs="Times New Roman (标题 CS)" w:eastAsia="黑体"/>
      <w:iCs/>
    </w:rPr>
  </w:style>
  <w:style w:styleId="6" w:type="paragraph">
    <w:name w:val="heading 6"/>
    <w:basedOn w:val="a"/>
    <w:next w:val="a0"/>
    <w:uiPriority w:val="9"/>
    <w:unhideWhenUsed/>
    <w:qFormat/>
    <w:rsid w:val="0027770B"/>
    <w:pPr>
      <w:keepNext/>
      <w:keepLines/>
      <w:spacing w:before="200"/>
      <w:outlineLvl w:val="5"/>
    </w:pPr>
    <w:rPr>
      <w:rFonts w:cs="Times New Roman (标题 CS)" w:eastAsia="黑体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  <w:rsid w:val="00743667"/>
  </w:style>
  <w:style w:customStyle="1" w:styleId="FirstParagraph" w:type="paragraph">
    <w:name w:val="First Paragraph"/>
    <w:basedOn w:val="a"/>
    <w:next w:val="a0"/>
    <w:qFormat/>
    <w:rsid w:val="000C100F"/>
    <w:pPr>
      <w:spacing w:before="180"/>
      <w:ind w:firstLine="480" w:firstLineChars="200"/>
    </w:pPr>
    <w:rPr>
      <w:lang w:eastAsia="zh-CN"/>
    </w:rPr>
  </w:style>
  <w:style w:customStyle="1" w:styleId="Compact" w:type="paragraph">
    <w:name w:val="Compact"/>
    <w:basedOn w:val="a0"/>
    <w:qFormat/>
    <w:rsid w:val="006107E8"/>
    <w:pPr>
      <w:spacing w:after="60" w:before="60"/>
      <w:ind w:firstLine="0" w:firstLineChars="0"/>
    </w:pPr>
  </w:style>
  <w:style w:styleId="a5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6" w:type="paragraph">
    <w:name w:val="Subtitle"/>
    <w:basedOn w:val="a5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  <w:rsid w:val="00EA7BFB"/>
    <w:pPr>
      <w:tabs>
        <w:tab w:pos="384" w:val="left"/>
      </w:tabs>
      <w:spacing w:line="240" w:lineRule="auto"/>
      <w:ind w:hanging="200" w:hangingChars="200" w:left="200"/>
    </w:pPr>
  </w:style>
  <w:style w:styleId="a9" w:type="paragraph">
    <w:name w:val="Block Text"/>
    <w:basedOn w:val="a"/>
    <w:uiPriority w:val="9"/>
    <w:unhideWhenUsed/>
    <w:qFormat/>
    <w:rsid w:val="000E53CA"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type="dxa" w:w="0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rsid w:val="005D0F42"/>
    <w:pPr>
      <w:spacing w:after="120"/>
      <w:jc w:val="center"/>
    </w:pPr>
  </w:style>
  <w:style w:customStyle="1" w:styleId="TableCaption" w:type="paragraph">
    <w:name w:val="Table Caption"/>
    <w:basedOn w:val="ab"/>
    <w:pPr>
      <w:keepNext/>
    </w:pPr>
  </w:style>
  <w:style w:customStyle="1" w:styleId="ImageCaption" w:type="paragraph">
    <w:name w:val="Image Caption"/>
    <w:basedOn w:val="ab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c" w:type="character">
    <w:name w:val="题注 字符"/>
    <w:basedOn w:val="a1"/>
    <w:link w:val="ab"/>
    <w:rsid w:val="005D0F42"/>
    <w:rPr>
      <w:rFonts w:ascii="Times New Roman" w:eastAsia="宋体" w:hAnsi="Times New Roman"/>
    </w:rPr>
  </w:style>
  <w:style w:customStyle="1" w:styleId="VerbatimChar" w:type="character">
    <w:name w:val="Verbatim Char"/>
    <w:basedOn w:val="ac"/>
    <w:link w:val="SourceCode"/>
    <w:rsid w:val="00D022C3"/>
    <w:rPr>
      <w:rFonts w:ascii="Fira Code" w:cs="Times New Roman (正文 CS 字体)" w:eastAsia="宋体" w:hAnsi="Fira Code"/>
      <w:color w:themeColor="text1" w:themeTint="BF" w:val="404040"/>
      <w:sz w:val="21"/>
      <w:shd w:color="auto" w:fill="auto" w:val="pct5"/>
      <w:lang w:eastAsia="zh-CN"/>
    </w:rPr>
  </w:style>
  <w:style w:styleId="ad" w:type="character">
    <w:name w:val="footnote reference"/>
    <w:basedOn w:val="ac"/>
    <w:rPr>
      <w:rFonts w:ascii="Times New Roman" w:eastAsia="宋体" w:hAnsi="Times New Roman"/>
      <w:vertAlign w:val="superscript"/>
    </w:rPr>
  </w:style>
  <w:style w:styleId="ae" w:type="character">
    <w:name w:val="Hyperlink"/>
    <w:basedOn w:val="ac"/>
    <w:rsid w:val="000C100F"/>
    <w:rPr>
      <w:rFonts w:ascii="Times New Roman" w:eastAsia="宋体" w:hAnsi="Times New Roman"/>
      <w:color w:val="0070C0"/>
    </w:rPr>
  </w:style>
  <w:style w:styleId="TOC" w:type="paragraph">
    <w:name w:val="TOC Heading"/>
    <w:basedOn w:val="10"/>
    <w:next w:val="a0"/>
    <w:uiPriority w:val="39"/>
    <w:unhideWhenUsed/>
    <w:qFormat/>
    <w:pPr>
      <w:spacing w:before="240" w:line="259" w:lineRule="auto"/>
      <w:outlineLvl w:val="9"/>
    </w:pPr>
    <w:rPr>
      <w:b/>
      <w:bCs w:val="0"/>
      <w:color w:themeColor="accent1" w:themeShade="BF" w:val="365F91"/>
    </w:rPr>
  </w:style>
  <w:style w:customStyle="1" w:styleId="SourceCode" w:type="paragraph">
    <w:name w:val="Source Code"/>
    <w:basedOn w:val="a"/>
    <w:link w:val="VerbatimChar"/>
    <w:qFormat/>
    <w:rsid w:val="00D022C3"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auto" w:fill="auto" w:val="pct5"/>
      <w:wordWrap w:val="0"/>
      <w:ind w:left="300" w:leftChars="300"/>
    </w:pPr>
    <w:rPr>
      <w:rFonts w:ascii="Fira Code" w:cs="Times New Roman (正文 CS 字体)" w:hAnsi="Fira Code"/>
      <w:color w:themeColor="text1" w:themeTint="BF" w:val="404040"/>
      <w:sz w:val="21"/>
      <w:shd w:color="auto" w:fill="auto" w:val="pct5"/>
      <w:lang w:eastAsia="zh-CN"/>
    </w:rPr>
  </w:style>
  <w:style w:customStyle="1" w:styleId="KeywordTok" w:type="character">
    <w:name w:val="KeywordTok"/>
    <w:basedOn w:val="VerbatimChar"/>
    <w:rPr>
      <w:rFonts w:ascii="Consolas" w:cs="Times New Roman (正文 CS 字体)" w:eastAsia="宋体" w:hAnsi="Consolas"/>
      <w:b/>
      <w:color w:val="007020"/>
      <w:sz w:val="22"/>
      <w:shd w:color="auto" w:fill="auto" w:val="pct5"/>
      <w:lang w:eastAsia="zh-CN"/>
    </w:rPr>
  </w:style>
  <w:style w:customStyle="1" w:styleId="DataTypeTok" w:type="character">
    <w:name w:val="DataTypeTok"/>
    <w:basedOn w:val="VerbatimChar"/>
    <w:rPr>
      <w:rFonts w:ascii="Consolas" w:cs="Times New Roman (正文 CS 字体)" w:eastAsia="宋体" w:hAnsi="Consolas"/>
      <w:color w:val="902000"/>
      <w:sz w:val="22"/>
      <w:shd w:color="auto" w:fill="auto" w:val="pct5"/>
      <w:lang w:eastAsia="zh-CN"/>
    </w:rPr>
  </w:style>
  <w:style w:customStyle="1" w:styleId="DecValTok" w:type="character">
    <w:name w:val="DecValTok"/>
    <w:basedOn w:val="VerbatimChar"/>
    <w:rPr>
      <w:rFonts w:ascii="Consolas" w:cs="Times New Roman (正文 CS 字体)" w:eastAsia="宋体" w:hAnsi="Consolas"/>
      <w:color w:val="40A070"/>
      <w:sz w:val="22"/>
      <w:shd w:color="auto" w:fill="auto" w:val="pct5"/>
      <w:lang w:eastAsia="zh-CN"/>
    </w:rPr>
  </w:style>
  <w:style w:customStyle="1" w:styleId="BaseNTok" w:type="character">
    <w:name w:val="BaseNTok"/>
    <w:basedOn w:val="VerbatimChar"/>
    <w:rPr>
      <w:rFonts w:ascii="Consolas" w:cs="Times New Roman (正文 CS 字体)" w:eastAsia="宋体" w:hAnsi="Consolas"/>
      <w:color w:val="40A070"/>
      <w:sz w:val="22"/>
      <w:shd w:color="auto" w:fill="auto" w:val="pct5"/>
      <w:lang w:eastAsia="zh-CN"/>
    </w:rPr>
  </w:style>
  <w:style w:customStyle="1" w:styleId="FloatTok" w:type="character">
    <w:name w:val="FloatTok"/>
    <w:basedOn w:val="VerbatimChar"/>
    <w:rPr>
      <w:rFonts w:ascii="Consolas" w:cs="Times New Roman (正文 CS 字体)" w:eastAsia="宋体" w:hAnsi="Consolas"/>
      <w:color w:val="40A070"/>
      <w:sz w:val="22"/>
      <w:shd w:color="auto" w:fill="auto" w:val="pct5"/>
      <w:lang w:eastAsia="zh-CN"/>
    </w:rPr>
  </w:style>
  <w:style w:customStyle="1" w:styleId="ConstantTok" w:type="character">
    <w:name w:val="ConstantTok"/>
    <w:basedOn w:val="VerbatimChar"/>
    <w:rPr>
      <w:rFonts w:ascii="Consolas" w:cs="Times New Roman (正文 CS 字体)" w:eastAsia="宋体" w:hAnsi="Consolas"/>
      <w:color w:val="880000"/>
      <w:sz w:val="22"/>
      <w:shd w:color="auto" w:fill="auto" w:val="pct5"/>
      <w:lang w:eastAsia="zh-CN"/>
    </w:rPr>
  </w:style>
  <w:style w:customStyle="1" w:styleId="CharTok" w:type="character">
    <w:name w:val="Char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SpecialCharTok" w:type="character">
    <w:name w:val="SpecialChar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StringTok" w:type="character">
    <w:name w:val="String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VerbatimStringTok" w:type="character">
    <w:name w:val="VerbatimString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SpecialStringTok" w:type="character">
    <w:name w:val="SpecialStringTok"/>
    <w:basedOn w:val="VerbatimChar"/>
    <w:rPr>
      <w:rFonts w:ascii="Consolas" w:cs="Times New Roman (正文 CS 字体)" w:eastAsia="宋体" w:hAnsi="Consolas"/>
      <w:color w:val="BB6688"/>
      <w:sz w:val="22"/>
      <w:shd w:color="auto" w:fill="auto" w:val="pct5"/>
      <w:lang w:eastAsia="zh-CN"/>
    </w:rPr>
  </w:style>
  <w:style w:customStyle="1" w:styleId="ImportTok" w:type="character">
    <w:name w:val="Import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CommentTok" w:type="character">
    <w:name w:val="CommentTok"/>
    <w:basedOn w:val="VerbatimChar"/>
    <w:rPr>
      <w:rFonts w:ascii="Consolas" w:cs="Times New Roman (正文 CS 字体)" w:eastAsia="宋体" w:hAnsi="Consolas"/>
      <w:i/>
      <w:color w:val="60A0B0"/>
      <w:sz w:val="22"/>
      <w:shd w:color="auto" w:fill="auto" w:val="pct5"/>
      <w:lang w:eastAsia="zh-CN"/>
    </w:rPr>
  </w:style>
  <w:style w:customStyle="1" w:styleId="DocumentationTok" w:type="character">
    <w:name w:val="DocumentationTok"/>
    <w:basedOn w:val="VerbatimChar"/>
    <w:rPr>
      <w:rFonts w:ascii="Consolas" w:cs="Times New Roman (正文 CS 字体)" w:eastAsia="宋体" w:hAnsi="Consolas"/>
      <w:i/>
      <w:color w:val="BA2121"/>
      <w:sz w:val="22"/>
      <w:shd w:color="auto" w:fill="auto" w:val="pct5"/>
      <w:lang w:eastAsia="zh-CN"/>
    </w:rPr>
  </w:style>
  <w:style w:customStyle="1" w:styleId="AnnotationTok" w:type="character">
    <w:name w:val="Annotation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CommentVarTok" w:type="character">
    <w:name w:val="CommentVar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OtherTok" w:type="character">
    <w:name w:val="OtherTok"/>
    <w:basedOn w:val="VerbatimChar"/>
    <w:rPr>
      <w:rFonts w:ascii="Consolas" w:cs="Times New Roman (正文 CS 字体)" w:eastAsia="宋体" w:hAnsi="Consolas"/>
      <w:color w:val="007020"/>
      <w:sz w:val="22"/>
      <w:shd w:color="auto" w:fill="auto" w:val="pct5"/>
      <w:lang w:eastAsia="zh-CN"/>
    </w:rPr>
  </w:style>
  <w:style w:customStyle="1" w:styleId="FunctionTok" w:type="character">
    <w:name w:val="FunctionTok"/>
    <w:basedOn w:val="VerbatimChar"/>
    <w:rPr>
      <w:rFonts w:ascii="Consolas" w:cs="Times New Roman (正文 CS 字体)" w:eastAsia="宋体" w:hAnsi="Consolas"/>
      <w:color w:val="06287E"/>
      <w:sz w:val="22"/>
      <w:shd w:color="auto" w:fill="auto" w:val="pct5"/>
      <w:lang w:eastAsia="zh-CN"/>
    </w:rPr>
  </w:style>
  <w:style w:customStyle="1" w:styleId="VariableTok" w:type="character">
    <w:name w:val="VariableTok"/>
    <w:basedOn w:val="VerbatimChar"/>
    <w:rPr>
      <w:rFonts w:ascii="Consolas" w:cs="Times New Roman (正文 CS 字体)" w:eastAsia="宋体" w:hAnsi="Consolas"/>
      <w:color w:val="19177C"/>
      <w:sz w:val="22"/>
      <w:shd w:color="auto" w:fill="auto" w:val="pct5"/>
      <w:lang w:eastAsia="zh-CN"/>
    </w:rPr>
  </w:style>
  <w:style w:customStyle="1" w:styleId="ControlFlowTok" w:type="character">
    <w:name w:val="ControlFlowTok"/>
    <w:basedOn w:val="VerbatimChar"/>
    <w:rPr>
      <w:rFonts w:ascii="Consolas" w:cs="Times New Roman (正文 CS 字体)" w:eastAsia="宋体" w:hAnsi="Consolas"/>
      <w:b/>
      <w:color w:val="007020"/>
      <w:sz w:val="22"/>
      <w:shd w:color="auto" w:fill="auto" w:val="pct5"/>
      <w:lang w:eastAsia="zh-CN"/>
    </w:rPr>
  </w:style>
  <w:style w:customStyle="1" w:styleId="OperatorTok" w:type="character">
    <w:name w:val="OperatorTok"/>
    <w:basedOn w:val="VerbatimChar"/>
    <w:rPr>
      <w:rFonts w:ascii="Consolas" w:cs="Times New Roman (正文 CS 字体)" w:eastAsia="宋体" w:hAnsi="Consolas"/>
      <w:color w:val="666666"/>
      <w:sz w:val="22"/>
      <w:shd w:color="auto" w:fill="auto" w:val="pct5"/>
      <w:lang w:eastAsia="zh-CN"/>
    </w:rPr>
  </w:style>
  <w:style w:customStyle="1" w:styleId="BuiltInTok" w:type="character">
    <w:name w:val="BuiltIn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ExtensionTok" w:type="character">
    <w:name w:val="Extension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PreprocessorTok" w:type="character">
    <w:name w:val="PreprocessorTok"/>
    <w:basedOn w:val="VerbatimChar"/>
    <w:rPr>
      <w:rFonts w:ascii="Consolas" w:cs="Times New Roman (正文 CS 字体)" w:eastAsia="宋体" w:hAnsi="Consolas"/>
      <w:color w:val="BC7A00"/>
      <w:sz w:val="22"/>
      <w:shd w:color="auto" w:fill="auto" w:val="pct5"/>
      <w:lang w:eastAsia="zh-CN"/>
    </w:rPr>
  </w:style>
  <w:style w:customStyle="1" w:styleId="AttributeTok" w:type="character">
    <w:name w:val="AttributeTok"/>
    <w:basedOn w:val="VerbatimChar"/>
    <w:rPr>
      <w:rFonts w:ascii="Consolas" w:cs="Times New Roman (正文 CS 字体)" w:eastAsia="宋体" w:hAnsi="Consolas"/>
      <w:color w:val="7D9029"/>
      <w:sz w:val="22"/>
      <w:shd w:color="auto" w:fill="auto" w:val="pct5"/>
      <w:lang w:eastAsia="zh-CN"/>
    </w:rPr>
  </w:style>
  <w:style w:customStyle="1" w:styleId="RegionMarkerTok" w:type="character">
    <w:name w:val="RegionMarker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InformationTok" w:type="character">
    <w:name w:val="Information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WarningTok" w:type="character">
    <w:name w:val="Warning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AlertTok" w:type="character">
    <w:name w:val="AlertTok"/>
    <w:basedOn w:val="VerbatimChar"/>
    <w:rPr>
      <w:rFonts w:ascii="Consolas" w:cs="Times New Roman (正文 CS 字体)" w:eastAsia="宋体" w:hAnsi="Consolas"/>
      <w:b/>
      <w:color w:val="FF0000"/>
      <w:sz w:val="22"/>
      <w:shd w:color="auto" w:fill="auto" w:val="pct5"/>
      <w:lang w:eastAsia="zh-CN"/>
    </w:rPr>
  </w:style>
  <w:style w:customStyle="1" w:styleId="ErrorTok" w:type="character">
    <w:name w:val="ErrorTok"/>
    <w:basedOn w:val="VerbatimChar"/>
    <w:rPr>
      <w:rFonts w:ascii="Consolas" w:cs="Times New Roman (正文 CS 字体)" w:eastAsia="宋体" w:hAnsi="Consolas"/>
      <w:b/>
      <w:color w:val="FF0000"/>
      <w:sz w:val="22"/>
      <w:shd w:color="auto" w:fill="auto" w:val="pct5"/>
      <w:lang w:eastAsia="zh-CN"/>
    </w:rPr>
  </w:style>
  <w:style w:customStyle="1" w:styleId="NormalTok" w:type="character">
    <w:name w:val="Normal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a4" w:type="character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styleId="af" w:type="paragraph">
    <w:name w:val="header"/>
    <w:basedOn w:val="a"/>
    <w:link w:val="af0"/>
    <w:rsid w:val="00797A2D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0" w:type="character">
    <w:name w:val="页眉 字符"/>
    <w:basedOn w:val="a1"/>
    <w:link w:val="af"/>
    <w:rsid w:val="00797A2D"/>
    <w:rPr>
      <w:sz w:val="18"/>
      <w:szCs w:val="18"/>
    </w:rPr>
  </w:style>
  <w:style w:styleId="af1" w:type="paragraph">
    <w:name w:val="footer"/>
    <w:basedOn w:val="a"/>
    <w:link w:val="af2"/>
    <w:uiPriority w:val="99"/>
    <w:rsid w:val="00797A2D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2" w:type="character">
    <w:name w:val="页脚 字符"/>
    <w:basedOn w:val="a1"/>
    <w:link w:val="af1"/>
    <w:uiPriority w:val="99"/>
    <w:rsid w:val="00797A2D"/>
    <w:rPr>
      <w:sz w:val="18"/>
      <w:szCs w:val="18"/>
    </w:rPr>
  </w:style>
  <w:style w:customStyle="1" w:styleId="1" w:type="numbering">
    <w:name w:val="列表1"/>
    <w:uiPriority w:val="99"/>
    <w:rsid w:val="00797A2D"/>
    <w:pPr>
      <w:numPr>
        <w:numId w:val="1"/>
      </w:numPr>
    </w:pPr>
  </w:style>
  <w:style w:customStyle="1" w:styleId="2" w:type="numbering">
    <w:name w:val="列表2"/>
    <w:uiPriority w:val="99"/>
    <w:rsid w:val="00D42F07"/>
    <w:pPr>
      <w:numPr>
        <w:numId w:val="2"/>
      </w:numPr>
    </w:pPr>
  </w:style>
  <w:style w:customStyle="1" w:styleId="af3" w:type="paragraph">
    <w:name w:val="图片"/>
    <w:basedOn w:val="FirstParagraph"/>
    <w:qFormat/>
    <w:rsid w:val="005D0F42"/>
    <w:pPr>
      <w:keepNext/>
      <w:jc w:val="center"/>
    </w:pPr>
    <w:rPr>
      <w:noProof/>
    </w:rPr>
  </w:style>
  <w:style w:customStyle="1" w:styleId="Compact10071" w:type="paragraph">
    <w:name w:val="样式 Compact + 10 磅 首行缩进:  0.71 厘米"/>
    <w:basedOn w:val="Compact"/>
    <w:rsid w:val="00BF4643"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rsid w:val="00C22998"/>
    <w:pPr>
      <w:jc w:val="center"/>
    </w:pPr>
    <w:rPr>
      <w:lang w:eastAsia="zh-CN"/>
    </w:rPr>
  </w:style>
  <w:style w:styleId="af4" w:type="character">
    <w:name w:val="FollowedHyperlink"/>
    <w:basedOn w:val="a1"/>
    <w:rsid w:val="00702FD9"/>
    <w:rPr>
      <w:color w:themeColor="followedHyperlink"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2026-04-30T12:06:56Z</dcterms:created>
  <dcterms:modified xsi:type="dcterms:W3CDTF">2026-04-30T12:06:56Z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