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D79F" w14:textId="038C483F" w:rsidR="00D7077A" w:rsidRDefault="00D7077A" w:rsidP="00D7077A">
      <w:pPr>
        <w:jc w:val="center"/>
        <w:rPr>
          <w:rFonts w:asciiTheme="majorEastAsia" w:eastAsiaTheme="majorEastAsia" w:hAnsiTheme="majorEastAsia"/>
          <w:sz w:val="44"/>
          <w:szCs w:val="44"/>
        </w:rPr>
      </w:pPr>
      <w:r w:rsidRPr="00D7077A">
        <w:rPr>
          <w:rFonts w:asciiTheme="majorEastAsia" w:eastAsiaTheme="majorEastAsia" w:hAnsiTheme="majorEastAsia" w:hint="eastAsia"/>
          <w:sz w:val="44"/>
          <w:szCs w:val="44"/>
        </w:rPr>
        <w:t>研究报告</w:t>
      </w:r>
    </w:p>
    <w:p w14:paraId="4F695275" w14:textId="6FAC2F3F" w:rsidR="005B1CE2" w:rsidRPr="00D7077A" w:rsidRDefault="00D7077A" w:rsidP="00D7077A">
      <w:pPr>
        <w:rPr>
          <w:rFonts w:asciiTheme="majorEastAsia" w:eastAsiaTheme="majorEastAsia" w:hAnsiTheme="majorEastAsia" w:hint="eastAsia"/>
          <w:szCs w:val="22"/>
        </w:rPr>
      </w:pPr>
      <w:r>
        <w:rPr>
          <w:rFonts w:asciiTheme="majorEastAsia" w:eastAsiaTheme="majorEastAsia" w:hAnsiTheme="majorEastAsia" w:hint="eastAsia"/>
          <w:szCs w:val="22"/>
        </w:rPr>
        <w:t>研究背景：</w:t>
      </w:r>
      <w:r w:rsidR="005B1CE2">
        <w:rPr>
          <w:rFonts w:asciiTheme="majorEastAsia" w:eastAsiaTheme="majorEastAsia" w:hAnsiTheme="majorEastAsia" w:hint="eastAsia"/>
          <w:szCs w:val="22"/>
        </w:rPr>
        <w:t>资本市场中，重大政策和重大会议的发布与召开往往会影响股民的市场预期和风险偏好，然而我们对其影响</w:t>
      </w:r>
      <w:r w:rsidR="00F2452F">
        <w:rPr>
          <w:rFonts w:asciiTheme="majorEastAsia" w:eastAsiaTheme="majorEastAsia" w:hAnsiTheme="majorEastAsia" w:hint="eastAsia"/>
          <w:szCs w:val="22"/>
        </w:rPr>
        <w:t>的感知</w:t>
      </w:r>
      <w:r w:rsidR="005B1CE2">
        <w:rPr>
          <w:rFonts w:asciiTheme="majorEastAsia" w:eastAsiaTheme="majorEastAsia" w:hAnsiTheme="majorEastAsia" w:hint="eastAsia"/>
          <w:szCs w:val="22"/>
        </w:rPr>
        <w:t>往往只停留在叙事层面，缺乏系统性的统计检验。因此，我们通过历史数据，对会议召开前后行业表现是否有稳定规律进行探究。</w:t>
      </w:r>
    </w:p>
    <w:p w14:paraId="6271050E" w14:textId="2F582D43" w:rsidR="00D7077A" w:rsidRDefault="00D7077A" w:rsidP="00D7077A">
      <w:r>
        <w:t>研究目的：考察重要</w:t>
      </w:r>
      <w:r>
        <w:rPr>
          <w:rFonts w:hint="eastAsia"/>
        </w:rPr>
        <w:t>国内外重要经济，政治</w:t>
      </w:r>
      <w:r>
        <w:t>类会议在召开前后，对 A 股一级行业 涨跌的系统性影响，并识别在特定会议、特定时间窗口下涨跌表现显著偏离随机的行业。 具体目标： 构建「会议 × 历届召开时间」样本，并定义围绕会议日的交易时间轴（</w:t>
      </w:r>
      <w:r>
        <w:rPr>
          <w:rFonts w:hint="eastAsia"/>
        </w:rPr>
        <w:t>t</w:t>
      </w:r>
      <w:r>
        <w:t>,</w:t>
      </w:r>
      <w:r>
        <w:rPr>
          <w:rFonts w:hint="eastAsia"/>
        </w:rPr>
        <w:t>t+1</w:t>
      </w:r>
      <w:r>
        <w:t>,</w:t>
      </w:r>
      <w:r>
        <w:rPr>
          <w:rFonts w:hint="eastAsia"/>
        </w:rPr>
        <w:t>t</w:t>
      </w:r>
      <w:r>
        <w:t>-1,t+5,t-5</w:t>
      </w:r>
      <w:r>
        <w:t>）。 在中信一级行业口径下，统计各会议、各时间轴上的历届涨跌频次，得到行业维度的涨跌概率。 筛选出受会议影响显著的「会议–时间轴–行业」组合，为事件驱动与行业轮动提供可复现的统计依据。 应用价值：为策略与研报提供「哪些会议、在什么时间窗口、对哪些行业有较稳定的涨/跌倾向」的参考，而非单纯叙事。</w:t>
      </w:r>
    </w:p>
    <w:p w14:paraId="797FD54B" w14:textId="1F524B90" w:rsidR="005B1CE2" w:rsidRDefault="005B1CE2" w:rsidP="00D7077A">
      <w:r>
        <w:t>研究方法</w:t>
      </w:r>
      <w:r>
        <w:rPr>
          <w:rFonts w:hint="eastAsia"/>
        </w:rPr>
        <w:t>：</w:t>
      </w:r>
      <w:r>
        <w:t>1. 事件与样本 事件定义：选取可能影响 A 股的政策与经济类会议（国内如两会、中央经济工作会议、进博会、金融工作会议、陆家嘴论坛等；国际如 G20、IMF 与世行会议、冬季/夏季达沃斯等），见《会议名单》及《会议大全》。 历届时间：使用《会议历届时间》表，每条记录为「会议名称 + 召开起止日期」；若召开首日非交易日，T 日取该日之后的第一个交易日。 样本规模：当前约 279 届会议（含原有会议及后续补充的广交会、高交会、中国发展高层论坛、服贸会、世界互联网大会、世界人工智能大会、东博会、中关村论坛、消博会等历届），覆盖多年、多类会议，用于扩大样本、提高统计稳定性。 2. 时间轴（交易窗口） 以每届会议的 T 日（召开首日对应交易日） 为基准，定义五个不重叠的交易时间轴： T-5：T 日前第 5 个交易日（单日或区间视实现而定）； T-1：T 日前 1 个交易日； T：T 日当天； T+1：T 日后 1 个交易日； T+5：T 日后第 1 至第 5 个交易日的区间（或取 T+5 当日）。 每个时间轴对应一个收益区间，用于判断该窗口内行业指数涨/跌/平（仅方向，不要求幅度）。 3. 行业与行情数据 行业口径：中信一级行业（29 个指数，米筐代码 CI005001.INDX–CI005029.INDX），覆盖石油石化、煤炭、有色金属、电力及公用事业、钢铁、基础化工、建筑、建材、轻工制造、机械、电力设备及新能源、国防军工、汽车、商贸零售、消费者服务、家电、纺织服装、医药、食品饮料、农林牧渔、银行、非银行金融、房地产、交通运输、电子、通信、计算机、传媒、综合等。 数据来源：米筐（</w:t>
      </w:r>
      <w:proofErr w:type="spellStart"/>
      <w:r>
        <w:t>rqdatac</w:t>
      </w:r>
      <w:proofErr w:type="spellEnd"/>
      <w:r>
        <w:t xml:space="preserve">）行业指数日行情；在每一时间轴对应的区间内，用区间累积收益判断涨（&gt;0）、跌（&lt;0）、平（=0）。 4. 统计与显著性 统计量：对每个「会议族群 × 时间轴 × 行业」在历届会议上统计： 上涨次数、下跌次数、总次数； 上涨概率 </w:t>
      </w:r>
      <w:proofErr w:type="spellStart"/>
      <w:r>
        <w:t>up_rate</w:t>
      </w:r>
      <w:proofErr w:type="spellEnd"/>
      <w:r>
        <w:t xml:space="preserve"> = 上涨次数 / 总次数，下跌概率 </w:t>
      </w:r>
      <w:proofErr w:type="spellStart"/>
      <w:r>
        <w:t>down_rate</w:t>
      </w:r>
      <w:proofErr w:type="spellEnd"/>
      <w:r>
        <w:t xml:space="preserve"> = 下跌次数 / 总次数。 会议族群：将同类型不同届次归一为同一族群（如「G20领导人峰会（2022）」→「G20领导人峰会」，「2013年中央经济工作会议」→「中央经济工作会议」），以便跨届汇总。 </w:t>
      </w:r>
      <w:r>
        <w:lastRenderedPageBreak/>
        <w:t>显著性规则（与既有实现一致）： 仅保留 |</w:t>
      </w:r>
      <w:proofErr w:type="spellStart"/>
      <w:r>
        <w:t>up_rate</w:t>
      </w:r>
      <w:proofErr w:type="spellEnd"/>
      <w:r>
        <w:t xml:space="preserve"> </w:t>
      </w:r>
      <w:r>
        <w:rPr>
          <w:rFonts w:ascii="Cambria Math" w:hAnsi="Cambria Math" w:cs="Cambria Math"/>
        </w:rPr>
        <w:t>−</w:t>
      </w:r>
      <w:r>
        <w:t xml:space="preserve"> 0.5| ≥ 0.20 且 总次数 ≥ 6 的组合； 将 </w:t>
      </w:r>
      <w:proofErr w:type="spellStart"/>
      <w:r>
        <w:t>up_rate</w:t>
      </w:r>
      <w:proofErr w:type="spellEnd"/>
      <w:r>
        <w:t xml:space="preserve"> ≥ 0.70 标为 </w:t>
      </w:r>
      <w:proofErr w:type="spellStart"/>
      <w:r>
        <w:t>mostly_up</w:t>
      </w:r>
      <w:proofErr w:type="spellEnd"/>
      <w:r>
        <w:t xml:space="preserve">，否则标为 </w:t>
      </w:r>
      <w:proofErr w:type="spellStart"/>
      <w:r>
        <w:t>mostly_down</w:t>
      </w:r>
      <w:proofErr w:type="spellEnd"/>
      <w:r>
        <w:t xml:space="preserve">，表示该会议–时间轴下该行业「历届偏涨」或「历届偏跌」。 5. 输出 会议窗口行业数据：每行为一届会议 × 一个时间轴，含该窗口内 29 个行业的涨/跌/平统计（及上涨家数、下跌家数等）。 受影响显著的一级行业表：每行为一个「行业–时间轴–会议族群」且通过上述显著性筛选的记录，含 </w:t>
      </w:r>
      <w:proofErr w:type="spellStart"/>
      <w:r>
        <w:t>up_count</w:t>
      </w:r>
      <w:proofErr w:type="spellEnd"/>
      <w:r>
        <w:t>、</w:t>
      </w:r>
      <w:proofErr w:type="spellStart"/>
      <w:r>
        <w:t>down_count</w:t>
      </w:r>
      <w:proofErr w:type="spellEnd"/>
      <w:r>
        <w:t>、total、</w:t>
      </w:r>
      <w:proofErr w:type="spellStart"/>
      <w:r>
        <w:t>up_rate</w:t>
      </w:r>
      <w:proofErr w:type="spellEnd"/>
      <w:r>
        <w:t>、</w:t>
      </w:r>
      <w:proofErr w:type="spellStart"/>
      <w:r>
        <w:t>down_rate</w:t>
      </w:r>
      <w:proofErr w:type="spellEnd"/>
      <w:r>
        <w:t>、bias_from_50、direction，以及历届 T 日、窗口起止、最近一届时间、下一次预计召开时间等辅助信息。</w:t>
      </w:r>
    </w:p>
    <w:p w14:paraId="01EEFD81" w14:textId="77777777" w:rsidR="0018144C" w:rsidRDefault="00D33CB7" w:rsidP="00D7077A">
      <w:r>
        <w:t>三、研究结论与后续应用</w:t>
      </w:r>
    </w:p>
    <w:p w14:paraId="71B60D1E" w14:textId="77777777" w:rsidR="0018144C" w:rsidRDefault="00D33CB7" w:rsidP="00D7077A">
      <w:r>
        <w:t>1. 主要结论</w:t>
      </w:r>
      <w:r w:rsidR="0018144C">
        <w:rPr>
          <w:rFonts w:hint="eastAsia"/>
        </w:rPr>
        <w:t>：</w:t>
      </w:r>
      <w:r>
        <w:t>会议–时间轴–行业存在系统性偏度：在 279 届会议、五类时间轴、中信 29 行业下，有 479 个「行业–时间轴–会议族群」 组合满足显著性条件，说明在部分会议、部分时间窗口下，部分行业的涨跌并非随机，而是呈现稳定的偏涨或偏跌。 不同会议类型、不同时间轴效应不同：例如： 世界互联网大会：T 日家电偏涨（up_rate≈0.73）、国防军工偏跌（up_rate≈0.18）；T-1 银行、非银偏跌；T+5 农林牧渔、商贸零售、基础化工等偏涨，电力设备及新能源偏跌等。 世界人工智能大会：T 日多数行业偏跌（如建筑、电力及公用事业、钢铁等 up_rate≈0.125–0.25）；T+5 机械、基础化工、家电等偏涨。 中国国际进口博览会：在 T、T-1 等窗口下，多个消费与制造类行业历届偏涨，样本量较大，结论较稳。 时间轴含义：T-5/T-1 可视为预期与博弈阶段，T 为事件落地日，T+1/T+5 为短期反应与扩散；不同行业在不同阶段表现不同，与会议议题（如金融、科技、消费、政策定调）相符时可重点阐述。</w:t>
      </w:r>
    </w:p>
    <w:p w14:paraId="52D94933" w14:textId="48800113" w:rsidR="00D33CB7" w:rsidRDefault="00D33CB7" w:rsidP="00D7077A">
      <w:r>
        <w:t xml:space="preserve"> 2. 后续应用建议 事件驱动与行业轮动：在已知会议召开时间的前提下，可参考「受影响显著的一级行业」表，在对应时间轴前后对偏涨/偏跌行业做战术配置或风险控制。 研报与路演：用「某会议 + 某时间轴 + 某行业历届涨跌概率」作为事实依据，支撑对会议影响的讨论，避免泛泛而谈。 扩展方向：可对二级、三级行业用相同方法（会议不变，仅替换行业指数与分类）做同样的事件窗口统计与显著性筛选，得到更细的行业暴露</w:t>
      </w:r>
    </w:p>
    <w:p w14:paraId="53309AB1" w14:textId="77777777" w:rsidR="00DF716C" w:rsidRDefault="00DF716C" w:rsidP="00D7077A">
      <w:r>
        <w:t>四、预测与看法</w:t>
      </w:r>
    </w:p>
    <w:p w14:paraId="34578465" w14:textId="3B9F39FE" w:rsidR="00DF716C" w:rsidRPr="00D7077A" w:rsidRDefault="00DF716C" w:rsidP="00D7077A">
      <w:pPr>
        <w:rPr>
          <w:rFonts w:asciiTheme="majorEastAsia" w:eastAsiaTheme="majorEastAsia" w:hAnsiTheme="majorEastAsia" w:hint="eastAsia"/>
          <w:sz w:val="44"/>
          <w:szCs w:val="44"/>
        </w:rPr>
      </w:pPr>
      <w:r>
        <w:t xml:space="preserve"> 1. 方法层面 当前仅用涨跌方向（概率），未用涨跌幅幅度；若后续引入「平均/最大/最小涨跌幅」，可进一步区分「显著但幅度小」与「显著且幅度大」的行业，用于排序与权重。 样本已包含多类会议与多年历届，扩大样本主要提高的是「会议族群 × 时间轴 × 行业」的估计稳定性，而非改变方法论；新纳入的广交会、高交会、服贸会、世界互联网大会、世界人工智能大会等，与原有会议在处理方法上一致。 2. 应用层面 下一次会议时间：表中已对主要会议族群标注「最近一届时间」与「下一次预计召开时间」（基于公开信息与召开规律）</w:t>
      </w:r>
      <w:r>
        <w:rPr>
          <w:rFonts w:hint="eastAsia"/>
        </w:rPr>
        <w:t>。</w:t>
      </w:r>
      <w:r>
        <w:t>局限性：历史涨跌概率不代表未来必然重复；会议议题、宏观环境、政策力度会变</w:t>
      </w:r>
      <w:r>
        <w:rPr>
          <w:rFonts w:hint="eastAsia"/>
        </w:rPr>
        <w:t>。</w:t>
      </w:r>
    </w:p>
    <w:sectPr w:rsidR="00DF716C" w:rsidRPr="00D707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6744"/>
    <w:multiLevelType w:val="multilevel"/>
    <w:tmpl w:val="D4B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5478E"/>
    <w:multiLevelType w:val="multilevel"/>
    <w:tmpl w:val="910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851557">
    <w:abstractNumId w:val="1"/>
  </w:num>
  <w:num w:numId="2" w16cid:durableId="43393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7A"/>
    <w:rsid w:val="0018144C"/>
    <w:rsid w:val="00270200"/>
    <w:rsid w:val="005B1CE2"/>
    <w:rsid w:val="006914C6"/>
    <w:rsid w:val="007C3FE2"/>
    <w:rsid w:val="008803C2"/>
    <w:rsid w:val="00CC377B"/>
    <w:rsid w:val="00D33CB7"/>
    <w:rsid w:val="00D7077A"/>
    <w:rsid w:val="00DF716C"/>
    <w:rsid w:val="00F2452F"/>
    <w:rsid w:val="00FE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C509E3"/>
  <w15:chartTrackingRefBased/>
  <w15:docId w15:val="{625CA391-8115-2949-8AD3-CAA57DE9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07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707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07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07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07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07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07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07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07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07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707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07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077A"/>
    <w:rPr>
      <w:rFonts w:cstheme="majorBidi"/>
      <w:color w:val="0F4761" w:themeColor="accent1" w:themeShade="BF"/>
      <w:sz w:val="28"/>
      <w:szCs w:val="28"/>
    </w:rPr>
  </w:style>
  <w:style w:type="character" w:customStyle="1" w:styleId="50">
    <w:name w:val="标题 5 字符"/>
    <w:basedOn w:val="a0"/>
    <w:link w:val="5"/>
    <w:uiPriority w:val="9"/>
    <w:semiHidden/>
    <w:rsid w:val="00D7077A"/>
    <w:rPr>
      <w:rFonts w:cstheme="majorBidi"/>
      <w:color w:val="0F4761" w:themeColor="accent1" w:themeShade="BF"/>
      <w:sz w:val="24"/>
    </w:rPr>
  </w:style>
  <w:style w:type="character" w:customStyle="1" w:styleId="60">
    <w:name w:val="标题 6 字符"/>
    <w:basedOn w:val="a0"/>
    <w:link w:val="6"/>
    <w:uiPriority w:val="9"/>
    <w:semiHidden/>
    <w:rsid w:val="00D7077A"/>
    <w:rPr>
      <w:rFonts w:cstheme="majorBidi"/>
      <w:b/>
      <w:bCs/>
      <w:color w:val="0F4761" w:themeColor="accent1" w:themeShade="BF"/>
    </w:rPr>
  </w:style>
  <w:style w:type="character" w:customStyle="1" w:styleId="70">
    <w:name w:val="标题 7 字符"/>
    <w:basedOn w:val="a0"/>
    <w:link w:val="7"/>
    <w:uiPriority w:val="9"/>
    <w:semiHidden/>
    <w:rsid w:val="00D7077A"/>
    <w:rPr>
      <w:rFonts w:cstheme="majorBidi"/>
      <w:b/>
      <w:bCs/>
      <w:color w:val="595959" w:themeColor="text1" w:themeTint="A6"/>
    </w:rPr>
  </w:style>
  <w:style w:type="character" w:customStyle="1" w:styleId="80">
    <w:name w:val="标题 8 字符"/>
    <w:basedOn w:val="a0"/>
    <w:link w:val="8"/>
    <w:uiPriority w:val="9"/>
    <w:semiHidden/>
    <w:rsid w:val="00D7077A"/>
    <w:rPr>
      <w:rFonts w:cstheme="majorBidi"/>
      <w:color w:val="595959" w:themeColor="text1" w:themeTint="A6"/>
    </w:rPr>
  </w:style>
  <w:style w:type="character" w:customStyle="1" w:styleId="90">
    <w:name w:val="标题 9 字符"/>
    <w:basedOn w:val="a0"/>
    <w:link w:val="9"/>
    <w:uiPriority w:val="9"/>
    <w:semiHidden/>
    <w:rsid w:val="00D7077A"/>
    <w:rPr>
      <w:rFonts w:eastAsiaTheme="majorEastAsia" w:cstheme="majorBidi"/>
      <w:color w:val="595959" w:themeColor="text1" w:themeTint="A6"/>
    </w:rPr>
  </w:style>
  <w:style w:type="paragraph" w:styleId="a3">
    <w:name w:val="Title"/>
    <w:basedOn w:val="a"/>
    <w:next w:val="a"/>
    <w:link w:val="a4"/>
    <w:uiPriority w:val="10"/>
    <w:qFormat/>
    <w:rsid w:val="00D707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07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07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07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077A"/>
    <w:pPr>
      <w:spacing w:before="160"/>
      <w:jc w:val="center"/>
    </w:pPr>
    <w:rPr>
      <w:i/>
      <w:iCs/>
      <w:color w:val="404040" w:themeColor="text1" w:themeTint="BF"/>
    </w:rPr>
  </w:style>
  <w:style w:type="character" w:customStyle="1" w:styleId="a8">
    <w:name w:val="引用 字符"/>
    <w:basedOn w:val="a0"/>
    <w:link w:val="a7"/>
    <w:uiPriority w:val="29"/>
    <w:rsid w:val="00D7077A"/>
    <w:rPr>
      <w:i/>
      <w:iCs/>
      <w:color w:val="404040" w:themeColor="text1" w:themeTint="BF"/>
    </w:rPr>
  </w:style>
  <w:style w:type="paragraph" w:styleId="a9">
    <w:name w:val="List Paragraph"/>
    <w:basedOn w:val="a"/>
    <w:uiPriority w:val="34"/>
    <w:qFormat/>
    <w:rsid w:val="00D7077A"/>
    <w:pPr>
      <w:ind w:left="720"/>
      <w:contextualSpacing/>
    </w:pPr>
  </w:style>
  <w:style w:type="character" w:styleId="aa">
    <w:name w:val="Intense Emphasis"/>
    <w:basedOn w:val="a0"/>
    <w:uiPriority w:val="21"/>
    <w:qFormat/>
    <w:rsid w:val="00D7077A"/>
    <w:rPr>
      <w:i/>
      <w:iCs/>
      <w:color w:val="0F4761" w:themeColor="accent1" w:themeShade="BF"/>
    </w:rPr>
  </w:style>
  <w:style w:type="paragraph" w:styleId="ab">
    <w:name w:val="Intense Quote"/>
    <w:basedOn w:val="a"/>
    <w:next w:val="a"/>
    <w:link w:val="ac"/>
    <w:uiPriority w:val="30"/>
    <w:qFormat/>
    <w:rsid w:val="00D70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077A"/>
    <w:rPr>
      <w:i/>
      <w:iCs/>
      <w:color w:val="0F4761" w:themeColor="accent1" w:themeShade="BF"/>
    </w:rPr>
  </w:style>
  <w:style w:type="character" w:styleId="ad">
    <w:name w:val="Intense Reference"/>
    <w:basedOn w:val="a0"/>
    <w:uiPriority w:val="32"/>
    <w:qFormat/>
    <w:rsid w:val="00D7077A"/>
    <w:rPr>
      <w:b/>
      <w:bCs/>
      <w:smallCaps/>
      <w:color w:val="0F4761" w:themeColor="accent1" w:themeShade="BF"/>
      <w:spacing w:val="5"/>
    </w:rPr>
  </w:style>
  <w:style w:type="paragraph" w:styleId="ae">
    <w:name w:val="Normal (Web)"/>
    <w:basedOn w:val="a"/>
    <w:uiPriority w:val="99"/>
    <w:semiHidden/>
    <w:unhideWhenUsed/>
    <w:rsid w:val="00D7077A"/>
    <w:pPr>
      <w:widowControl/>
      <w:spacing w:before="100" w:beforeAutospacing="1" w:after="100" w:afterAutospacing="1" w:line="240" w:lineRule="auto"/>
    </w:pPr>
    <w:rPr>
      <w:rFonts w:ascii="SimSun" w:eastAsia="SimSun" w:hAnsi="SimSun" w:cs="SimSun"/>
      <w:kern w:val="0"/>
      <w:sz w:val="24"/>
      <w14:ligatures w14:val="none"/>
    </w:rPr>
  </w:style>
  <w:style w:type="character" w:styleId="af">
    <w:name w:val="Strong"/>
    <w:basedOn w:val="a0"/>
    <w:uiPriority w:val="22"/>
    <w:qFormat/>
    <w:rsid w:val="00D707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1341</Words>
  <Characters>1341</Characters>
  <Application>Microsoft Office Word</Application>
  <DocSecurity>0</DocSecurity>
  <Lines>335</Lines>
  <Paragraphs>536</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a95269</dc:creator>
  <cp:keywords/>
  <dc:description/>
  <cp:lastModifiedBy>a95269</cp:lastModifiedBy>
  <cp:revision>2</cp:revision>
  <dcterms:created xsi:type="dcterms:W3CDTF">2026-03-06T02:05:00Z</dcterms:created>
  <dcterms:modified xsi:type="dcterms:W3CDTF">2026-03-06T07:13:00Z</dcterms:modified>
</cp:coreProperties>
</file>