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73" w:rsidRDefault="00330C63">
      <w:pPr>
        <w:pStyle w:val="2"/>
      </w:pPr>
      <w:bookmarkStart w:id="0" w:name="_Toc14237"/>
      <w:r>
        <w:rPr>
          <w:rFonts w:hint="eastAsia"/>
          <w:lang w:val="en-US"/>
        </w:rPr>
        <w:t>呼入交易业务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信用卡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额度管理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永久额度调整</w:t>
      </w:r>
      <w:bookmarkEnd w:id="0"/>
    </w:p>
    <w:p w:rsidR="00380973" w:rsidRDefault="00330C63">
      <w:pPr>
        <w:pStyle w:val="3"/>
      </w:pPr>
      <w:bookmarkStart w:id="1" w:name="_Toc5897"/>
      <w:r>
        <w:rPr>
          <w:rFonts w:hint="eastAsia"/>
        </w:rPr>
        <w:t>业务功能及流程描述</w:t>
      </w:r>
      <w:bookmarkEnd w:id="1"/>
    </w:p>
    <w:p w:rsidR="00380973" w:rsidRDefault="00330C63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lang/>
        </w:rPr>
      </w:pPr>
      <w:r>
        <w:rPr>
          <w:rFonts w:ascii="宋体" w:hAnsi="宋体" w:cs="宋体" w:hint="eastAsia"/>
          <w:kern w:val="0"/>
          <w:szCs w:val="21"/>
          <w:lang/>
        </w:rPr>
        <w:t>支持对永久额度调高或调低</w:t>
      </w:r>
      <w:r>
        <w:rPr>
          <w:rFonts w:ascii="宋体" w:hAnsi="宋体" w:cs="宋体" w:hint="eastAsia"/>
          <w:kern w:val="0"/>
          <w:szCs w:val="21"/>
          <w:lang/>
        </w:rPr>
        <w:t>，</w:t>
      </w:r>
      <w:r>
        <w:rPr>
          <w:rFonts w:ascii="宋体" w:hAnsi="宋体" w:cs="宋体" w:hint="eastAsia"/>
          <w:kern w:val="0"/>
          <w:szCs w:val="21"/>
          <w:lang/>
        </w:rPr>
        <w:t>自激活之日</w:t>
      </w:r>
      <w:proofErr w:type="gramStart"/>
      <w:r>
        <w:rPr>
          <w:rFonts w:ascii="宋体" w:hAnsi="宋体" w:cs="宋体" w:hint="eastAsia"/>
          <w:kern w:val="0"/>
          <w:szCs w:val="21"/>
          <w:lang/>
        </w:rPr>
        <w:t>起用卡</w:t>
      </w:r>
      <w:proofErr w:type="gramEnd"/>
      <w:r>
        <w:rPr>
          <w:rFonts w:ascii="宋体" w:hAnsi="宋体" w:cs="宋体" w:hint="eastAsia"/>
          <w:kern w:val="0"/>
          <w:szCs w:val="21"/>
          <w:lang/>
        </w:rPr>
        <w:t>90</w:t>
      </w:r>
      <w:r>
        <w:rPr>
          <w:rFonts w:ascii="宋体" w:hAnsi="宋体" w:cs="宋体" w:hint="eastAsia"/>
          <w:kern w:val="0"/>
          <w:szCs w:val="21"/>
          <w:lang/>
        </w:rPr>
        <w:t>天</w:t>
      </w:r>
      <w:r>
        <w:rPr>
          <w:rFonts w:ascii="宋体" w:hAnsi="宋体" w:cs="宋体" w:hint="eastAsia"/>
          <w:kern w:val="0"/>
          <w:szCs w:val="21"/>
          <w:lang/>
        </w:rPr>
        <w:t>方可申请</w:t>
      </w:r>
      <w:r>
        <w:rPr>
          <w:rFonts w:ascii="宋体" w:hAnsi="宋体" w:cs="宋体" w:hint="eastAsia"/>
          <w:kern w:val="0"/>
          <w:szCs w:val="21"/>
          <w:lang/>
        </w:rPr>
        <w:t>。</w:t>
      </w:r>
      <w:r>
        <w:rPr>
          <w:rFonts w:ascii="宋体" w:hAnsi="宋体" w:cs="宋体" w:hint="eastAsia"/>
          <w:kern w:val="0"/>
          <w:szCs w:val="21"/>
          <w:lang/>
        </w:rPr>
        <w:t>永久额度调整需卡片状态正常即</w:t>
      </w:r>
      <w:proofErr w:type="gramStart"/>
      <w:r>
        <w:rPr>
          <w:rFonts w:ascii="宋体" w:hAnsi="宋体" w:cs="宋体" w:hint="eastAsia"/>
          <w:kern w:val="0"/>
          <w:szCs w:val="21"/>
          <w:lang/>
        </w:rPr>
        <w:t>空状态</w:t>
      </w:r>
      <w:proofErr w:type="gramEnd"/>
      <w:r>
        <w:rPr>
          <w:rFonts w:ascii="宋体" w:hAnsi="宋体" w:cs="宋体" w:hint="eastAsia"/>
          <w:kern w:val="0"/>
          <w:szCs w:val="21"/>
          <w:lang/>
        </w:rPr>
        <w:t>下可办理。</w:t>
      </w:r>
      <w:r>
        <w:rPr>
          <w:rFonts w:ascii="宋体" w:hAnsi="宋体" w:cs="宋体" w:hint="eastAsia"/>
          <w:kern w:val="0"/>
          <w:szCs w:val="21"/>
          <w:lang/>
        </w:rPr>
        <w:t>两次永久额度调整之间的时间间隔不能少于</w:t>
      </w:r>
      <w:r>
        <w:rPr>
          <w:rFonts w:ascii="宋体" w:hAnsi="宋体" w:cs="宋体" w:hint="eastAsia"/>
          <w:kern w:val="0"/>
          <w:szCs w:val="21"/>
          <w:lang/>
        </w:rPr>
        <w:t>180</w:t>
      </w:r>
      <w:r>
        <w:rPr>
          <w:rFonts w:ascii="宋体" w:hAnsi="宋体" w:cs="宋体" w:hint="eastAsia"/>
          <w:kern w:val="0"/>
          <w:szCs w:val="21"/>
          <w:lang/>
        </w:rPr>
        <w:t>天（</w:t>
      </w:r>
      <w:r>
        <w:rPr>
          <w:rFonts w:ascii="宋体" w:hAnsi="宋体" w:cs="宋体" w:hint="eastAsia"/>
          <w:kern w:val="0"/>
          <w:szCs w:val="21"/>
          <w:lang/>
        </w:rPr>
        <w:t>以后台处理日期开始计算</w:t>
      </w:r>
      <w:r>
        <w:rPr>
          <w:rFonts w:ascii="宋体" w:hAnsi="宋体" w:cs="宋体" w:hint="eastAsia"/>
          <w:kern w:val="0"/>
          <w:szCs w:val="21"/>
          <w:lang/>
        </w:rPr>
        <w:t>）</w:t>
      </w:r>
      <w:r>
        <w:rPr>
          <w:rFonts w:ascii="宋体" w:hAnsi="宋体" w:cs="宋体" w:hint="eastAsia"/>
          <w:kern w:val="0"/>
          <w:szCs w:val="21"/>
          <w:lang/>
        </w:rPr>
        <w:t>。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调低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期间，欠款不能超过需要降低的额度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（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当前欠款额度≥申请降低后的额度）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；</w:t>
      </w:r>
      <w:r>
        <w:rPr>
          <w:rFonts w:ascii="宋体" w:hAnsi="宋体" w:cs="宋体" w:hint="eastAsia"/>
          <w:color w:val="000000"/>
          <w:szCs w:val="21"/>
          <w:lang/>
        </w:rPr>
        <w:t>系统可受理除钻石卡、</w:t>
      </w:r>
      <w:r>
        <w:rPr>
          <w:rFonts w:ascii="宋体" w:hAnsi="宋体" w:cs="宋体" w:hint="eastAsia"/>
          <w:color w:val="000000"/>
          <w:szCs w:val="21"/>
          <w:lang/>
        </w:rPr>
        <w:t>VISA</w:t>
      </w:r>
      <w:r>
        <w:rPr>
          <w:rFonts w:ascii="宋体" w:hAnsi="宋体" w:cs="宋体" w:hint="eastAsia"/>
          <w:color w:val="000000"/>
          <w:szCs w:val="21"/>
          <w:lang/>
        </w:rPr>
        <w:t>环球白金卡、公务卡、江渝捷</w:t>
      </w:r>
      <w:proofErr w:type="gramStart"/>
      <w:r>
        <w:rPr>
          <w:rFonts w:ascii="宋体" w:hAnsi="宋体" w:cs="宋体" w:hint="eastAsia"/>
          <w:color w:val="000000"/>
          <w:szCs w:val="21"/>
          <w:lang/>
        </w:rPr>
        <w:t>分汽车</w:t>
      </w:r>
      <w:proofErr w:type="gramEnd"/>
      <w:r>
        <w:rPr>
          <w:rFonts w:ascii="宋体" w:hAnsi="宋体" w:cs="宋体" w:hint="eastAsia"/>
          <w:color w:val="000000"/>
          <w:szCs w:val="21"/>
          <w:lang/>
        </w:rPr>
        <w:t>分期、担保汽车分期卡、江渝捷分车位分期、担保车位分期卡、新车位分期卡、</w:t>
      </w:r>
      <w:proofErr w:type="gramStart"/>
      <w:r>
        <w:rPr>
          <w:rFonts w:ascii="宋体" w:hAnsi="宋体" w:cs="宋体" w:hint="eastAsia"/>
          <w:color w:val="000000"/>
          <w:szCs w:val="21"/>
          <w:lang/>
        </w:rPr>
        <w:t>直客式</w:t>
      </w:r>
      <w:proofErr w:type="gramEnd"/>
      <w:r>
        <w:rPr>
          <w:rFonts w:ascii="宋体" w:hAnsi="宋体" w:cs="宋体" w:hint="eastAsia"/>
          <w:color w:val="000000"/>
          <w:szCs w:val="21"/>
          <w:lang/>
        </w:rPr>
        <w:t>大额分期卡（信用、抵押）、自动分期卡以外的卡片进行永久额度调整。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通过高级身份验证</w:t>
      </w:r>
      <w:r>
        <w:rPr>
          <w:rFonts w:hint="eastAsia"/>
        </w:rPr>
        <w:t>，弹出</w:t>
      </w:r>
      <w:proofErr w:type="gramStart"/>
      <w:r>
        <w:rPr>
          <w:rFonts w:hint="eastAsia"/>
        </w:rPr>
        <w:t>调额申请</w:t>
      </w:r>
      <w:proofErr w:type="gramEnd"/>
      <w:r>
        <w:rPr>
          <w:rFonts w:hint="eastAsia"/>
        </w:rPr>
        <w:t>界面及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，录入信息后，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，通过客户进线的卡号或证件号自动展示该客户下</w:t>
      </w:r>
      <w:proofErr w:type="gramStart"/>
      <w:r>
        <w:rPr>
          <w:rFonts w:hint="eastAsia"/>
        </w:rPr>
        <w:t>所有调额记录</w:t>
      </w:r>
      <w:proofErr w:type="gramEnd"/>
      <w:r>
        <w:rPr>
          <w:rFonts w:hint="eastAsia"/>
        </w:rPr>
        <w:t>。若符合基本条件点击提交，申请信息发送至贷后管理系统，通过接口</w:t>
      </w:r>
      <w:proofErr w:type="gramStart"/>
      <w:r>
        <w:rPr>
          <w:rFonts w:hint="eastAsia"/>
        </w:rPr>
        <w:t>接收调额结果</w:t>
      </w:r>
      <w:proofErr w:type="gramEnd"/>
      <w:r>
        <w:rPr>
          <w:rFonts w:hint="eastAsia"/>
        </w:rPr>
        <w:t>，并将结果反馈给客户。若不符合基本条件直接</w:t>
      </w:r>
      <w:proofErr w:type="gramStart"/>
      <w:r>
        <w:rPr>
          <w:rFonts w:hint="eastAsia"/>
        </w:rPr>
        <w:t>作拒件</w:t>
      </w:r>
      <w:proofErr w:type="gramEnd"/>
      <w:r>
        <w:rPr>
          <w:rFonts w:hint="eastAsia"/>
        </w:rPr>
        <w:t>处理，将结果反馈至客户。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接口返回规则：符合基本准入条</w:t>
      </w:r>
      <w:r>
        <w:rPr>
          <w:rFonts w:hint="eastAsia"/>
        </w:rPr>
        <w:t>件，点击“发起调额”按钮，申请信息发送至贷后管理系统，贷后管理系统根据决策结果</w:t>
      </w:r>
      <w:proofErr w:type="gramStart"/>
      <w:r>
        <w:rPr>
          <w:rFonts w:hint="eastAsia"/>
        </w:rPr>
        <w:t>给出调额与否</w:t>
      </w:r>
      <w:proofErr w:type="gramEnd"/>
      <w:r>
        <w:rPr>
          <w:rFonts w:hint="eastAsia"/>
        </w:rPr>
        <w:t>及最终调整额度，并将结果反馈至智能呼叫平台，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将接收到的信息结果反馈至客户。若客户同意调整结果，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点击“额度调整”按钮，再次发送至贷后管理系统进行额度调整；若客户不同意调整结果，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流程。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申请永久额度调低的客户，调低期间，欠款不能超过需要降低的额度（当前欠款额度≥申请降低后的额度），符合该条件直接降低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申请额度。额度调高需对接</w:t>
      </w:r>
      <w:proofErr w:type="gramStart"/>
      <w:r>
        <w:rPr>
          <w:rFonts w:hint="eastAsia"/>
        </w:rPr>
        <w:t>调额决策</w:t>
      </w:r>
      <w:proofErr w:type="gramEnd"/>
      <w:r>
        <w:rPr>
          <w:rFonts w:hint="eastAsia"/>
        </w:rPr>
        <w:t>平台，坐席可在决策平台给出的额度范围内联机调整。额度调低坐席直接联机调整，</w:t>
      </w:r>
      <w:r>
        <w:rPr>
          <w:rFonts w:hint="eastAsia"/>
        </w:rPr>
        <w:t>但降低至额度需大于或等于该账户当前透支余额（包括账户余额和分期余额）。若客户必须要降额坐席可选择降低卡片限额来操作。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特殊情况无法直接处理的可以转后台人工进行处理。</w:t>
      </w:r>
    </w:p>
    <w:p w:rsidR="00380973" w:rsidRDefault="00330C63">
      <w:pPr>
        <w:pStyle w:val="3"/>
      </w:pPr>
      <w:bookmarkStart w:id="2" w:name="_Toc17545"/>
      <w:r>
        <w:rPr>
          <w:rFonts w:hint="eastAsia"/>
        </w:rPr>
        <w:lastRenderedPageBreak/>
        <w:t>业务流程图</w:t>
      </w:r>
      <w:bookmarkEnd w:id="2"/>
    </w:p>
    <w:p w:rsidR="00380973" w:rsidRDefault="00380973">
      <w:pPr>
        <w:jc w:val="center"/>
      </w:pPr>
      <w:r w:rsidRPr="00380973">
        <w:rPr>
          <w:rFonts w:hint="eastAsia"/>
        </w:rPr>
        <w:object w:dxaOrig="4223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562.5pt" o:ole="">
            <v:imagedata r:id="rId8" o:title=""/>
            <o:lock v:ext="edit" aspectratio="f"/>
          </v:shape>
          <o:OLEObject Type="Embed" ProgID="Visio.Drawing.11" ShapeID="_x0000_i1025" DrawAspect="Content" ObjectID="_1681300158" r:id="rId9"/>
        </w:object>
      </w:r>
    </w:p>
    <w:p w:rsidR="00380973" w:rsidRDefault="00330C63">
      <w:pPr>
        <w:pStyle w:val="4"/>
      </w:pPr>
      <w:bookmarkStart w:id="3" w:name="_Toc12780"/>
      <w:r>
        <w:rPr>
          <w:rFonts w:hint="eastAsia"/>
        </w:rPr>
        <w:t>输入画面设计</w:t>
      </w:r>
      <w:bookmarkEnd w:id="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永久额度调整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3675" cy="5896610"/>
                  <wp:effectExtent l="0" t="0" r="3175" b="8890"/>
                  <wp:docPr id="5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89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rPr>
          <w:lang w:val="en-GB"/>
        </w:rPr>
      </w:pPr>
    </w:p>
    <w:p w:rsidR="00380973" w:rsidRDefault="00330C63">
      <w:pPr>
        <w:pStyle w:val="4"/>
      </w:pPr>
      <w:bookmarkStart w:id="4" w:name="_Toc15501"/>
      <w:r>
        <w:rPr>
          <w:rFonts w:hint="eastAsia"/>
        </w:rPr>
        <w:t>输入字段说明</w:t>
      </w:r>
      <w:bookmarkEnd w:id="4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lastRenderedPageBreak/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下拉（调高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调低）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提交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返回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30C63">
      <w:pPr>
        <w:pStyle w:val="4"/>
      </w:pPr>
      <w:bookmarkStart w:id="5" w:name="_Toc18173"/>
      <w:r>
        <w:rPr>
          <w:rFonts w:hint="eastAsia"/>
        </w:rPr>
        <w:t>输出画面设计</w:t>
      </w:r>
      <w:bookmarkEnd w:id="5"/>
    </w:p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永久额度调整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历史申请记录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6215" cy="2420620"/>
                  <wp:effectExtent l="0" t="0" r="635" b="17780"/>
                  <wp:docPr id="5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p w:rsidR="00380973" w:rsidRDefault="00330C63">
      <w:pPr>
        <w:pStyle w:val="4"/>
      </w:pPr>
      <w:bookmarkStart w:id="6" w:name="_Toc158"/>
      <w:r>
        <w:rPr>
          <w:rFonts w:hint="eastAsia"/>
        </w:rPr>
        <w:t>输出字段说明</w:t>
      </w:r>
      <w:bookmarkEnd w:id="6"/>
    </w:p>
    <w:p w:rsidR="00380973" w:rsidRDefault="00330C63">
      <w:pPr>
        <w:spacing w:line="360" w:lineRule="auto"/>
      </w:pPr>
      <w:r>
        <w:rPr>
          <w:rFonts w:hint="eastAsia"/>
        </w:rPr>
        <w:t>【永久额度调整输出字段</w:t>
      </w:r>
      <w:r>
        <w:rPr>
          <w:rFonts w:hint="eastAsia"/>
        </w:rPr>
        <w:t>-</w:t>
      </w:r>
      <w:r>
        <w:rPr>
          <w:rFonts w:hint="eastAsia"/>
        </w:rPr>
        <w:t>历史申请记录】</w:t>
      </w:r>
    </w:p>
    <w:tbl>
      <w:tblPr>
        <w:tblStyle w:val="a4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380973"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输出类型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</w:tr>
      <w:tr w:rsidR="00380973">
        <w:tc>
          <w:tcPr>
            <w:tcW w:w="2132" w:type="dxa"/>
          </w:tcPr>
          <w:p w:rsidR="00380973" w:rsidRDefault="00330C63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申请时间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卡号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额度类型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受理座席工号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lastRenderedPageBreak/>
              <w:t>紧急程度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处理人姓名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处理结果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是否需要回复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座席回复内容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回复座席工号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状态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</w:tbl>
    <w:p w:rsidR="00380973" w:rsidRDefault="00330C63">
      <w:pPr>
        <w:pStyle w:val="4"/>
      </w:pPr>
      <w:bookmarkStart w:id="7" w:name="_Toc284"/>
      <w:r>
        <w:rPr>
          <w:rFonts w:hint="eastAsia"/>
        </w:rPr>
        <w:t>输出打印凭证及内容</w:t>
      </w:r>
      <w:bookmarkEnd w:id="7"/>
    </w:p>
    <w:p w:rsidR="00380973" w:rsidRDefault="00330C63">
      <w:pPr>
        <w:spacing w:line="360" w:lineRule="auto"/>
        <w:ind w:firstLineChars="200" w:firstLine="420"/>
        <w:rPr>
          <w:lang w:val="en-GB"/>
        </w:rPr>
      </w:pPr>
      <w:r>
        <w:rPr>
          <w:rFonts w:hint="eastAsia"/>
          <w:lang w:val="en-GB"/>
        </w:rPr>
        <w:t>无</w:t>
      </w:r>
    </w:p>
    <w:p w:rsidR="00380973" w:rsidRDefault="00330C63">
      <w:pPr>
        <w:pStyle w:val="4"/>
      </w:pPr>
      <w:bookmarkStart w:id="8" w:name="_Toc3827"/>
      <w:r>
        <w:rPr>
          <w:rFonts w:hint="eastAsia"/>
        </w:rPr>
        <w:t>会计分录</w:t>
      </w:r>
      <w:bookmarkEnd w:id="8"/>
    </w:p>
    <w:p w:rsidR="00380973" w:rsidRDefault="00330C63">
      <w:pPr>
        <w:spacing w:line="360" w:lineRule="auto"/>
        <w:ind w:firstLineChars="200" w:firstLine="420"/>
        <w:rPr>
          <w:lang w:val="en-GB"/>
        </w:rPr>
      </w:pPr>
      <w:r>
        <w:rPr>
          <w:rFonts w:hint="eastAsia"/>
          <w:lang w:val="en-GB"/>
        </w:rPr>
        <w:t>无</w:t>
      </w:r>
    </w:p>
    <w:p w:rsidR="00380973" w:rsidRDefault="00330C63">
      <w:pPr>
        <w:pStyle w:val="4"/>
      </w:pPr>
      <w:bookmarkStart w:id="9" w:name="_Toc12582"/>
      <w:r>
        <w:rPr>
          <w:rFonts w:hint="eastAsia"/>
        </w:rPr>
        <w:t>其他说明</w:t>
      </w:r>
      <w:bookmarkEnd w:id="9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2"/>
      </w:pPr>
      <w:bookmarkStart w:id="10" w:name="_Toc14935"/>
      <w:r>
        <w:rPr>
          <w:rFonts w:hint="eastAsia"/>
          <w:lang w:val="en-US"/>
        </w:rPr>
        <w:t>呼入交易业务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信用卡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额度管理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临时额度调高申请</w:t>
      </w:r>
      <w:bookmarkEnd w:id="10"/>
    </w:p>
    <w:p w:rsidR="00380973" w:rsidRDefault="00330C63">
      <w:pPr>
        <w:pStyle w:val="3"/>
      </w:pPr>
      <w:bookmarkStart w:id="11" w:name="_Toc5788"/>
      <w:r>
        <w:rPr>
          <w:rFonts w:hint="eastAsia"/>
        </w:rPr>
        <w:t>业务功能及流程描述</w:t>
      </w:r>
      <w:bookmarkEnd w:id="11"/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通过高级身份验证</w:t>
      </w:r>
      <w:r>
        <w:rPr>
          <w:rFonts w:hint="eastAsia"/>
        </w:rPr>
        <w:t>，用卡</w:t>
      </w:r>
      <w:r>
        <w:rPr>
          <w:rFonts w:hint="eastAsia"/>
        </w:rPr>
        <w:t>3</w:t>
      </w:r>
      <w:r>
        <w:rPr>
          <w:rFonts w:hint="eastAsia"/>
        </w:rPr>
        <w:t>个月才能临时调整（根据激活时间）</w:t>
      </w:r>
      <w:r>
        <w:rPr>
          <w:rFonts w:hint="eastAsia"/>
        </w:rPr>
        <w:t>,</w:t>
      </w:r>
      <w:r>
        <w:rPr>
          <w:rFonts w:hint="eastAsia"/>
        </w:rPr>
        <w:t>临时额度调整</w:t>
      </w:r>
      <w:r>
        <w:rPr>
          <w:rFonts w:hint="eastAsia"/>
        </w:rPr>
        <w:t>申请的</w:t>
      </w:r>
      <w:r>
        <w:rPr>
          <w:rFonts w:hint="eastAsia"/>
        </w:rPr>
        <w:t>30</w:t>
      </w:r>
      <w:r>
        <w:rPr>
          <w:rFonts w:hint="eastAsia"/>
        </w:rPr>
        <w:t>天内不能再进行固定额度调整申请。系统可受理除钻石卡、</w:t>
      </w:r>
      <w:r>
        <w:rPr>
          <w:rFonts w:hint="eastAsia"/>
        </w:rPr>
        <w:t>VISA</w:t>
      </w:r>
      <w:r>
        <w:rPr>
          <w:rFonts w:hint="eastAsia"/>
        </w:rPr>
        <w:t>环球白金卡、公务卡、江渝捷分汽车分期、担保汽车分期卡、江渝捷分车位分期、担保车位分期卡、新车位分期卡、直客式大额分期卡（信用、抵押）、自动分期卡以外的卡片进行临时额度调整。</w:t>
      </w:r>
    </w:p>
    <w:p w:rsidR="00380973" w:rsidRDefault="00330C63">
      <w:pPr>
        <w:pStyle w:val="3"/>
      </w:pPr>
      <w:bookmarkStart w:id="12" w:name="_Toc1205"/>
      <w:r>
        <w:rPr>
          <w:rFonts w:hint="eastAsia"/>
        </w:rPr>
        <w:t>业务流程图</w:t>
      </w:r>
      <w:bookmarkEnd w:id="12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4"/>
      </w:pPr>
      <w:bookmarkStart w:id="13" w:name="_Toc12895"/>
      <w:r>
        <w:rPr>
          <w:rFonts w:hint="eastAsia"/>
        </w:rPr>
        <w:t>输入画面设计</w:t>
      </w:r>
      <w:bookmarkEnd w:id="1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临时额度调高申请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8120" cy="5821045"/>
                  <wp:effectExtent l="0" t="0" r="17780" b="8255"/>
                  <wp:docPr id="5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582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30C63">
      <w:pPr>
        <w:pStyle w:val="4"/>
      </w:pPr>
      <w:bookmarkStart w:id="14" w:name="_Toc32622"/>
      <w:r>
        <w:rPr>
          <w:rFonts w:hint="eastAsia"/>
        </w:rPr>
        <w:t>输入字段说明</w:t>
      </w:r>
      <w:bookmarkEnd w:id="14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lastRenderedPageBreak/>
              <w:t>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下拉（调高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调低）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提交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返回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80973">
      <w:pPr>
        <w:spacing w:line="360" w:lineRule="auto"/>
      </w:pPr>
    </w:p>
    <w:p w:rsidR="00380973" w:rsidRDefault="00330C63">
      <w:pPr>
        <w:pStyle w:val="4"/>
      </w:pPr>
      <w:bookmarkStart w:id="15" w:name="_Toc7246"/>
      <w:r>
        <w:rPr>
          <w:rFonts w:hint="eastAsia"/>
        </w:rPr>
        <w:t>输出画面设计</w:t>
      </w:r>
      <w:bookmarkEnd w:id="15"/>
    </w:p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临时额度调高申请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3675" cy="5874385"/>
                  <wp:effectExtent l="0" t="0" r="3175" b="12065"/>
                  <wp:docPr id="5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87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p w:rsidR="00380973" w:rsidRDefault="00330C63">
      <w:pPr>
        <w:pStyle w:val="4"/>
      </w:pPr>
      <w:bookmarkStart w:id="16" w:name="_Toc26361"/>
      <w:r>
        <w:rPr>
          <w:rFonts w:hint="eastAsia"/>
        </w:rPr>
        <w:lastRenderedPageBreak/>
        <w:t>输出字段说明</w:t>
      </w:r>
      <w:bookmarkEnd w:id="16"/>
    </w:p>
    <w:tbl>
      <w:tblPr>
        <w:tblStyle w:val="a4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380973"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输出类型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</w:tr>
      <w:tr w:rsidR="00380973">
        <w:tc>
          <w:tcPr>
            <w:tcW w:w="2132" w:type="dxa"/>
          </w:tcPr>
          <w:p w:rsidR="00380973" w:rsidRDefault="00330C63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申请时间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证件号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卡号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预留电话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其他电话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受理座席工号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紧急程度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处理人姓名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处理结果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是否需要回复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座席回复内容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回复座席工号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状态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</w:tbl>
    <w:p w:rsidR="00380973" w:rsidRDefault="00380973"/>
    <w:p w:rsidR="00380973" w:rsidRDefault="00330C63">
      <w:pPr>
        <w:pStyle w:val="2"/>
        <w:rPr>
          <w:lang w:val="en-US"/>
        </w:rPr>
      </w:pPr>
      <w:bookmarkStart w:id="17" w:name="_Toc20100"/>
      <w:r>
        <w:rPr>
          <w:rFonts w:hint="eastAsia"/>
          <w:lang w:val="en-US"/>
        </w:rPr>
        <w:t>呼入交易业务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信用卡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卡片状态调整申请</w:t>
      </w:r>
      <w:bookmarkEnd w:id="17"/>
    </w:p>
    <w:p w:rsidR="00380973" w:rsidRDefault="00330C63">
      <w:pPr>
        <w:pStyle w:val="3"/>
        <w:rPr>
          <w:lang w:val="en-US"/>
        </w:rPr>
      </w:pPr>
      <w:bookmarkStart w:id="18" w:name="_Toc25023"/>
      <w:r>
        <w:rPr>
          <w:rFonts w:hint="eastAsia"/>
          <w:lang w:val="en-US"/>
        </w:rPr>
        <w:t>业务功能及流程描述</w:t>
      </w:r>
      <w:bookmarkEnd w:id="18"/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通过低级身份验证，在智能呼叫平台系统中支持客户通过电话银行申请卡片状态调整，即</w:t>
      </w:r>
      <w:r>
        <w:rPr>
          <w:rFonts w:hint="eastAsia"/>
        </w:rPr>
        <w:t>U</w:t>
      </w:r>
      <w:r>
        <w:rPr>
          <w:rFonts w:hint="eastAsia"/>
        </w:rPr>
        <w:t>状态（睡眠卡关闭）调整为</w:t>
      </w:r>
      <w:r>
        <w:rPr>
          <w:rFonts w:hint="eastAsia"/>
        </w:rPr>
        <w:t>A</w:t>
      </w:r>
      <w:r>
        <w:rPr>
          <w:rFonts w:hint="eastAsia"/>
        </w:rPr>
        <w:t>状态（卡片未激活），对接信用卡贷后管理系统反馈修改结果。需判断卡片是否过有效期，若已过有效期系统提示“该卡已超有效期，若需使用请持卡人重新申请”。</w:t>
      </w:r>
    </w:p>
    <w:p w:rsidR="00380973" w:rsidRDefault="00330C63">
      <w:pPr>
        <w:pStyle w:val="3"/>
        <w:rPr>
          <w:lang w:val="en-US"/>
        </w:rPr>
      </w:pPr>
      <w:bookmarkStart w:id="19" w:name="_Toc12088"/>
      <w:r>
        <w:rPr>
          <w:rFonts w:hint="eastAsia"/>
          <w:lang w:val="en-US"/>
        </w:rPr>
        <w:lastRenderedPageBreak/>
        <w:t>业务流程图</w:t>
      </w:r>
      <w:bookmarkEnd w:id="19"/>
    </w:p>
    <w:p w:rsidR="00380973" w:rsidRDefault="00330C63">
      <w:pPr>
        <w:pStyle w:val="4"/>
        <w:rPr>
          <w:lang w:val="en-US"/>
        </w:rPr>
      </w:pPr>
      <w:bookmarkStart w:id="20" w:name="_Toc26178"/>
      <w:r>
        <w:rPr>
          <w:rFonts w:hint="eastAsia"/>
          <w:lang w:val="en-US"/>
        </w:rPr>
        <w:t>输入画面设计</w:t>
      </w:r>
      <w:bookmarkEnd w:id="20"/>
    </w:p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3675" cy="2475865"/>
                  <wp:effectExtent l="0" t="0" r="3175" b="635"/>
                  <wp:docPr id="68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47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30C63">
      <w:pPr>
        <w:pStyle w:val="4"/>
        <w:rPr>
          <w:lang w:val="en-US"/>
        </w:rPr>
      </w:pPr>
      <w:bookmarkStart w:id="21" w:name="_Toc1008"/>
      <w:r>
        <w:rPr>
          <w:rFonts w:hint="eastAsia"/>
          <w:lang w:val="en-US"/>
        </w:rPr>
        <w:t>输入字段说明</w:t>
      </w:r>
      <w:bookmarkEnd w:id="21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卡片状态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rPr>
          <w:trHeight w:val="285"/>
        </w:trPr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发起调整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80973"/>
    <w:p w:rsidR="00380973" w:rsidRDefault="00330C63">
      <w:pPr>
        <w:pStyle w:val="4"/>
        <w:rPr>
          <w:lang w:val="en-US"/>
        </w:rPr>
      </w:pPr>
      <w:bookmarkStart w:id="22" w:name="_Toc16114"/>
      <w:r>
        <w:rPr>
          <w:rFonts w:hint="eastAsia"/>
          <w:lang w:val="en-US"/>
        </w:rPr>
        <w:t>输出画面设计</w:t>
      </w:r>
      <w:bookmarkEnd w:id="22"/>
    </w:p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590800" cy="929640"/>
                  <wp:effectExtent l="0" t="0" r="0" b="3810"/>
                  <wp:docPr id="68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80973"/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5580" cy="2420620"/>
                  <wp:effectExtent l="0" t="0" r="1270" b="17780"/>
                  <wp:docPr id="68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580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pStyle w:val="20"/>
        <w:ind w:leftChars="0" w:left="0" w:firstLineChars="0" w:firstLine="0"/>
      </w:pPr>
    </w:p>
    <w:p w:rsidR="00380973" w:rsidRDefault="00330C63">
      <w:pPr>
        <w:pStyle w:val="4"/>
        <w:rPr>
          <w:lang w:val="en-US"/>
        </w:rPr>
      </w:pPr>
      <w:bookmarkStart w:id="23" w:name="_Toc31868"/>
      <w:r>
        <w:rPr>
          <w:rFonts w:hint="eastAsia"/>
          <w:lang w:val="en-US"/>
        </w:rPr>
        <w:t>输出字段说明</w:t>
      </w:r>
      <w:bookmarkEnd w:id="23"/>
    </w:p>
    <w:p w:rsidR="00380973" w:rsidRDefault="00330C63">
      <w:r>
        <w:rPr>
          <w:rFonts w:hint="eastAsia"/>
        </w:rPr>
        <w:t>根据贷后系统返回结果展示</w:t>
      </w:r>
    </w:p>
    <w:p w:rsidR="00380973" w:rsidRDefault="00330C63">
      <w:pPr>
        <w:pStyle w:val="4"/>
        <w:rPr>
          <w:lang w:val="en-US"/>
        </w:rPr>
      </w:pPr>
      <w:bookmarkStart w:id="24" w:name="_Toc14367"/>
      <w:r>
        <w:rPr>
          <w:rFonts w:hint="eastAsia"/>
          <w:lang w:val="en-US"/>
        </w:rPr>
        <w:t>会计分录</w:t>
      </w:r>
      <w:bookmarkEnd w:id="24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4"/>
        <w:rPr>
          <w:lang w:val="en-US"/>
        </w:rPr>
      </w:pPr>
      <w:bookmarkStart w:id="25" w:name="_Toc10401"/>
      <w:r>
        <w:rPr>
          <w:rFonts w:hint="eastAsia"/>
          <w:lang w:val="en-US"/>
        </w:rPr>
        <w:t>其他说明</w:t>
      </w:r>
      <w:bookmarkEnd w:id="25"/>
    </w:p>
    <w:p w:rsidR="00380973" w:rsidRDefault="00330C63">
      <w:r>
        <w:rPr>
          <w:rFonts w:hint="eastAsia"/>
        </w:rPr>
        <w:t>无</w:t>
      </w:r>
    </w:p>
    <w:p w:rsidR="00380973" w:rsidRDefault="00380973">
      <w:bookmarkStart w:id="26" w:name="_GoBack"/>
      <w:bookmarkEnd w:id="26"/>
    </w:p>
    <w:sectPr w:rsidR="00380973" w:rsidSect="0038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C63" w:rsidRDefault="00330C63" w:rsidP="00A12240">
      <w:r>
        <w:separator/>
      </w:r>
    </w:p>
  </w:endnote>
  <w:endnote w:type="continuationSeparator" w:id="0">
    <w:p w:rsidR="00330C63" w:rsidRDefault="00330C63" w:rsidP="00A1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C63" w:rsidRDefault="00330C63" w:rsidP="00A12240">
      <w:r>
        <w:separator/>
      </w:r>
    </w:p>
  </w:footnote>
  <w:footnote w:type="continuationSeparator" w:id="0">
    <w:p w:rsidR="00330C63" w:rsidRDefault="00330C63" w:rsidP="00A12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32DAA"/>
    <w:multiLevelType w:val="multilevel"/>
    <w:tmpl w:val="70832DAA"/>
    <w:lvl w:ilvl="0">
      <w:start w:val="1"/>
      <w:numFmt w:val="chineseCountingThousand"/>
      <w:lvlText w:val="第%1章"/>
      <w:lvlJc w:val="left"/>
      <w:pPr>
        <w:tabs>
          <w:tab w:val="left" w:pos="420"/>
        </w:tabs>
        <w:ind w:left="420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pStyle w:val="4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102FE4"/>
    <w:rsid w:val="00330C63"/>
    <w:rsid w:val="00380973"/>
    <w:rsid w:val="005376E5"/>
    <w:rsid w:val="00A12240"/>
    <w:rsid w:val="33102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rsid w:val="0038097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380973"/>
    <w:pPr>
      <w:keepNext/>
      <w:keepLines/>
      <w:widowControl/>
      <w:numPr>
        <w:ilvl w:val="1"/>
        <w:numId w:val="1"/>
      </w:numPr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3">
    <w:name w:val="heading 3"/>
    <w:basedOn w:val="a"/>
    <w:next w:val="a"/>
    <w:qFormat/>
    <w:rsid w:val="00380973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rFonts w:ascii="宋体" w:hAnsi="宋体"/>
      <w:b/>
      <w:sz w:val="28"/>
      <w:szCs w:val="28"/>
      <w:lang w:val="en-GB"/>
    </w:rPr>
  </w:style>
  <w:style w:type="paragraph" w:styleId="4">
    <w:name w:val="heading 4"/>
    <w:basedOn w:val="a"/>
    <w:next w:val="a"/>
    <w:qFormat/>
    <w:rsid w:val="00380973"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eastAsia="仿宋_GB2312"/>
      <w:b/>
      <w:color w:val="00000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qFormat/>
    <w:rsid w:val="00380973"/>
    <w:pPr>
      <w:ind w:firstLineChars="200" w:firstLine="420"/>
    </w:pPr>
  </w:style>
  <w:style w:type="paragraph" w:styleId="a3">
    <w:name w:val="Body Text Indent"/>
    <w:basedOn w:val="a"/>
    <w:qFormat/>
    <w:rsid w:val="00380973"/>
    <w:pPr>
      <w:ind w:leftChars="200" w:left="420"/>
    </w:pPr>
  </w:style>
  <w:style w:type="table" w:styleId="a4">
    <w:name w:val="Table Grid"/>
    <w:basedOn w:val="a1"/>
    <w:qFormat/>
    <w:rsid w:val="003809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rsid w:val="00A1224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rsid w:val="00A12240"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rsid w:val="00A12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12240"/>
    <w:rPr>
      <w:kern w:val="2"/>
      <w:sz w:val="18"/>
      <w:szCs w:val="18"/>
    </w:rPr>
  </w:style>
  <w:style w:type="paragraph" w:styleId="a7">
    <w:name w:val="footer"/>
    <w:basedOn w:val="a"/>
    <w:link w:val="Char1"/>
    <w:rsid w:val="00A12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12240"/>
    <w:rPr>
      <w:kern w:val="2"/>
      <w:sz w:val="18"/>
      <w:szCs w:val="18"/>
    </w:rPr>
  </w:style>
  <w:style w:type="paragraph" w:styleId="a8">
    <w:name w:val="Balloon Text"/>
    <w:basedOn w:val="a"/>
    <w:link w:val="Char2"/>
    <w:rsid w:val="00A12240"/>
    <w:rPr>
      <w:sz w:val="18"/>
      <w:szCs w:val="18"/>
    </w:rPr>
  </w:style>
  <w:style w:type="character" w:customStyle="1" w:styleId="Char2">
    <w:name w:val="批注框文本 Char"/>
    <w:basedOn w:val="a0"/>
    <w:link w:val="a8"/>
    <w:rsid w:val="00A1224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张晓希</dc:creator>
  <cp:lastModifiedBy>Windows 用户</cp:lastModifiedBy>
  <cp:revision>2</cp:revision>
  <dcterms:created xsi:type="dcterms:W3CDTF">2021-04-20T01:40:00Z</dcterms:created>
  <dcterms:modified xsi:type="dcterms:W3CDTF">2021-04-30T07:03:00Z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