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需求</w:t>
      </w:r>
    </w:p>
    <w:p>
      <w:pPr>
        <w:pStyle w:val="3"/>
      </w:pPr>
      <w:r>
        <w:rPr>
          <w:rFonts w:hint="eastAsia"/>
        </w:rPr>
        <w:t>需求要点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</w:t>
      </w:r>
      <w:r>
        <w:rPr>
          <w:rFonts w:hint="eastAsia"/>
        </w:rPr>
        <w:t>本次</w:t>
      </w:r>
      <w:r>
        <w:t>需求</w:t>
      </w:r>
      <w:r>
        <w:rPr>
          <w:rFonts w:hint="eastAsia"/>
          <w:lang w:val="en-US" w:eastAsia="zh-CN"/>
        </w:rPr>
        <w:t>新增机构映射关系资源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1.1.2岗位用户维护逻辑修改：（1）当该机构贷后管理岗下维护第一人时，默认该用户为星级贷后管理人。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（2）当该机构贷后管理岗下维护多人时，除第一用户外，其他用户均为非星级贷后管理人。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1.1.3手工维护用户是否为星级贷后管理人：（1）当用户为贷后管理岗时，才能修改为星级贷后管理人。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（2）当用户修改为星级贷后管理人后，原星级贷后管理人自动更新为非星级贷后管理人。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1.1.4为无贷后管理人客户设置贷后管理人、贷后管理机构批量：（1）只为无贷后管理人的客户设置默认贷后管理人和贷后管理机构，已有贷后管理人的客户不作任何操作。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宋体" w:hAnsi="宋体"/>
          <w:bCs/>
          <w:szCs w:val="21"/>
        </w:rPr>
        <w:t>新增信用卡账户的初始“贷后管理人”为推广机构的贷后管理岗</w:t>
      </w:r>
      <w:r>
        <w:rPr>
          <w:rFonts w:hint="eastAsia" w:ascii="宋体" w:hAnsi="宋体"/>
          <w:bCs/>
          <w:szCs w:val="21"/>
          <w:lang w:val="en-US" w:eastAsia="zh-CN"/>
        </w:rPr>
        <w:t>星级贷后管理</w:t>
      </w:r>
      <w:r>
        <w:rPr>
          <w:rFonts w:hint="eastAsia" w:ascii="宋体" w:hAnsi="宋体"/>
          <w:bCs/>
          <w:szCs w:val="21"/>
        </w:rPr>
        <w:t>人员，若该机构未设置贷后管理岗人员则归属在该机构上一级贷后管理岗</w:t>
      </w:r>
      <w:r>
        <w:rPr>
          <w:rFonts w:hint="eastAsia" w:ascii="宋体" w:hAnsi="宋体"/>
          <w:bCs/>
          <w:szCs w:val="21"/>
          <w:lang w:val="en-US" w:eastAsia="zh-CN"/>
        </w:rPr>
        <w:t>星级贷后管理</w:t>
      </w:r>
      <w:r>
        <w:rPr>
          <w:rFonts w:hint="eastAsia" w:ascii="宋体" w:hAnsi="宋体"/>
          <w:bCs/>
          <w:szCs w:val="21"/>
        </w:rPr>
        <w:t>人处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1.1.4</w:t>
      </w:r>
      <w:r>
        <w:rPr>
          <w:rFonts w:hint="eastAsia" w:ascii="宋体" w:hAnsi="宋体"/>
          <w:bCs/>
          <w:szCs w:val="21"/>
        </w:rPr>
        <w:t>新增</w:t>
      </w:r>
      <w:r>
        <w:rPr>
          <w:rFonts w:hint="eastAsia" w:ascii="宋体" w:hAnsi="宋体"/>
          <w:bCs/>
          <w:szCs w:val="21"/>
          <w:lang w:val="en-US" w:eastAsia="zh-CN"/>
        </w:rPr>
        <w:t>贷后管理人维护资源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1.1.5</w:t>
      </w:r>
      <w:r>
        <w:rPr>
          <w:rFonts w:hint="eastAsia" w:ascii="宋体" w:hAnsi="宋体"/>
          <w:bCs/>
          <w:szCs w:val="21"/>
        </w:rPr>
        <w:t>新增</w:t>
      </w:r>
      <w:r>
        <w:rPr>
          <w:rFonts w:hint="eastAsia" w:ascii="宋体" w:hAnsi="宋体"/>
          <w:bCs/>
          <w:szCs w:val="21"/>
          <w:lang w:val="en-US" w:eastAsia="zh-CN"/>
        </w:rPr>
        <w:t>贷后管理人维护-转出到人员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.1.6</w:t>
      </w:r>
      <w:r>
        <w:rPr>
          <w:rFonts w:hint="eastAsia" w:ascii="宋体" w:hAnsi="宋体"/>
          <w:bCs/>
          <w:szCs w:val="21"/>
        </w:rPr>
        <w:t>新增</w:t>
      </w:r>
      <w:r>
        <w:rPr>
          <w:rFonts w:hint="eastAsia" w:ascii="宋体" w:hAnsi="宋体"/>
          <w:bCs/>
          <w:szCs w:val="21"/>
          <w:lang w:val="en-US" w:eastAsia="zh-CN"/>
        </w:rPr>
        <w:t>贷后管理人维护-转出到机构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1.1.7</w:t>
      </w:r>
      <w:r>
        <w:rPr>
          <w:rFonts w:hint="eastAsia" w:ascii="宋体" w:hAnsi="宋体"/>
          <w:bCs/>
          <w:szCs w:val="21"/>
        </w:rPr>
        <w:t>新增</w:t>
      </w:r>
      <w:r>
        <w:rPr>
          <w:rFonts w:hint="eastAsia" w:ascii="宋体" w:hAnsi="宋体"/>
          <w:bCs/>
          <w:szCs w:val="21"/>
          <w:lang w:val="en-US" w:eastAsia="zh-CN"/>
        </w:rPr>
        <w:t>贷后管理明细资源：</w:t>
      </w:r>
      <w:r>
        <w:rPr>
          <w:rFonts w:hint="eastAsia"/>
          <w:lang w:val="en-US" w:eastAsia="zh-CN"/>
        </w:rPr>
        <w:t>（1）查询条件：贷后管理人（中文模糊查询）、所属机构（中文模糊查询）。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1.1.8</w:t>
      </w:r>
      <w:r>
        <w:rPr>
          <w:rFonts w:hint="eastAsia" w:ascii="宋体" w:hAnsi="宋体"/>
          <w:bCs/>
          <w:szCs w:val="21"/>
        </w:rPr>
        <w:t>新增</w:t>
      </w:r>
      <w:r>
        <w:rPr>
          <w:rFonts w:hint="eastAsia" w:ascii="宋体" w:hAnsi="宋体"/>
          <w:bCs/>
          <w:szCs w:val="21"/>
          <w:lang w:val="en-US" w:eastAsia="zh-CN"/>
        </w:rPr>
        <w:t>贷后管理明细下载：</w:t>
      </w:r>
      <w:r>
        <w:rPr>
          <w:rFonts w:hint="eastAsia"/>
          <w:lang w:val="en-US" w:eastAsia="zh-CN"/>
        </w:rPr>
        <w:t>（1）根据查询条件，查询出所有记录，生成excel文件下载到客户端。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1.1.9贷后管理统计资源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1.1.10贷后管理统计表-批量：（1）根据贷后管理人数据，统计出每天贷后管理人的管理户数、透支余额（本、费、息）、逾期额、逾期率（逾期额/透支余额 保留两位小数百分比）、不良额、不良率（不良额/透支余额 保留两位小数百分比）。且每日跑批。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1.1.11贷后管理统计表-批量清理历史数据：（1）在数据清理批量中加入清理此表数据，保留天数与系统设置保留天数参数一致。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1.1.12贷后管理统计（1）查询条件：贷后管理人（中文模糊查询）、所属机构（中文模糊查询）。</w:t>
      </w:r>
    </w:p>
    <w:p>
      <w:pPr>
        <w:numPr>
          <w:ilvl w:val="0"/>
          <w:numId w:val="2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总行有权用户可查全行所有数据，分支行有权用户可查本分支行所有数据，贷后管理人本人，只能查自己的数据。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1.1.13贷后管理统计表-下载：（1）根据查询条件，查询出所有记录，生成excel文件下载到客户端。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主要涉及业务场景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83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贷后系统贷后机构和人员维护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贷后系统根据机构映射修改相应的对映机构，案件可根据实际情况转出到对应的人员和机构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vAlign w:val="center"/>
          </w:tcPr>
          <w:p>
            <w:pPr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贷后系统展示对应的管理明细表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需求评审结论</w:t>
      </w:r>
    </w:p>
    <w:p>
      <w:pPr>
        <w:rPr>
          <w:rFonts w:hint="eastAsia"/>
        </w:rPr>
      </w:pPr>
      <w:r>
        <w:rPr>
          <w:rFonts w:hint="eastAsia"/>
        </w:rPr>
        <w:t>1. 新增</w:t>
      </w:r>
      <w:r>
        <w:t>需求</w:t>
      </w:r>
    </w:p>
    <w:p>
      <w:pPr>
        <w:pStyle w:val="3"/>
      </w:pPr>
      <w:r>
        <w:rPr>
          <w:rFonts w:hint="eastAsia"/>
        </w:rPr>
        <w:t>业务风险评估分析</w:t>
      </w:r>
    </w:p>
    <w:tbl>
      <w:tblPr>
        <w:tblStyle w:val="6"/>
        <w:tblW w:w="8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927"/>
        <w:gridCol w:w="1356"/>
        <w:gridCol w:w="1640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贷后系统贷后机构和人员维护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640" w:type="dxa"/>
            <w:vAlign w:val="center"/>
          </w:tcPr>
          <w:p>
            <w:r>
              <w:rPr>
                <w:rFonts w:hint="eastAsia"/>
              </w:rPr>
              <w:t>1. 充分测试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>
            <w:r>
              <w:rPr>
                <w:rFonts w:hint="eastAsia"/>
              </w:rPr>
              <w:t>1. 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上线后</w:t>
            </w:r>
            <w:r>
              <w:t>通过测试</w:t>
            </w:r>
            <w:r>
              <w:rPr>
                <w:rFonts w:hint="eastAsia"/>
                <w:lang w:val="en-US" w:eastAsia="zh-CN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应用架构设计</w:t>
      </w:r>
    </w:p>
    <w:p>
      <w:pPr>
        <w:pStyle w:val="3"/>
      </w:pPr>
      <w:r>
        <w:rPr>
          <w:rFonts w:hint="eastAsia"/>
        </w:rPr>
        <w:t>已有架构图</w:t>
      </w:r>
    </w:p>
    <w:p>
      <w:pPr>
        <w:rPr>
          <w:rFonts w:hint="eastAsia"/>
        </w:rPr>
      </w:pPr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新增模块设计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RMAS贷后管理系统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模块及功能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机构映射关系表设计：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新建机构映射关系表，包含ID、源机构编号、目标机构编号、顺序号、创建日期、创建人、最后维护日期、最后维护人、乐观锁。</w:t>
      </w:r>
    </w:p>
    <w:p>
      <w:pPr>
        <w:autoSpaceDE w:val="0"/>
        <w:autoSpaceDN w:val="0"/>
        <w:adjustRightInd w:val="0"/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添加机构映射关系管理资源：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添加机构映射关系管理菜单资源</w:t>
      </w:r>
      <w:r>
        <w:rPr>
          <w:rFonts w:hint="eastAsia"/>
          <w:lang w:val="en-GB"/>
        </w:rPr>
        <w:t>；</w:t>
      </w:r>
    </w:p>
    <w:p>
      <w:pPr>
        <w:autoSpaceDE w:val="0"/>
        <w:autoSpaceDN w:val="0"/>
        <w:adjustRightInd w:val="0"/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机构映射关系管理-查询：</w:t>
      </w:r>
    </w:p>
    <w:p>
      <w:pPr>
        <w:ind w:left="1440" w:leftChars="300" w:hanging="720" w:hanging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显示列表为：源机构编号、源机构名称、目标机构编号、目标机构名称、顺序号、创建日期、创建人、最后维护日期、最后维护人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查询条件为源机构编号、目标机构编号</w:t>
      </w:r>
      <w:r>
        <w:rPr>
          <w:rFonts w:hint="eastAsia"/>
          <w:lang w:val="en-GB"/>
        </w:rPr>
        <w:t>。</w:t>
      </w:r>
    </w:p>
    <w:p>
      <w:pPr>
        <w:rPr>
          <w:rFonts w:hint="eastAsia" w:eastAsia="宋体"/>
          <w:lang w:val="en-GB" w:eastAsia="zh-CN"/>
        </w:rPr>
      </w:pPr>
      <w:r>
        <w:rPr>
          <w:rFonts w:hint="eastAsia" w:eastAsia="宋体"/>
          <w:lang w:val="en-GB" w:eastAsia="zh-CN"/>
        </w:rPr>
        <w:drawing>
          <wp:inline distT="0" distB="0" distL="114300" distR="114300">
            <wp:extent cx="5358130" cy="2272665"/>
            <wp:effectExtent l="0" t="0" r="13970" b="13335"/>
            <wp:docPr id="13" name="图片 1" descr="04ea78c221fe76fc930c2395f6fe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04ea78c221fe76fc930c2395f6fe0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机构映射关系管理-新增：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在机构映射关系管理界面点击新增按钮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弹出新增机构映射关系界面，包含源机构编号、目标机构编号、顺序号</w:t>
      </w:r>
      <w:r>
        <w:rPr>
          <w:rFonts w:hint="eastAsia"/>
          <w:lang w:val="en-GB"/>
        </w:rPr>
        <w:t>。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US" w:eastAsia="zh-CN"/>
        </w:rPr>
        <w:t>自动填充ID、创建日期、创建人等字段。</w:t>
      </w:r>
    </w:p>
    <w:p>
      <w:pPr>
        <w:ind w:firstLine="72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3150" cy="3376930"/>
            <wp:effectExtent l="0" t="0" r="12700" b="13970"/>
            <wp:docPr id="8" name="图片 2" descr="6f628d3b238bb5d6d22c1136205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6f628d3b238bb5d6d22c11362056d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机构映射关系管理-修改：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选中某条记录，点击修改按钮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弹出修改机构映射关系界面，包含源机构编号、目标机构编号、顺序号</w:t>
      </w:r>
      <w:r>
        <w:rPr>
          <w:rFonts w:hint="eastAsia"/>
          <w:lang w:val="en-GB"/>
        </w:rPr>
        <w:t>。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US" w:eastAsia="zh-CN"/>
        </w:rPr>
        <w:t>最后修改日期、最后修改人等字段。</w:t>
      </w:r>
    </w:p>
    <w:p>
      <w:pPr>
        <w:rPr>
          <w:rFonts w:hint="eastAsia" w:eastAsia="宋体"/>
          <w:lang w:val="en-GB" w:eastAsia="zh-CN"/>
        </w:rPr>
      </w:pPr>
      <w:r>
        <w:rPr>
          <w:rFonts w:hint="eastAsia" w:eastAsia="宋体"/>
          <w:lang w:val="en-GB" w:eastAsia="zh-CN"/>
        </w:rPr>
        <w:drawing>
          <wp:inline distT="0" distB="0" distL="114300" distR="114300">
            <wp:extent cx="4909820" cy="3423920"/>
            <wp:effectExtent l="0" t="0" r="5080" b="5080"/>
            <wp:docPr id="12" name="图片 3" descr="0c1edb1c13af65b97d0ef5f3a319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0c1edb1c13af65b97d0ef5f3a3193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机构映射关系管理-删除：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选中某条记录，点击删除按钮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弹出二次确认框，点击确认，删除数据</w:t>
      </w:r>
      <w:r>
        <w:rPr>
          <w:rFonts w:hint="eastAsia"/>
          <w:lang w:val="en-GB"/>
        </w:rPr>
        <w:t>。</w:t>
      </w:r>
    </w:p>
    <w:p>
      <w:pPr>
        <w:rPr>
          <w:rFonts w:hint="eastAsia" w:eastAsia="宋体"/>
          <w:lang w:val="en-GB" w:eastAsia="zh-CN"/>
        </w:rPr>
      </w:pPr>
      <w:r>
        <w:rPr>
          <w:rFonts w:hint="eastAsia" w:eastAsia="宋体"/>
          <w:lang w:val="en-GB" w:eastAsia="zh-CN"/>
        </w:rPr>
        <w:drawing>
          <wp:inline distT="0" distB="0" distL="114300" distR="114300">
            <wp:extent cx="4673600" cy="2741930"/>
            <wp:effectExtent l="0" t="0" r="12700" b="1270"/>
            <wp:docPr id="7" name="图片 4" descr="80d53b6785b05b010dcc2b71c80a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80d53b6785b05b010dcc2b71c80ac3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修改RMAS_ACCT表：</w:t>
      </w:r>
    </w:p>
    <w:p>
      <w:pPr>
        <w:numPr>
          <w:ilvl w:val="0"/>
          <w:numId w:val="5"/>
        </w:num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US" w:eastAsia="zh-CN"/>
        </w:rPr>
        <w:t>添加源机构编号字段、源分行编号字段</w:t>
      </w:r>
      <w:r>
        <w:rPr>
          <w:rFonts w:hint="eastAsia"/>
          <w:lang w:val="en-GB"/>
        </w:rPr>
        <w:t>；</w:t>
      </w:r>
    </w:p>
    <w:p>
      <w:pPr>
        <w:numPr>
          <w:ilvl w:val="0"/>
          <w:numId w:val="0"/>
        </w:numPr>
        <w:rPr>
          <w:rFonts w:hint="eastAsia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修改RMAS_CASE_INFO表：</w:t>
      </w:r>
    </w:p>
    <w:p>
      <w:pPr>
        <w:numPr>
          <w:ilvl w:val="0"/>
          <w:numId w:val="6"/>
        </w:num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US" w:eastAsia="zh-CN"/>
        </w:rPr>
        <w:t>添加源机构编号字段、源分行编号字段</w:t>
      </w:r>
      <w:r>
        <w:rPr>
          <w:rFonts w:hint="eastAsia"/>
          <w:lang w:val="en-GB"/>
        </w:rPr>
        <w:t>；</w:t>
      </w:r>
    </w:p>
    <w:p>
      <w:pPr>
        <w:numPr>
          <w:ilvl w:val="0"/>
          <w:numId w:val="0"/>
        </w:numPr>
        <w:rPr>
          <w:rFonts w:hint="eastAsia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机构映射关系旧核心数据批量处理：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根据机构映射关系将符合要求的数据机构变更为目标机构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并且保留源机构编号数据到RMAS_ACCT新字段中</w:t>
      </w:r>
      <w:r>
        <w:rPr>
          <w:rFonts w:hint="eastAsia"/>
          <w:lang w:val="en-GB"/>
        </w:rPr>
        <w:t>。</w:t>
      </w:r>
    </w:p>
    <w:p>
      <w:pPr>
        <w:rPr>
          <w:rFonts w:hint="eastAsia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机构映射关系新核心数据批量处理：</w:t>
      </w:r>
    </w:p>
    <w:p>
      <w:pPr>
        <w:ind w:firstLine="720" w:firstLineChars="300"/>
        <w:rPr>
          <w:lang w:val="en-GB"/>
        </w:rPr>
      </w:pPr>
      <w:r>
        <w:rPr>
          <w:rFonts w:hint="eastAsia"/>
          <w:lang w:val="en-GB"/>
        </w:rPr>
        <w:t>（1）</w:t>
      </w:r>
      <w:r>
        <w:rPr>
          <w:rFonts w:hint="eastAsia"/>
          <w:lang w:val="en-US" w:eastAsia="zh-CN"/>
        </w:rPr>
        <w:t>根据机构映射关系将符合要求的数据机构变更为目标机构</w:t>
      </w:r>
      <w:r>
        <w:rPr>
          <w:rFonts w:hint="eastAsia"/>
          <w:lang w:val="en-GB"/>
        </w:rPr>
        <w:t>；</w:t>
      </w:r>
    </w:p>
    <w:p>
      <w:pPr>
        <w:ind w:firstLine="720" w:firstLineChars="300"/>
        <w:rPr>
          <w:rFonts w:hint="eastAsia"/>
          <w:lang w:val="en-GB"/>
        </w:rPr>
      </w:pPr>
      <w:r>
        <w:rPr>
          <w:rFonts w:hint="eastAsia"/>
          <w:lang w:val="en-GB"/>
        </w:rPr>
        <w:t>（2）</w:t>
      </w:r>
      <w:r>
        <w:rPr>
          <w:rFonts w:hint="eastAsia"/>
          <w:lang w:val="en-US" w:eastAsia="zh-CN"/>
        </w:rPr>
        <w:t>并且保留源机构编号数据到RMAS_ACCT新字段中</w:t>
      </w:r>
      <w:r>
        <w:rPr>
          <w:rFonts w:hint="eastAsia"/>
          <w:lang w:val="en-GB"/>
        </w:rPr>
        <w:t>。</w:t>
      </w:r>
    </w:p>
    <w:p>
      <w:pPr>
        <w:rPr>
          <w:rFonts w:hint="eastAsia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RMAS_CASE_INFO逻辑改造批量处理：</w:t>
      </w:r>
    </w:p>
    <w:p>
      <w:pPr>
        <w:numPr>
          <w:ilvl w:val="0"/>
          <w:numId w:val="7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根据新机构映射关系入RMAS_CASE_INFO逻辑改造。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GB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GB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修改RMAS_CASE_INFO表：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（1）新增贷后管理机构、贷后管理人字段、贷后管理人流转状态、接收贷后管理人、接收日期、上一贷后管理人。</w:t>
      </w:r>
    </w:p>
    <w:p>
      <w:pPr>
        <w:rPr>
          <w:rFonts w:hint="eastAsia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修改ACM系统用户表：</w:t>
      </w:r>
    </w:p>
    <w:p>
      <w:pPr>
        <w:numPr>
          <w:ilvl w:val="0"/>
          <w:numId w:val="8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新增是否星级贷后管理人字段。</w:t>
      </w:r>
    </w:p>
    <w:p>
      <w:pPr>
        <w:numPr>
          <w:ilvl w:val="0"/>
          <w:numId w:val="8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是否星级贷后管理人默认为N-否。</w:t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rPr>
          <w:rFonts w:hint="eastAsia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岗位用户维护逻辑修改：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（1）当该机构贷后管理岗下维护第一人时，默认该用户为星级贷后管理人。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（2）当该机构贷后管理岗下维护多人时，除第一用户外，其他用户均为非星级贷后管理人。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手工维护用户是否为星级贷后管理人：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（1）当用户为贷后管理岗时，才能修改为星级贷后管理人。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（2）当用户修改为星级贷后管理人后，原星级贷后管理人自动更新为非星级贷后管理人。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为无贷后管理人客户设置贷后管理人、贷后管理机构批量：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（1）只为无贷后管理人的客户设置默认贷后管理人和贷后管理机构，已有贷后管理人的客户不作任何操作。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宋体" w:hAnsi="宋体"/>
          <w:bCs/>
          <w:szCs w:val="21"/>
        </w:rPr>
        <w:t>新增信用卡账户的初始“贷后管理人”为推广机构的贷后管理岗</w:t>
      </w:r>
      <w:r>
        <w:rPr>
          <w:rFonts w:hint="eastAsia" w:ascii="宋体" w:hAnsi="宋体"/>
          <w:bCs/>
          <w:szCs w:val="21"/>
          <w:lang w:val="en-US" w:eastAsia="zh-CN"/>
        </w:rPr>
        <w:t>星级贷后管理</w:t>
      </w:r>
      <w:r>
        <w:rPr>
          <w:rFonts w:hint="eastAsia" w:ascii="宋体" w:hAnsi="宋体"/>
          <w:bCs/>
          <w:szCs w:val="21"/>
        </w:rPr>
        <w:t>人员，若该机构未设置贷后管理岗人员则归属在该机构上一级贷后管理岗</w:t>
      </w:r>
      <w:r>
        <w:rPr>
          <w:rFonts w:hint="eastAsia" w:ascii="宋体" w:hAnsi="宋体"/>
          <w:bCs/>
          <w:szCs w:val="21"/>
          <w:lang w:val="en-US" w:eastAsia="zh-CN"/>
        </w:rPr>
        <w:t>星级贷后管理</w:t>
      </w:r>
      <w:r>
        <w:rPr>
          <w:rFonts w:hint="eastAsia" w:ascii="宋体" w:hAnsi="宋体"/>
          <w:bCs/>
          <w:szCs w:val="21"/>
        </w:rPr>
        <w:t>人处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贷后管理人维护-查询：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（1）查询条件：贷后管理人、状态，贷后管理人本人不显示贷后管理人条件，状态下拉框：N-正常，I-待接收。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（2）显示内容：贷后管理人、贷后管理机构、账号、客户姓名、状态、操作人、接收人员、接收时间、上一贷后管理人。</w:t>
      </w:r>
    </w:p>
    <w:p>
      <w:pPr>
        <w:rPr>
          <w:rFonts w:hint="default" w:ascii="宋体" w:hAnsi="宋体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sz w:val="28"/>
          <w:szCs w:val="28"/>
          <w:lang w:val="en-US" w:eastAsia="zh-CN"/>
        </w:rPr>
        <w:drawing>
          <wp:inline distT="0" distB="0" distL="114300" distR="114300">
            <wp:extent cx="5353685" cy="2343150"/>
            <wp:effectExtent l="0" t="0" r="18415" b="0"/>
            <wp:docPr id="11" name="图片 5" descr="1ad07b350fc3510461852ab49bbf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1ad07b350fc3510461852ab49bbff9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贷后管理人维护-转出到人员</w:t>
      </w:r>
      <w:r>
        <w:rPr>
          <w:rFonts w:hint="eastAsia" w:ascii="宋体" w:hAnsi="宋体" w:cs="微软雅黑"/>
          <w:b/>
          <w:color w:val="000000"/>
          <w:kern w:val="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（1）可在查询页面选中单笔或者多笔记录，点击转出到人员按钮。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（2）在弹出的子页面中选择转出人员，总行可选择全行贷后管理人。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（3）分支行可选择全分支行贷后管理人。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（4）如果接收人为下级贷后管理人，则直接转入生效，如果接收人为同级贷后管理人，则需要接收人确认接收后生效。</w:t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sz w:val="28"/>
          <w:szCs w:val="28"/>
          <w:lang w:val="en-US" w:eastAsia="zh-CN"/>
        </w:rPr>
        <w:drawing>
          <wp:inline distT="0" distB="0" distL="114300" distR="114300">
            <wp:extent cx="5356225" cy="4284345"/>
            <wp:effectExtent l="0" t="0" r="15875" b="1905"/>
            <wp:docPr id="9" name="图片 6" descr="59f73f8ebcc1491ede49de4b04e7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59f73f8ebcc1491ede49de4b04e7ea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贷后管理人维护-转出到机构：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（1）可在查询页面选中单笔或者多笔记录，点击转出到机构按钮。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（2）在弹出的子页面中选择转出机构，总行可选择全行机构。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（3）分支行可选择全分支行机构。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（4）直接转入该机构下的星级贷后管理人。</w:t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sz w:val="28"/>
          <w:szCs w:val="28"/>
          <w:lang w:val="en-US" w:eastAsia="zh-CN"/>
        </w:rPr>
        <w:drawing>
          <wp:inline distT="0" distB="0" distL="114300" distR="114300">
            <wp:extent cx="5354955" cy="4338955"/>
            <wp:effectExtent l="0" t="0" r="17145" b="4445"/>
            <wp:docPr id="4" name="图片 7" descr="3ec1d8dd231bb5d5c91a8058696e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3ec1d8dd231bb5d5c91a8058696e9d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贷后管理人维护-接收：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（1）贷后管理人可在查询页面，状态选中待接收，筛选出名下全部待接收账户。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（2）可选中单笔或多笔待接收账户，点击接受按钮。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（3）弹出框中点击确认，则接收。</w:t>
      </w:r>
    </w:p>
    <w:p>
      <w:pPr>
        <w:numPr>
          <w:ilvl w:val="0"/>
          <w:numId w:val="0"/>
        </w:numPr>
        <w:ind w:firstLine="720" w:firstLineChars="300"/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（4）点击取消，则不接收，且状态改回正常。</w:t>
      </w:r>
      <w:bookmarkStart w:id="0" w:name="_GoBack"/>
      <w:bookmarkEnd w:id="0"/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sz w:val="28"/>
          <w:szCs w:val="28"/>
          <w:lang w:val="en-US" w:eastAsia="zh-CN"/>
        </w:rPr>
        <w:drawing>
          <wp:inline distT="0" distB="0" distL="114300" distR="114300">
            <wp:extent cx="4184650" cy="2396490"/>
            <wp:effectExtent l="0" t="0" r="6350" b="3810"/>
            <wp:docPr id="5" name="图片 8" descr="3a6faf707e596b1287f5533eebc9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3a6faf707e596b1287f5533eebc9b9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贷后管理明细表：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（1）查询条件：贷后管理人（中文模糊查询）、所属机构（中文模糊查询）。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（2）总行有权用户可查全行所有数据，分支行有权用户可查本分支行所有数据，贷后管理人本人，只能查自己的数据。</w:t>
      </w: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sz w:val="28"/>
          <w:szCs w:val="28"/>
          <w:lang w:val="en-US" w:eastAsia="zh-CN"/>
        </w:rPr>
        <w:drawing>
          <wp:inline distT="0" distB="0" distL="114300" distR="114300">
            <wp:extent cx="5353685" cy="1997710"/>
            <wp:effectExtent l="0" t="0" r="18415" b="2540"/>
            <wp:docPr id="10" name="图片 9" descr="ae2cfec9758082a775d49f0b99e3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ae2cfec9758082a775d49f0b99e3b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贷后管理明细表-下载：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（1）根据查询条件，查询出所有记录，生成excel文件下载到客户端。</w:t>
      </w:r>
    </w:p>
    <w:p>
      <w:pPr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新建贷后管理统计表：</w:t>
      </w:r>
    </w:p>
    <w:p>
      <w:pPr>
        <w:numPr>
          <w:ilvl w:val="0"/>
          <w:numId w:val="9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字段包含：ID、贷后管理人、所属机构、管理户数、透支余额、逾期额、逾期率、不良额、不良率、批量日期、乐观锁。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贷后管理统计表-批量：</w:t>
      </w:r>
    </w:p>
    <w:p>
      <w:pPr>
        <w:numPr>
          <w:ilvl w:val="0"/>
          <w:numId w:val="1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根据贷后管理人数据，统计出每天贷后管理人的管理户数、透支余额（本、费、息）、逾期额、逾期率（逾期额/透支余额 保留两位小数百分比）、不良额、不良率（不良额/透支余额 保留两位小数百分比）。且每日跑批。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贷后管理统计表-批量清理历史数据：</w:t>
      </w:r>
    </w:p>
    <w:p>
      <w:pPr>
        <w:numPr>
          <w:ilvl w:val="0"/>
          <w:numId w:val="0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（1）在数据清理批量中加入清理此表数据，保留天数与系统设置保留天数参数一致。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贷后管理统计表：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（1）查询条件：贷后管理人（中文模糊查询）、所属机构（中文模糊查询）。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（2）总行有权用户可查全行所有数据，分支行有权用户可查本分支行所有数据，贷后管理人本人，只能查自己的数据。</w:t>
      </w:r>
    </w:p>
    <w:p>
      <w:pPr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356225" cy="2698750"/>
            <wp:effectExtent l="0" t="0" r="15875" b="6350"/>
            <wp:docPr id="6" name="图片 10" descr="26fe4f3491b47ee0144529d9d0ba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26fe4f3491b47ee0144529d9d0ba8b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贷后管理统计表-下载：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（1）根据查询条件，查询出所有记录，生成excel文件下载到客户端。</w:t>
      </w:r>
    </w:p>
    <w:p>
      <w:pPr>
        <w:pStyle w:val="3"/>
      </w:pPr>
      <w:r>
        <w:rPr>
          <w:rFonts w:hint="eastAsia"/>
        </w:rPr>
        <w:t>模块修改设计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/>
    <w:p>
      <w:pPr>
        <w:pStyle w:val="3"/>
      </w:pPr>
      <w:r>
        <w:rPr>
          <w:rFonts w:hint="eastAsia"/>
        </w:rPr>
        <w:t>安全风险场景防范设计</w:t>
      </w:r>
    </w:p>
    <w:p>
      <w:pPr>
        <w:pStyle w:val="2"/>
        <w:rPr>
          <w:rFonts w:hint="eastAsia"/>
        </w:rPr>
      </w:pPr>
      <w:r>
        <w:rPr>
          <w:rFonts w:hint="eastAsia"/>
        </w:rPr>
        <w:t>数据架构</w:t>
      </w:r>
    </w:p>
    <w:p>
      <w:pPr>
        <w:pStyle w:val="3"/>
      </w:pPr>
      <w:r>
        <w:rPr>
          <w:rFonts w:hint="eastAsia"/>
        </w:rPr>
        <w:t>要表设计（新增/修改）</w:t>
      </w:r>
    </w:p>
    <w:p>
      <w:pPr>
        <w:numPr>
          <w:ilvl w:val="0"/>
          <w:numId w:val="0"/>
        </w:numPr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RMAS_ORG_MAPPING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中文名：机构关系映射表</w:t>
      </w:r>
    </w:p>
    <w:tbl>
      <w:tblPr>
        <w:tblStyle w:val="5"/>
        <w:tblW w:w="93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0"/>
        <w:gridCol w:w="1958"/>
        <w:gridCol w:w="1197"/>
        <w:gridCol w:w="2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类型长度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唯一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SOURCE_ORG_NO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源机构编号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SOURCE_ORG_NM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源机构名称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TARGET_ORG_NO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目标机构编号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TARGET_ORG_NM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目标机构名称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RUNNING_NO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顺序号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CREATE_DATE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创建日期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CREATE_USER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创建人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LAST_DATE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最后维护日期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LAST_USER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最后维护人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IS_STATE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生效状态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RMAS_STATISTICS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中文名：贷后管理统计表</w:t>
      </w:r>
    </w:p>
    <w:tbl>
      <w:tblPr>
        <w:tblStyle w:val="5"/>
        <w:tblW w:w="937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20"/>
        <w:gridCol w:w="1958"/>
        <w:gridCol w:w="1197"/>
        <w:gridCol w:w="249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类型长度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唯一</w:t>
            </w:r>
          </w:p>
        </w:tc>
        <w:tc>
          <w:tcPr>
            <w:tcW w:w="2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MANAGEMENT_USER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贷后管理人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SUB_BRANCH_CD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所属机构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MANAGEMENT_NUM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管理户数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OVERDRAFT_BALANCE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透支余额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OVERDUE_AMT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逾期额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OVERDUE_RATE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逾期率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BAD_CREDIT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NUMBER(20,2)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不良额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REJECT_RATIO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NUMBER(10,2)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不良率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BATCH_DATE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NVARCHAR2(32)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批量日期</w:t>
            </w:r>
          </w:p>
        </w:tc>
      </w:tr>
    </w:tbl>
    <w:p>
      <w:pPr>
        <w:pStyle w:val="3"/>
      </w:pPr>
      <w:r>
        <w:rPr>
          <w:rFonts w:hint="eastAsia"/>
        </w:rPr>
        <w:t>数据迁移设计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2"/>
      </w:pPr>
      <w:r>
        <w:t>技术运维架构</w:t>
      </w:r>
    </w:p>
    <w:p>
      <w:pPr>
        <w:pStyle w:val="3"/>
      </w:pPr>
      <w:r>
        <w:t>网络设计</w:t>
      </w:r>
    </w:p>
    <w:p>
      <w:pPr>
        <w:pStyle w:val="4"/>
      </w:pPr>
      <w:r>
        <w:t>物理结构图</w:t>
      </w:r>
    </w:p>
    <w:p>
      <w:pPr>
        <w:rPr>
          <w:rFonts w:hint="eastAsia"/>
        </w:rPr>
      </w:pPr>
      <w:r>
        <w:rPr>
          <w:rFonts w:hint="eastAsia"/>
        </w:rPr>
        <w:t>本需求不涉及物理</w:t>
      </w:r>
      <w:r>
        <w:t>结构变动</w:t>
      </w:r>
      <w:r>
        <w:rPr>
          <w:rFonts w:hint="eastAsia"/>
        </w:rPr>
        <w:t>。</w:t>
      </w:r>
    </w:p>
    <w:p>
      <w:pPr>
        <w:ind w:left="0" w:leftChars="-300" w:hanging="720" w:hangingChars="300"/>
        <w:rPr>
          <w:rFonts w:hint="eastAsia"/>
        </w:rPr>
      </w:pPr>
    </w:p>
    <w:p>
      <w:pPr>
        <w:pStyle w:val="3"/>
      </w:pPr>
      <w:r>
        <w:t>性能容量</w:t>
      </w:r>
    </w:p>
    <w:p>
      <w:pPr>
        <w:pStyle w:val="4"/>
      </w:pPr>
      <w:r>
        <w:t>性能设计</w:t>
      </w:r>
    </w:p>
    <w:p>
      <w:pPr>
        <w:rPr>
          <w:rFonts w:hint="eastAsia"/>
        </w:rPr>
      </w:pPr>
      <w:r>
        <w:rPr>
          <w:rFonts w:hint="eastAsia"/>
        </w:rPr>
        <w:t>本</w:t>
      </w:r>
      <w:r>
        <w:t>需求</w:t>
      </w:r>
      <w:r>
        <w:rPr>
          <w:rFonts w:hint="eastAsia"/>
        </w:rPr>
        <w:t>不涉及。</w:t>
      </w:r>
    </w:p>
    <w:p>
      <w:pPr>
        <w:pStyle w:val="4"/>
      </w:pPr>
      <w:r>
        <w:t>容量评估</w:t>
      </w:r>
    </w:p>
    <w:p>
      <w:pPr>
        <w:rPr>
          <w:rFonts w:hint="eastAsia"/>
        </w:rPr>
      </w:pPr>
      <w:r>
        <w:rPr>
          <w:rFonts w:hint="eastAsia"/>
        </w:rPr>
        <w:t>本需求不涉及。</w:t>
      </w:r>
    </w:p>
    <w:p>
      <w:pPr>
        <w:pStyle w:val="3"/>
      </w:pPr>
      <w:r>
        <w:t>应用监控设计</w:t>
      </w:r>
    </w:p>
    <w:p>
      <w:pPr>
        <w:pStyle w:val="4"/>
      </w:pPr>
      <w:r>
        <w:rPr>
          <w:rFonts w:hint="eastAsia"/>
        </w:rPr>
        <w:t>关键场景失败监控方案</w:t>
      </w:r>
    </w:p>
    <w:p>
      <w:pPr>
        <w:rPr>
          <w:rFonts w:hint="eastAsia"/>
        </w:rPr>
      </w:pPr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>
      <w:pPr>
        <w:pStyle w:val="2"/>
      </w:pPr>
      <w:r>
        <w:t>测试与投产</w:t>
      </w:r>
    </w:p>
    <w:p>
      <w:pPr>
        <w:pStyle w:val="3"/>
      </w:pPr>
      <w:r>
        <w:rPr>
          <w:rFonts w:hint="eastAsia"/>
        </w:rPr>
        <w:t>测试重点</w:t>
      </w:r>
    </w:p>
    <w:p>
      <w:pPr>
        <w:pStyle w:val="4"/>
      </w:pPr>
      <w:r>
        <w:rPr>
          <w:rFonts w:hint="eastAsia"/>
        </w:rPr>
        <w:t>重点功能案例范围描述</w:t>
      </w:r>
    </w:p>
    <w:p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回归案例范围描述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性能测试场景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安全测试场景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3"/>
      </w:pPr>
      <w:r>
        <w:t>投产</w:t>
      </w:r>
      <w:r>
        <w:rPr>
          <w:rFonts w:hint="eastAsia"/>
        </w:rPr>
        <w:t>应急方案</w:t>
      </w:r>
    </w:p>
    <w:p>
      <w:pPr>
        <w:pStyle w:val="4"/>
      </w:pPr>
      <w:r>
        <w:rPr>
          <w:rFonts w:hint="eastAsia"/>
        </w:rPr>
        <w:t>该需求的可能的出现的风险点，以及处置办法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该数据只存在于贷后系统，每天会根据上游原始数据恢复其原来的分支行和分理处，如操作失误可修改其正确的目标机构编号，修改后第二天跑批后恢复。</w:t>
      </w:r>
    </w:p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13EE"/>
    <w:multiLevelType w:val="multilevel"/>
    <w:tmpl w:val="824813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1B5D7BA"/>
    <w:multiLevelType w:val="singleLevel"/>
    <w:tmpl w:val="C1B5D7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2A4EB02"/>
    <w:multiLevelType w:val="singleLevel"/>
    <w:tmpl w:val="C2A4EB0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731233"/>
    <w:multiLevelType w:val="multilevel"/>
    <w:tmpl w:val="F573123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firstLine="42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850"/>
      </w:pPr>
      <w:rPr>
        <w:rFonts w:hint="default" w:ascii="宋体" w:hAnsi="宋体" w:eastAsia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>
    <w:nsid w:val="00E05827"/>
    <w:multiLevelType w:val="singleLevel"/>
    <w:tmpl w:val="00E0582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159894A"/>
    <w:multiLevelType w:val="singleLevel"/>
    <w:tmpl w:val="1159894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0455A01"/>
    <w:multiLevelType w:val="singleLevel"/>
    <w:tmpl w:val="30455A0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90D0453"/>
    <w:multiLevelType w:val="singleLevel"/>
    <w:tmpl w:val="490D0453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6130A8E7"/>
    <w:multiLevelType w:val="singleLevel"/>
    <w:tmpl w:val="6130A8E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5B2996B"/>
    <w:multiLevelType w:val="singleLevel"/>
    <w:tmpl w:val="65B299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61651"/>
    <w:rsid w:val="0C6245D0"/>
    <w:rsid w:val="0D890F5F"/>
    <w:rsid w:val="12A130D4"/>
    <w:rsid w:val="12D7449A"/>
    <w:rsid w:val="1A4E34E2"/>
    <w:rsid w:val="1D7B7732"/>
    <w:rsid w:val="231E5400"/>
    <w:rsid w:val="23B06394"/>
    <w:rsid w:val="285D5FC2"/>
    <w:rsid w:val="2C0954BB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58F6EA8"/>
    <w:rsid w:val="56756A74"/>
    <w:rsid w:val="581225E1"/>
    <w:rsid w:val="59FC34FD"/>
    <w:rsid w:val="64F61651"/>
    <w:rsid w:val="66A62D9E"/>
    <w:rsid w:val="67E05CC7"/>
    <w:rsid w:val="6AD176D4"/>
    <w:rsid w:val="6FC507DA"/>
    <w:rsid w:val="759F537C"/>
    <w:rsid w:val="7ACF1593"/>
    <w:rsid w:val="7D145CD1"/>
    <w:rsid w:val="7D83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</w:pPr>
    <w:rPr>
      <w:rFonts w:eastAsia="仿宋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rFonts w:ascii="微软雅黑 Light" w:hAnsi="微软雅黑 Light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200"/>
      <w:outlineLvl w:val="1"/>
    </w:pPr>
    <w:rPr>
      <w:rFonts w:ascii="微软雅黑 Light" w:hAnsi="微软雅黑 Light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200"/>
      <w:outlineLvl w:val="2"/>
    </w:pPr>
    <w:rPr>
      <w:rFonts w:ascii="微软雅黑 Light" w:hAnsi="微软雅黑 Light" w:eastAsia="黑体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2021-03-04T08:02:00Z</dcterms:created>
  <dc:creator>Administrator</dc:creator>
  <cp:lastModifiedBy>admin</cp:lastModifiedBy>
  <dcterms:modified xsi:type="dcterms:W3CDTF">2021-04-22T09:35:58Z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4722180A8D4246848A498A5C6E35442B</vt:lpwstr>
  </property>
</Properties>
</file>