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450" w:type="dxa"/>
        <w:tblInd w:w="1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18"/>
        <w:gridCol w:w="2170"/>
        <w:gridCol w:w="195"/>
        <w:gridCol w:w="1559"/>
        <w:gridCol w:w="345"/>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7" w:hRule="atLeast"/>
        </w:trPr>
        <w:tc>
          <w:tcPr>
            <w:tcW w:w="2118" w:type="dxa"/>
            <w:noWrap w:val="0"/>
            <w:vAlign w:val="center"/>
          </w:tcPr>
          <w:p>
            <w:pPr>
              <w:autoSpaceDE w:val="0"/>
              <w:autoSpaceDN w:val="0"/>
              <w:adjustRightInd w:val="0"/>
              <w:jc w:val="center"/>
              <w:rPr>
                <w:rFonts w:ascii="宋体" w:hAnsi="宋体" w:cs="微软雅黑"/>
                <w:color w:val="000000"/>
                <w:kern w:val="0"/>
                <w:sz w:val="28"/>
                <w:szCs w:val="28"/>
                <w:lang w:val="zh-CN"/>
              </w:rPr>
            </w:pPr>
            <w:r>
              <w:rPr>
                <w:rFonts w:hint="eastAsia" w:ascii="宋体" w:hAnsi="宋体" w:cs="微软雅黑"/>
                <w:color w:val="000000"/>
                <w:kern w:val="0"/>
                <w:sz w:val="28"/>
                <w:szCs w:val="28"/>
                <w:lang w:val="zh-CN"/>
              </w:rPr>
              <w:t>需求编号</w:t>
            </w:r>
          </w:p>
        </w:tc>
        <w:tc>
          <w:tcPr>
            <w:tcW w:w="2170" w:type="dxa"/>
            <w:noWrap w:val="0"/>
            <w:vAlign w:val="center"/>
          </w:tcPr>
          <w:p>
            <w:pPr>
              <w:autoSpaceDE w:val="0"/>
              <w:autoSpaceDN w:val="0"/>
              <w:adjustRightInd w:val="0"/>
              <w:jc w:val="center"/>
              <w:rPr>
                <w:rFonts w:hint="eastAsia" w:ascii="宋体" w:hAnsi="宋体" w:cs="微软雅黑"/>
                <w:color w:val="000000"/>
                <w:kern w:val="0"/>
                <w:sz w:val="28"/>
                <w:szCs w:val="28"/>
              </w:rPr>
            </w:pPr>
          </w:p>
        </w:tc>
        <w:tc>
          <w:tcPr>
            <w:tcW w:w="2099" w:type="dxa"/>
            <w:gridSpan w:val="3"/>
            <w:noWrap w:val="0"/>
            <w:vAlign w:val="center"/>
          </w:tcPr>
          <w:p>
            <w:pPr>
              <w:autoSpaceDE w:val="0"/>
              <w:autoSpaceDN w:val="0"/>
              <w:adjustRightInd w:val="0"/>
              <w:jc w:val="center"/>
              <w:rPr>
                <w:rFonts w:ascii="宋体" w:hAnsi="宋体" w:cs="微软雅黑"/>
                <w:color w:val="000000"/>
                <w:kern w:val="0"/>
                <w:sz w:val="28"/>
                <w:szCs w:val="28"/>
                <w:lang w:val="zh-CN"/>
              </w:rPr>
            </w:pPr>
            <w:r>
              <w:rPr>
                <w:rFonts w:hint="eastAsia" w:ascii="宋体" w:hAnsi="宋体" w:cs="微软雅黑"/>
                <w:color w:val="000000"/>
                <w:kern w:val="0"/>
                <w:sz w:val="28"/>
                <w:szCs w:val="28"/>
                <w:lang w:val="zh-CN"/>
              </w:rPr>
              <w:t>平台负责人</w:t>
            </w:r>
          </w:p>
        </w:tc>
        <w:tc>
          <w:tcPr>
            <w:tcW w:w="2063" w:type="dxa"/>
            <w:noWrap w:val="0"/>
            <w:vAlign w:val="center"/>
          </w:tcPr>
          <w:p>
            <w:pPr>
              <w:autoSpaceDE w:val="0"/>
              <w:autoSpaceDN w:val="0"/>
              <w:adjustRightInd w:val="0"/>
              <w:jc w:val="center"/>
              <w:rPr>
                <w:rFonts w:hint="eastAsia" w:ascii="宋体" w:hAnsi="宋体" w:eastAsia="宋体" w:cs="微软雅黑"/>
                <w:color w:val="000000"/>
                <w:kern w:val="0"/>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7" w:hRule="atLeast"/>
        </w:trPr>
        <w:tc>
          <w:tcPr>
            <w:tcW w:w="2118" w:type="dxa"/>
            <w:noWrap w:val="0"/>
            <w:vAlign w:val="center"/>
          </w:tcPr>
          <w:p>
            <w:pPr>
              <w:autoSpaceDE w:val="0"/>
              <w:autoSpaceDN w:val="0"/>
              <w:adjustRightInd w:val="0"/>
              <w:jc w:val="center"/>
              <w:rPr>
                <w:rFonts w:hint="eastAsia" w:ascii="宋体" w:hAnsi="宋体" w:cs="微软雅黑"/>
                <w:color w:val="000000"/>
                <w:kern w:val="0"/>
                <w:sz w:val="28"/>
                <w:szCs w:val="28"/>
                <w:lang w:val="zh-CN"/>
              </w:rPr>
            </w:pPr>
            <w:r>
              <w:rPr>
                <w:rFonts w:hint="eastAsia" w:ascii="宋体" w:hAnsi="宋体" w:cs="微软雅黑"/>
                <w:color w:val="000000"/>
                <w:kern w:val="0"/>
                <w:sz w:val="28"/>
                <w:szCs w:val="28"/>
                <w:lang w:val="zh-CN"/>
              </w:rPr>
              <w:t>需求名称</w:t>
            </w:r>
          </w:p>
        </w:tc>
        <w:tc>
          <w:tcPr>
            <w:tcW w:w="6332" w:type="dxa"/>
            <w:gridSpan w:val="5"/>
            <w:noWrap w:val="0"/>
            <w:vAlign w:val="center"/>
          </w:tcPr>
          <w:p>
            <w:pPr>
              <w:autoSpaceDE w:val="0"/>
              <w:autoSpaceDN w:val="0"/>
              <w:adjustRightInd w:val="0"/>
              <w:jc w:val="center"/>
              <w:rPr>
                <w:rFonts w:hint="default" w:ascii="宋体" w:hAnsi="宋体" w:eastAsia="宋体" w:cs="微软雅黑"/>
                <w:color w:val="000000"/>
                <w:kern w:val="0"/>
                <w:sz w:val="28"/>
                <w:szCs w:val="28"/>
                <w:lang w:val="en-US" w:eastAsia="zh-CN"/>
              </w:rPr>
            </w:pPr>
            <w:r>
              <w:rPr>
                <w:rFonts w:hint="eastAsia" w:ascii="宋体" w:hAnsi="宋体" w:cs="微软雅黑"/>
                <w:color w:val="000000"/>
                <w:kern w:val="0"/>
                <w:sz w:val="28"/>
                <w:szCs w:val="28"/>
              </w:rPr>
              <w:t>贷后系统</w:t>
            </w:r>
            <w:r>
              <w:rPr>
                <w:rFonts w:hint="eastAsia" w:ascii="宋体" w:hAnsi="宋体" w:cs="微软雅黑"/>
                <w:color w:val="000000"/>
                <w:kern w:val="0"/>
                <w:sz w:val="28"/>
                <w:szCs w:val="28"/>
                <w:lang w:val="en-US" w:eastAsia="zh-CN"/>
              </w:rPr>
              <w:t>押品报表相关需求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72" w:hRule="atLeast"/>
        </w:trPr>
        <w:tc>
          <w:tcPr>
            <w:tcW w:w="2118" w:type="dxa"/>
            <w:noWrap w:val="0"/>
            <w:vAlign w:val="center"/>
          </w:tcPr>
          <w:p>
            <w:pPr>
              <w:autoSpaceDE w:val="0"/>
              <w:autoSpaceDN w:val="0"/>
              <w:adjustRightInd w:val="0"/>
              <w:jc w:val="center"/>
              <w:rPr>
                <w:rFonts w:hint="eastAsia" w:ascii="宋体" w:hAnsi="宋体" w:cs="微软雅黑"/>
                <w:color w:val="000000"/>
                <w:kern w:val="0"/>
                <w:sz w:val="28"/>
                <w:szCs w:val="28"/>
                <w:lang w:val="zh-CN"/>
              </w:rPr>
            </w:pPr>
            <w:r>
              <w:rPr>
                <w:rFonts w:hint="eastAsia" w:ascii="宋体" w:hAnsi="宋体" w:cs="微软雅黑"/>
                <w:color w:val="000000"/>
                <w:kern w:val="0"/>
                <w:sz w:val="28"/>
                <w:szCs w:val="28"/>
                <w:lang w:val="zh-CN"/>
              </w:rPr>
              <w:t>涉及业务测试渠道</w:t>
            </w:r>
          </w:p>
        </w:tc>
        <w:tc>
          <w:tcPr>
            <w:tcW w:w="6332" w:type="dxa"/>
            <w:gridSpan w:val="5"/>
            <w:noWrap w:val="0"/>
            <w:vAlign w:val="center"/>
          </w:tcPr>
          <w:p>
            <w:pPr>
              <w:autoSpaceDE w:val="0"/>
              <w:autoSpaceDN w:val="0"/>
              <w:adjustRightInd w:val="0"/>
              <w:rPr>
                <w:rFonts w:hint="eastAsia" w:ascii="宋体" w:hAnsi="宋体" w:cs="微软雅黑"/>
                <w:color w:val="000000"/>
                <w:kern w:val="0"/>
                <w:sz w:val="28"/>
                <w:szCs w:val="28"/>
              </w:rPr>
            </w:pPr>
            <w:r>
              <w:rPr>
                <w:rFonts w:hint="eastAsia" w:ascii="宋体" w:hAnsi="宋体" w:cs="微软雅黑"/>
                <w:color w:val="000000"/>
                <w:kern w:val="0"/>
                <w:sz w:val="28"/>
                <w:szCs w:val="28"/>
                <w:lang w:val="en-US" w:eastAsia="zh-CN"/>
              </w:rPr>
              <w:t>押品系统、进件系统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62" w:hRule="atLeast"/>
        </w:trPr>
        <w:tc>
          <w:tcPr>
            <w:tcW w:w="8450" w:type="dxa"/>
            <w:gridSpan w:val="6"/>
            <w:noWrap w:val="0"/>
            <w:vAlign w:val="top"/>
          </w:tcPr>
          <w:p>
            <w:pPr>
              <w:numPr>
                <w:ilvl w:val="0"/>
                <w:numId w:val="0"/>
              </w:numPr>
              <w:rPr>
                <w:rFonts w:hint="eastAsia" w:ascii="宋体" w:hAnsi="宋体" w:cs="微软雅黑"/>
                <w:b/>
                <w:color w:val="000000"/>
                <w:kern w:val="0"/>
                <w:sz w:val="28"/>
                <w:szCs w:val="28"/>
                <w:lang w:val="en-US" w:eastAsia="zh-CN"/>
              </w:rPr>
            </w:pPr>
            <w:r>
              <w:rPr>
                <w:rFonts w:hint="eastAsia" w:ascii="宋体" w:hAnsi="宋体" w:cs="微软雅黑"/>
                <w:b/>
                <w:color w:val="000000"/>
                <w:kern w:val="0"/>
                <w:sz w:val="28"/>
                <w:szCs w:val="28"/>
                <w:lang w:val="en-US" w:eastAsia="zh-CN"/>
              </w:rPr>
              <w:t>抵押类信用卡统计表（按分支行与出入库）表数据来源：</w:t>
            </w:r>
          </w:p>
          <w:p>
            <w:pPr>
              <w:ind w:firstLine="630" w:firstLineChars="300"/>
              <w:rPr>
                <w:rFonts w:hint="default"/>
                <w:lang w:val="en-US" w:eastAsia="zh-CN"/>
              </w:rPr>
            </w:pPr>
            <w:r>
              <w:rPr>
                <w:rFonts w:hint="eastAsia"/>
                <w:lang w:val="en-US" w:eastAsia="zh-CN"/>
              </w:rPr>
              <w:t>（1）贷后系统根据上游提供的押品数据通过每日跑批获取该报表所需的数据，记录并入库到贷后系统。</w:t>
            </w:r>
          </w:p>
          <w:p>
            <w:pPr>
              <w:numPr>
                <w:ilvl w:val="0"/>
                <w:numId w:val="0"/>
              </w:numPr>
              <w:rPr>
                <w:rFonts w:hint="eastAsia" w:ascii="宋体" w:hAnsi="宋体" w:cs="微软雅黑"/>
                <w:b/>
                <w:color w:val="000000"/>
                <w:kern w:val="0"/>
                <w:sz w:val="28"/>
                <w:szCs w:val="28"/>
                <w:lang w:val="en-US" w:eastAsia="zh-CN"/>
              </w:rPr>
            </w:pPr>
          </w:p>
          <w:p>
            <w:pPr>
              <w:autoSpaceDE w:val="0"/>
              <w:autoSpaceDN w:val="0"/>
              <w:adjustRightInd w:val="0"/>
              <w:rPr>
                <w:rFonts w:hint="eastAsia" w:ascii="宋体" w:hAnsi="宋体" w:cs="微软雅黑"/>
                <w:b/>
                <w:color w:val="000000"/>
                <w:kern w:val="0"/>
                <w:sz w:val="28"/>
                <w:szCs w:val="28"/>
                <w:lang w:val="en-US" w:eastAsia="zh-CN"/>
              </w:rPr>
            </w:pPr>
          </w:p>
          <w:p>
            <w:pPr>
              <w:autoSpaceDE w:val="0"/>
              <w:autoSpaceDN w:val="0"/>
              <w:adjustRightInd w:val="0"/>
              <w:rPr>
                <w:rFonts w:hint="eastAsia" w:ascii="宋体" w:hAnsi="宋体" w:cs="微软雅黑"/>
                <w:b/>
                <w:color w:val="000000"/>
                <w:kern w:val="0"/>
                <w:sz w:val="28"/>
                <w:szCs w:val="28"/>
                <w:lang w:val="en-US" w:eastAsia="zh-CN"/>
              </w:rPr>
            </w:pPr>
            <w:r>
              <w:rPr>
                <w:rFonts w:hint="eastAsia" w:ascii="宋体" w:hAnsi="宋体" w:cs="微软雅黑"/>
                <w:b/>
                <w:color w:val="000000"/>
                <w:kern w:val="0"/>
                <w:sz w:val="28"/>
                <w:szCs w:val="28"/>
                <w:lang w:val="en-US" w:eastAsia="zh-CN"/>
              </w:rPr>
              <w:t>抵押类信用卡统计表（按分支行与出入库）表设计：</w:t>
            </w:r>
          </w:p>
          <w:p>
            <w:pPr>
              <w:numPr>
                <w:ilvl w:val="0"/>
                <w:numId w:val="1"/>
              </w:numPr>
              <w:ind w:firstLine="630" w:firstLineChars="300"/>
              <w:rPr>
                <w:rFonts w:hint="eastAsia"/>
                <w:lang w:val="en-US" w:eastAsia="zh-CN"/>
              </w:rPr>
            </w:pPr>
            <w:r>
              <w:rPr>
                <w:rFonts w:hint="eastAsia"/>
                <w:lang w:val="en-US" w:eastAsia="zh-CN"/>
              </w:rPr>
              <w:t>新建抵押类信用卡统计表（按分支行与出入库），包含分支行、卡量、授信总额、透支总额金额、透支总额环比、透支总额同比、不良户数、不良金额、不良率金额、不良率环比、不良率同比、逾期户数、逾期金额、逾期率。</w:t>
            </w:r>
          </w:p>
          <w:p>
            <w:pPr>
              <w:numPr>
                <w:ilvl w:val="0"/>
                <w:numId w:val="1"/>
              </w:numPr>
              <w:ind w:firstLine="630" w:firstLineChars="300"/>
              <w:rPr>
                <w:rFonts w:hint="eastAsia"/>
                <w:lang w:val="en-US" w:eastAsia="zh-CN"/>
              </w:rPr>
            </w:pPr>
            <w:r>
              <w:rPr>
                <w:rFonts w:hint="eastAsia"/>
                <w:lang w:val="en-US" w:eastAsia="zh-CN"/>
              </w:rPr>
              <w:t>根据报表对应字段规则，取出相应的值通过计算记录并入库到贷后系统。</w:t>
            </w:r>
          </w:p>
          <w:p>
            <w:pPr>
              <w:ind w:firstLine="630" w:firstLineChars="300"/>
              <w:rPr>
                <w:rFonts w:hint="eastAsia"/>
                <w:lang w:val="en-US" w:eastAsia="zh-CN"/>
              </w:rPr>
            </w:pPr>
          </w:p>
          <w:p>
            <w:pPr>
              <w:rPr>
                <w:lang w:val="en-GB"/>
              </w:rPr>
            </w:pPr>
          </w:p>
          <w:p>
            <w:pPr>
              <w:autoSpaceDE w:val="0"/>
              <w:autoSpaceDN w:val="0"/>
              <w:adjustRightInd w:val="0"/>
              <w:rPr>
                <w:rFonts w:hint="default" w:ascii="宋体" w:hAnsi="宋体" w:cs="微软雅黑"/>
                <w:b/>
                <w:color w:val="000000"/>
                <w:kern w:val="0"/>
                <w:sz w:val="28"/>
                <w:szCs w:val="28"/>
                <w:lang w:val="en-US" w:eastAsia="zh-CN"/>
              </w:rPr>
            </w:pPr>
          </w:p>
          <w:p>
            <w:pPr>
              <w:autoSpaceDE w:val="0"/>
              <w:autoSpaceDN w:val="0"/>
              <w:adjustRightInd w:val="0"/>
              <w:rPr>
                <w:rFonts w:hint="eastAsia" w:ascii="宋体" w:hAnsi="宋体" w:cs="微软雅黑"/>
                <w:b/>
                <w:color w:val="000000"/>
                <w:kern w:val="0"/>
                <w:sz w:val="28"/>
                <w:szCs w:val="28"/>
                <w:lang w:val="en-US" w:eastAsia="zh-CN"/>
              </w:rPr>
            </w:pPr>
            <w:r>
              <w:rPr>
                <w:rFonts w:hint="eastAsia" w:ascii="宋体" w:hAnsi="宋体" w:cs="微软雅黑"/>
                <w:b/>
                <w:color w:val="000000"/>
                <w:kern w:val="0"/>
                <w:sz w:val="28"/>
                <w:szCs w:val="28"/>
                <w:lang w:val="en-US" w:eastAsia="zh-CN"/>
              </w:rPr>
              <w:t>抵押类信用卡统计表（按分支行与出入库）报表-查询：</w:t>
            </w:r>
          </w:p>
          <w:p>
            <w:pPr>
              <w:numPr>
                <w:ilvl w:val="0"/>
                <w:numId w:val="1"/>
              </w:numPr>
              <w:ind w:firstLine="630" w:firstLineChars="300"/>
              <w:rPr>
                <w:lang w:val="en-GB"/>
              </w:rPr>
            </w:pPr>
            <w:r>
              <w:rPr>
                <w:rFonts w:hint="eastAsia"/>
                <w:lang w:val="en-GB"/>
              </w:rPr>
              <w:t>（1）</w:t>
            </w:r>
            <w:r>
              <w:rPr>
                <w:rFonts w:hint="eastAsia"/>
                <w:lang w:val="en-US" w:eastAsia="zh-CN"/>
              </w:rPr>
              <w:t>显示列表为：分支行、卡量、授信总额、透支总额金额、透支总额环比、透支总额同比、不良户数、不良金额、不良率金额、不良率环比、不良率同比、逾期户数、逾期金额、逾期率。</w:t>
            </w:r>
          </w:p>
          <w:p>
            <w:pPr>
              <w:ind w:firstLine="630" w:firstLineChars="300"/>
              <w:rPr>
                <w:rFonts w:hint="eastAsia"/>
                <w:lang w:val="en-GB"/>
              </w:rPr>
            </w:pPr>
            <w:r>
              <w:rPr>
                <w:rFonts w:hint="eastAsia"/>
                <w:lang w:val="en-GB"/>
              </w:rPr>
              <w:t>（2）</w:t>
            </w:r>
            <w:r>
              <w:rPr>
                <w:rFonts w:hint="eastAsia"/>
                <w:lang w:val="en-US" w:eastAsia="zh-CN"/>
              </w:rPr>
              <w:t>查询条件为：状态（已入库、未入库、已出库）</w:t>
            </w:r>
            <w:r>
              <w:rPr>
                <w:rFonts w:hint="eastAsia"/>
                <w:lang w:val="en-GB"/>
              </w:rPr>
              <w:t>。</w:t>
            </w:r>
          </w:p>
          <w:p>
            <w:pPr>
              <w:ind w:firstLine="630" w:firstLineChars="300"/>
              <w:rPr>
                <w:rFonts w:hint="default" w:eastAsia="宋体"/>
                <w:lang w:val="en-US" w:eastAsia="zh-CN"/>
              </w:rPr>
            </w:pPr>
            <w:r>
              <w:rPr>
                <w:rFonts w:hint="eastAsia"/>
                <w:lang w:val="en-GB" w:eastAsia="zh-CN"/>
              </w:rPr>
              <w:t>（</w:t>
            </w:r>
            <w:r>
              <w:rPr>
                <w:rFonts w:hint="eastAsia"/>
                <w:lang w:val="en-US" w:eastAsia="zh-CN"/>
              </w:rPr>
              <w:t>3</w:t>
            </w:r>
            <w:r>
              <w:rPr>
                <w:rFonts w:hint="eastAsia"/>
                <w:lang w:val="en-GB" w:eastAsia="zh-CN"/>
              </w:rPr>
              <w:t>）</w:t>
            </w:r>
            <w:r>
              <w:rPr>
                <w:rFonts w:hint="eastAsia"/>
                <w:lang w:val="en-US" w:eastAsia="zh-CN"/>
              </w:rPr>
              <w:t>权限控制：总行查看所有分行数据，分行查询本分行数据</w:t>
            </w:r>
          </w:p>
          <w:p>
            <w:pPr>
              <w:rPr>
                <w:rFonts w:hint="eastAsia" w:eastAsia="宋体"/>
                <w:lang w:val="en-GB" w:eastAsia="zh-CN"/>
              </w:rPr>
            </w:pPr>
          </w:p>
          <w:p>
            <w:pPr>
              <w:ind w:firstLine="630" w:firstLineChars="300"/>
              <w:rPr>
                <w:rFonts w:hint="eastAsia" w:eastAsia="宋体"/>
                <w:lang w:val="en-GB" w:eastAsia="zh-CN"/>
              </w:rPr>
            </w:pPr>
            <w:r>
              <w:rPr>
                <w:rFonts w:hint="eastAsia" w:eastAsia="宋体"/>
                <w:lang w:val="en-GB" w:eastAsia="zh-CN"/>
              </w:rPr>
              <w:drawing>
                <wp:inline distT="0" distB="0" distL="114300" distR="114300">
                  <wp:extent cx="5357495" cy="2742565"/>
                  <wp:effectExtent l="0" t="0" r="14605" b="635"/>
                  <wp:docPr id="5" name="图片 5" descr="95debbe4a49b5ec185022368626d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5debbe4a49b5ec185022368626d628"/>
                          <pic:cNvPicPr>
                            <a:picLocks noChangeAspect="1"/>
                          </pic:cNvPicPr>
                        </pic:nvPicPr>
                        <pic:blipFill>
                          <a:blip r:embed="rId4"/>
                          <a:stretch>
                            <a:fillRect/>
                          </a:stretch>
                        </pic:blipFill>
                        <pic:spPr>
                          <a:xfrm>
                            <a:off x="0" y="0"/>
                            <a:ext cx="5357495" cy="2742565"/>
                          </a:xfrm>
                          <a:prstGeom prst="rect">
                            <a:avLst/>
                          </a:prstGeom>
                        </pic:spPr>
                      </pic:pic>
                    </a:graphicData>
                  </a:graphic>
                </wp:inline>
              </w:drawing>
            </w:r>
          </w:p>
          <w:p>
            <w:pPr>
              <w:autoSpaceDE w:val="0"/>
              <w:autoSpaceDN w:val="0"/>
              <w:adjustRightInd w:val="0"/>
              <w:rPr>
                <w:rFonts w:hint="eastAsia" w:ascii="宋体" w:hAnsi="宋体" w:cs="微软雅黑"/>
                <w:b/>
                <w:color w:val="000000"/>
                <w:kern w:val="0"/>
                <w:sz w:val="28"/>
                <w:szCs w:val="28"/>
                <w:lang w:val="en-US" w:eastAsia="zh-CN"/>
              </w:rPr>
            </w:pPr>
            <w:r>
              <w:rPr>
                <w:rFonts w:hint="eastAsia" w:ascii="宋体" w:hAnsi="宋体" w:cs="微软雅黑"/>
                <w:b/>
                <w:color w:val="000000"/>
                <w:kern w:val="0"/>
                <w:sz w:val="28"/>
                <w:szCs w:val="28"/>
                <w:lang w:val="en-US" w:eastAsia="zh-CN"/>
              </w:rPr>
              <w:t>抵押类信用卡统计表（按分支行与出入库）报表-下载：</w:t>
            </w:r>
          </w:p>
          <w:p>
            <w:pPr>
              <w:numPr>
                <w:ilvl w:val="0"/>
                <w:numId w:val="0"/>
              </w:numPr>
              <w:ind w:firstLine="420" w:firstLineChars="200"/>
              <w:rPr>
                <w:lang w:val="en-GB"/>
              </w:rPr>
            </w:pPr>
            <w:r>
              <w:rPr>
                <w:rFonts w:hint="eastAsia"/>
                <w:lang w:val="en-US" w:eastAsia="zh-CN"/>
              </w:rPr>
              <w:t>（1）根据查询条件，查询出所有记录，生成excel文件下载到客户端。</w:t>
            </w:r>
          </w:p>
          <w:p>
            <w:pPr>
              <w:ind w:firstLine="630" w:firstLineChars="300"/>
              <w:rPr>
                <w:rFonts w:hint="eastAsia"/>
                <w:lang w:val="en-US" w:eastAsia="zh-CN"/>
              </w:rPr>
            </w:pPr>
          </w:p>
          <w:p>
            <w:pPr>
              <w:ind w:firstLine="630" w:firstLineChars="300"/>
              <w:rPr>
                <w:rFonts w:hint="eastAsia"/>
                <w:lang w:val="en-US" w:eastAsia="zh-CN"/>
              </w:rPr>
            </w:pPr>
          </w:p>
          <w:p>
            <w:pPr>
              <w:rPr>
                <w:rFonts w:hint="eastAsia"/>
                <w:lang w:val="en-US" w:eastAsia="zh-CN"/>
              </w:rPr>
            </w:pPr>
          </w:p>
          <w:p>
            <w:pPr>
              <w:ind w:firstLine="630" w:firstLineChars="300"/>
              <w:rPr>
                <w:rFonts w:hint="default"/>
                <w:lang w:val="en-US" w:eastAsia="zh-CN"/>
              </w:rPr>
            </w:pPr>
          </w:p>
          <w:p>
            <w:pPr>
              <w:autoSpaceDE w:val="0"/>
              <w:autoSpaceDN w:val="0"/>
              <w:adjustRightInd w:val="0"/>
              <w:rPr>
                <w:rFonts w:hint="eastAsia" w:ascii="宋体" w:hAnsi="宋体" w:cs="微软雅黑"/>
                <w:b/>
                <w:color w:val="000000"/>
                <w:kern w:val="0"/>
                <w:sz w:val="28"/>
                <w:szCs w:val="28"/>
                <w:lang w:val="en-US" w:eastAsia="zh-CN"/>
              </w:rPr>
            </w:pPr>
            <w:r>
              <w:rPr>
                <w:rFonts w:hint="eastAsia" w:ascii="宋体" w:hAnsi="宋体" w:cs="微软雅黑"/>
                <w:b/>
                <w:color w:val="000000"/>
                <w:kern w:val="0"/>
                <w:sz w:val="28"/>
                <w:szCs w:val="28"/>
                <w:lang w:val="en-US" w:eastAsia="zh-CN"/>
              </w:rPr>
              <w:t>抵押类信用卡统计表（按分支行与出入库）报表-数据</w:t>
            </w:r>
            <w:bookmarkStart w:id="0" w:name="_GoBack"/>
            <w:bookmarkEnd w:id="0"/>
            <w:r>
              <w:rPr>
                <w:rFonts w:hint="eastAsia" w:ascii="宋体" w:hAnsi="宋体" w:cs="微软雅黑"/>
                <w:b/>
                <w:color w:val="000000"/>
                <w:kern w:val="0"/>
                <w:sz w:val="28"/>
                <w:szCs w:val="28"/>
                <w:lang w:val="en-US" w:eastAsia="zh-CN"/>
              </w:rPr>
              <w:t>：</w:t>
            </w:r>
          </w:p>
          <w:p>
            <w:pPr>
              <w:ind w:firstLine="630" w:firstLineChars="300"/>
              <w:rPr>
                <w:rFonts w:hint="eastAsia"/>
                <w:lang w:val="en-GB"/>
              </w:rPr>
            </w:pPr>
            <w:r>
              <w:rPr>
                <w:rFonts w:hint="eastAsia"/>
                <w:lang w:val="en-GB"/>
              </w:rPr>
              <w:t>1.卡量：已入库、未入库和已出库押品关联的信用卡数量；</w:t>
            </w:r>
          </w:p>
          <w:p>
            <w:pPr>
              <w:ind w:firstLine="630" w:firstLineChars="300"/>
              <w:rPr>
                <w:rFonts w:hint="eastAsia"/>
                <w:lang w:val="en-GB"/>
              </w:rPr>
            </w:pPr>
            <w:r>
              <w:rPr>
                <w:rFonts w:hint="eastAsia"/>
                <w:lang w:val="en-GB"/>
              </w:rPr>
              <w:t>2.透支余额：已入库、未入库和已出库押品关联的信用卡所在账户透支余额；（统计口径与催收数据一致）</w:t>
            </w:r>
          </w:p>
          <w:p>
            <w:pPr>
              <w:ind w:firstLine="630" w:firstLineChars="300"/>
              <w:rPr>
                <w:rFonts w:hint="eastAsia"/>
                <w:lang w:val="en-GB"/>
              </w:rPr>
            </w:pPr>
            <w:r>
              <w:rPr>
                <w:rFonts w:hint="eastAsia"/>
                <w:lang w:val="en-GB"/>
              </w:rPr>
              <w:t>3.不良金额：已入库、未入库和已出库押品关联的信用卡所在账户不良金额；（统计口径与催收数据一致）</w:t>
            </w:r>
          </w:p>
          <w:p>
            <w:pPr>
              <w:ind w:firstLine="630" w:firstLineChars="300"/>
              <w:rPr>
                <w:rFonts w:hint="eastAsia"/>
                <w:lang w:val="en-GB"/>
              </w:rPr>
            </w:pPr>
            <w:r>
              <w:rPr>
                <w:rFonts w:hint="eastAsia"/>
                <w:lang w:val="en-GB"/>
              </w:rPr>
              <w:t>4.逾期金额：已入库、未入库和已出库押品关联的信用卡所在账户逾期金额；（统计口径与催收数据一致）</w:t>
            </w:r>
          </w:p>
          <w:p>
            <w:pPr>
              <w:ind w:firstLine="630" w:firstLineChars="300"/>
              <w:rPr>
                <w:rFonts w:hint="eastAsia"/>
                <w:lang w:val="en-GB"/>
              </w:rPr>
            </w:pPr>
            <w:r>
              <w:rPr>
                <w:rFonts w:hint="eastAsia"/>
                <w:lang w:val="en-GB"/>
              </w:rPr>
              <w:t>5.同比：该项数据对比去年相同月份的变动率，为百分比，即为（统计当月数-去年相同月份数）/去年相同月份数*100%，去年无数据的，则显示为空；</w:t>
            </w:r>
          </w:p>
          <w:p>
            <w:pPr>
              <w:ind w:firstLine="630" w:firstLineChars="300"/>
              <w:rPr>
                <w:rFonts w:hint="eastAsia"/>
                <w:lang w:val="en-US" w:eastAsia="zh-CN"/>
              </w:rPr>
            </w:pPr>
            <w:r>
              <w:rPr>
                <w:rFonts w:hint="eastAsia"/>
                <w:lang w:val="en-GB"/>
              </w:rPr>
              <w:t>6.环比：该项数据对比上个月的变动率，为百分比，即为（统计当月数据-上个月数据）/上个月数据*100%，上月无数据的，则显示为空。</w:t>
            </w:r>
          </w:p>
          <w:p>
            <w:pPr>
              <w:ind w:firstLine="630" w:firstLineChars="300"/>
              <w:rPr>
                <w:rFonts w:hint="eastAsia"/>
                <w:lang w:val="en-US" w:eastAsia="zh-CN"/>
              </w:rPr>
            </w:pPr>
          </w:p>
          <w:p>
            <w:pPr>
              <w:ind w:firstLine="630" w:firstLineChars="300"/>
              <w:rPr>
                <w:rFonts w:hint="eastAsia"/>
                <w:lang w:val="en-US" w:eastAsia="zh-CN"/>
              </w:rPr>
            </w:pPr>
          </w:p>
          <w:p>
            <w:pPr>
              <w:ind w:firstLine="630" w:firstLineChars="300"/>
              <w:rPr>
                <w:rFonts w:hint="eastAsia"/>
                <w:lang w:val="en-US" w:eastAsia="zh-CN"/>
              </w:rPr>
            </w:pPr>
          </w:p>
          <w:p>
            <w:pPr>
              <w:ind w:firstLine="630" w:firstLineChars="300"/>
              <w:rPr>
                <w:rFonts w:hint="eastAsia"/>
                <w:lang w:val="en-US" w:eastAsia="zh-CN"/>
              </w:rPr>
            </w:pPr>
          </w:p>
          <w:p>
            <w:pPr>
              <w:ind w:firstLine="630" w:firstLineChars="300"/>
              <w:rPr>
                <w:rFonts w:hint="default"/>
                <w:lang w:val="en-US" w:eastAsia="zh-CN"/>
              </w:rPr>
            </w:pPr>
          </w:p>
          <w:p>
            <w:pPr>
              <w:rPr>
                <w:rFonts w:hint="default" w:ascii="宋体" w:hAnsi="宋体" w:cs="微软雅黑"/>
                <w:sz w:val="28"/>
                <w:szCs w:val="28"/>
                <w:lang w:val="en-US" w:eastAsia="zh-CN"/>
              </w:rPr>
            </w:pPr>
          </w:p>
          <w:p>
            <w:pPr>
              <w:rPr>
                <w:rFonts w:hint="eastAsia" w:ascii="宋体" w:hAnsi="宋体" w:cs="微软雅黑"/>
                <w:sz w:val="28"/>
                <w:szCs w:val="28"/>
                <w:lang w:val="en-US" w:eastAsia="zh-CN"/>
              </w:rPr>
            </w:pPr>
          </w:p>
          <w:p>
            <w:pPr>
              <w:rPr>
                <w:rFonts w:hint="default" w:ascii="宋体" w:hAnsi="宋体" w:cs="微软雅黑"/>
                <w:sz w:val="28"/>
                <w:szCs w:val="28"/>
                <w:lang w:val="en-US" w:eastAsia="zh-CN"/>
              </w:rPr>
            </w:pPr>
          </w:p>
          <w:p>
            <w:pPr>
              <w:tabs>
                <w:tab w:val="left" w:pos="6985"/>
              </w:tabs>
              <w:rPr>
                <w:rFonts w:ascii="宋体" w:hAnsi="宋体" w:cs="微软雅黑"/>
                <w:sz w:val="28"/>
                <w:szCs w:val="28"/>
                <w:lang w:val="zh-CN"/>
              </w:rPr>
            </w:pPr>
            <w:r>
              <w:rPr>
                <w:rFonts w:ascii="宋体" w:hAnsi="宋体" w:cs="微软雅黑"/>
                <w:sz w:val="28"/>
                <w:szCs w:val="28"/>
                <w:lang w:val="zh-CN"/>
              </w:rPr>
              <w:tab/>
            </w:r>
            <w:r>
              <w:rPr>
                <w:rFonts w:hint="eastAsia" w:ascii="微软雅黑" w:eastAsia="微软雅黑" w:cs="微软雅黑"/>
                <w:color w:val="000000"/>
                <w:kern w:val="0"/>
                <w:sz w:val="24"/>
                <w:lang w:val="zh-CN"/>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exact"/>
        </w:trPr>
        <w:tc>
          <w:tcPr>
            <w:tcW w:w="2118" w:type="dxa"/>
            <w:noWrap w:val="0"/>
            <w:vAlign w:val="center"/>
          </w:tcPr>
          <w:p>
            <w:pPr>
              <w:autoSpaceDE w:val="0"/>
              <w:autoSpaceDN w:val="0"/>
              <w:adjustRightInd w:val="0"/>
              <w:rPr>
                <w:rFonts w:ascii="宋体" w:hAnsi="宋体" w:cs="微软雅黑"/>
                <w:color w:val="000000"/>
                <w:kern w:val="0"/>
                <w:sz w:val="28"/>
                <w:szCs w:val="28"/>
                <w:lang w:val="zh-CN"/>
              </w:rPr>
            </w:pPr>
            <w:r>
              <w:rPr>
                <w:rFonts w:hint="eastAsia" w:ascii="宋体" w:hAnsi="宋体" w:cs="微软雅黑"/>
                <w:color w:val="000000"/>
                <w:kern w:val="0"/>
                <w:sz w:val="28"/>
                <w:szCs w:val="28"/>
                <w:lang w:val="zh-CN"/>
              </w:rPr>
              <w:t>经理或组长</w:t>
            </w:r>
          </w:p>
        </w:tc>
        <w:tc>
          <w:tcPr>
            <w:tcW w:w="2365" w:type="dxa"/>
            <w:gridSpan w:val="2"/>
            <w:noWrap w:val="0"/>
            <w:vAlign w:val="center"/>
          </w:tcPr>
          <w:p>
            <w:pPr>
              <w:autoSpaceDE w:val="0"/>
              <w:autoSpaceDN w:val="0"/>
              <w:adjustRightInd w:val="0"/>
              <w:jc w:val="center"/>
              <w:rPr>
                <w:rFonts w:ascii="宋体" w:hAnsi="宋体" w:cs="微软雅黑"/>
                <w:color w:val="000000"/>
                <w:kern w:val="0"/>
                <w:sz w:val="28"/>
                <w:szCs w:val="28"/>
                <w:lang w:val="zh-CN"/>
              </w:rPr>
            </w:pPr>
          </w:p>
        </w:tc>
        <w:tc>
          <w:tcPr>
            <w:tcW w:w="1559" w:type="dxa"/>
            <w:noWrap w:val="0"/>
            <w:vAlign w:val="center"/>
          </w:tcPr>
          <w:p>
            <w:pPr>
              <w:autoSpaceDE w:val="0"/>
              <w:autoSpaceDN w:val="0"/>
              <w:adjustRightInd w:val="0"/>
              <w:jc w:val="center"/>
              <w:rPr>
                <w:rFonts w:ascii="宋体" w:hAnsi="宋体" w:cs="微软雅黑"/>
                <w:color w:val="000000"/>
                <w:kern w:val="0"/>
                <w:sz w:val="28"/>
                <w:szCs w:val="28"/>
                <w:lang w:val="zh-CN"/>
              </w:rPr>
            </w:pPr>
            <w:r>
              <w:rPr>
                <w:rFonts w:hint="eastAsia" w:ascii="宋体" w:hAnsi="宋体" w:cs="微软雅黑"/>
                <w:color w:val="000000"/>
                <w:kern w:val="0"/>
                <w:sz w:val="28"/>
                <w:szCs w:val="28"/>
                <w:lang w:val="zh-CN"/>
              </w:rPr>
              <w:t>联系电话</w:t>
            </w:r>
          </w:p>
        </w:tc>
        <w:tc>
          <w:tcPr>
            <w:tcW w:w="2408" w:type="dxa"/>
            <w:gridSpan w:val="2"/>
            <w:noWrap w:val="0"/>
            <w:vAlign w:val="center"/>
          </w:tcPr>
          <w:p>
            <w:pPr>
              <w:autoSpaceDE w:val="0"/>
              <w:autoSpaceDN w:val="0"/>
              <w:adjustRightInd w:val="0"/>
              <w:jc w:val="center"/>
              <w:rPr>
                <w:rFonts w:ascii="宋体" w:hAnsi="宋体" w:cs="微软雅黑"/>
                <w:color w:val="000000"/>
                <w:kern w:val="0"/>
                <w:sz w:val="28"/>
                <w:szCs w:val="2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 w:hRule="exact"/>
        </w:trPr>
        <w:tc>
          <w:tcPr>
            <w:tcW w:w="2118" w:type="dxa"/>
            <w:noWrap w:val="0"/>
            <w:vAlign w:val="center"/>
          </w:tcPr>
          <w:p>
            <w:pPr>
              <w:autoSpaceDE w:val="0"/>
              <w:autoSpaceDN w:val="0"/>
              <w:adjustRightInd w:val="0"/>
              <w:rPr>
                <w:rFonts w:hint="eastAsia" w:ascii="宋体" w:hAnsi="宋体" w:cs="微软雅黑"/>
                <w:color w:val="000000"/>
                <w:kern w:val="0"/>
                <w:sz w:val="28"/>
                <w:szCs w:val="28"/>
                <w:lang w:val="zh-CN"/>
              </w:rPr>
            </w:pPr>
            <w:r>
              <w:rPr>
                <w:rFonts w:hint="eastAsia" w:ascii="宋体" w:hAnsi="宋体" w:cs="微软雅黑"/>
                <w:color w:val="000000"/>
                <w:kern w:val="0"/>
                <w:sz w:val="28"/>
                <w:szCs w:val="28"/>
                <w:lang w:val="zh-CN"/>
              </w:rPr>
              <w:t>开发人员</w:t>
            </w:r>
          </w:p>
        </w:tc>
        <w:tc>
          <w:tcPr>
            <w:tcW w:w="2365" w:type="dxa"/>
            <w:gridSpan w:val="2"/>
            <w:noWrap w:val="0"/>
            <w:vAlign w:val="center"/>
          </w:tcPr>
          <w:p>
            <w:pPr>
              <w:autoSpaceDE w:val="0"/>
              <w:autoSpaceDN w:val="0"/>
              <w:adjustRightInd w:val="0"/>
              <w:jc w:val="center"/>
              <w:rPr>
                <w:rFonts w:hint="default" w:ascii="宋体" w:hAnsi="宋体" w:eastAsia="宋体" w:cs="微软雅黑"/>
                <w:color w:val="000000"/>
                <w:kern w:val="0"/>
                <w:sz w:val="28"/>
                <w:szCs w:val="28"/>
                <w:lang w:val="en-US" w:eastAsia="zh-CN"/>
              </w:rPr>
            </w:pPr>
          </w:p>
        </w:tc>
        <w:tc>
          <w:tcPr>
            <w:tcW w:w="1559" w:type="dxa"/>
            <w:noWrap w:val="0"/>
            <w:vAlign w:val="center"/>
          </w:tcPr>
          <w:p>
            <w:pPr>
              <w:autoSpaceDE w:val="0"/>
              <w:autoSpaceDN w:val="0"/>
              <w:adjustRightInd w:val="0"/>
              <w:jc w:val="center"/>
              <w:rPr>
                <w:rFonts w:hint="eastAsia" w:ascii="宋体" w:hAnsi="宋体" w:cs="微软雅黑"/>
                <w:color w:val="000000"/>
                <w:kern w:val="0"/>
                <w:sz w:val="28"/>
                <w:szCs w:val="28"/>
                <w:lang w:val="zh-CN"/>
              </w:rPr>
            </w:pPr>
            <w:r>
              <w:rPr>
                <w:rFonts w:hint="eastAsia" w:ascii="宋体" w:hAnsi="宋体" w:cs="微软雅黑"/>
                <w:color w:val="000000"/>
                <w:kern w:val="0"/>
                <w:sz w:val="28"/>
                <w:szCs w:val="28"/>
                <w:lang w:val="zh-CN"/>
              </w:rPr>
              <w:t>联系电话</w:t>
            </w:r>
          </w:p>
        </w:tc>
        <w:tc>
          <w:tcPr>
            <w:tcW w:w="2408" w:type="dxa"/>
            <w:gridSpan w:val="2"/>
            <w:noWrap w:val="0"/>
            <w:vAlign w:val="center"/>
          </w:tcPr>
          <w:p>
            <w:pPr>
              <w:autoSpaceDE w:val="0"/>
              <w:autoSpaceDN w:val="0"/>
              <w:adjustRightInd w:val="0"/>
              <w:jc w:val="center"/>
              <w:rPr>
                <w:rFonts w:hint="default" w:ascii="宋体" w:hAnsi="宋体" w:eastAsia="宋体" w:cs="微软雅黑"/>
                <w:color w:val="000000"/>
                <w:kern w:val="0"/>
                <w:sz w:val="28"/>
                <w:szCs w:val="28"/>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98B3B3"/>
    <w:multiLevelType w:val="singleLevel"/>
    <w:tmpl w:val="D698B3B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83CCA"/>
    <w:rsid w:val="442238F2"/>
    <w:rsid w:val="44F62CE1"/>
    <w:rsid w:val="4E2E07E9"/>
    <w:rsid w:val="7338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2021-03-17T06:48:00Z</dcterms:created>
  <dc:creator>admin</dc:creator>
  <cp:lastModifiedBy>admin</cp:lastModifiedBy>
  <dcterms:modified xsi:type="dcterms:W3CDTF">2021-03-18T01:13:48Z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