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B4435" w14:textId="6AEB00D7" w:rsidR="00511964" w:rsidRPr="006147D9" w:rsidRDefault="00511964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  <w:r w:rsidRPr="006147D9">
        <w:rPr>
          <w:rFonts w:ascii="Cambria" w:eastAsia="DengXian" w:hAnsi="Cambria" w:cs="Times New Roman"/>
          <w:b/>
          <w:color w:val="171717" w:themeColor="background2" w:themeShade="1A"/>
          <w:kern w:val="0"/>
          <w:szCs w:val="21"/>
        </w:rPr>
        <w:t>T</w:t>
      </w:r>
      <w:r w:rsidR="00B10EE1">
        <w:rPr>
          <w:rFonts w:ascii="Cambria" w:eastAsia="DengXian" w:hAnsi="Cambria" w:cs="Times New Roman"/>
          <w:b/>
          <w:color w:val="171717" w:themeColor="background2" w:themeShade="1A"/>
          <w:kern w:val="0"/>
          <w:szCs w:val="21"/>
        </w:rPr>
        <w:t>ABLE</w:t>
      </w:r>
      <w:r w:rsidRPr="006147D9">
        <w:rPr>
          <w:rFonts w:ascii="Cambria" w:eastAsia="DengXian" w:hAnsi="Cambria" w:cs="Times New Roman"/>
          <w:b/>
          <w:color w:val="171717" w:themeColor="background2" w:themeShade="1A"/>
          <w:kern w:val="0"/>
          <w:szCs w:val="21"/>
        </w:rPr>
        <w:t xml:space="preserve"> </w:t>
      </w:r>
      <w:proofErr w:type="gramStart"/>
      <w:r w:rsidRPr="006147D9">
        <w:rPr>
          <w:rFonts w:ascii="Cambria" w:eastAsia="DengXian" w:hAnsi="Cambria" w:cs="Times New Roman"/>
          <w:b/>
          <w:color w:val="171717" w:themeColor="background2" w:themeShade="1A"/>
          <w:kern w:val="0"/>
          <w:szCs w:val="21"/>
        </w:rPr>
        <w:t>1</w:t>
      </w:r>
      <w:r w:rsidR="002C4D3C">
        <w:rPr>
          <w:rFonts w:ascii="Cambria" w:eastAsia="DengXian" w:hAnsi="Cambria" w:cs="Times New Roman"/>
          <w:b/>
          <w:color w:val="171717" w:themeColor="background2" w:themeShade="1A"/>
          <w:kern w:val="0"/>
          <w:szCs w:val="21"/>
        </w:rPr>
        <w:t xml:space="preserve"> </w:t>
      </w:r>
      <w:r w:rsidR="00B10EE1">
        <w:rPr>
          <w:rFonts w:ascii="Cambria" w:eastAsia="DengXian" w:hAnsi="Cambria" w:cs="Times New Roman"/>
          <w:b/>
          <w:color w:val="171717" w:themeColor="background2" w:themeShade="1A"/>
          <w:kern w:val="0"/>
          <w:szCs w:val="21"/>
        </w:rPr>
        <w:t xml:space="preserve"> </w:t>
      </w:r>
      <w:r w:rsidRPr="006147D9"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  <w:t>Baseline</w:t>
      </w:r>
      <w:proofErr w:type="gramEnd"/>
      <w:r w:rsidRPr="006147D9"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  <w:t xml:space="preserve"> Characteristics - Demographic characteristic</w:t>
      </w:r>
    </w:p>
    <w:tbl>
      <w:tblPr>
        <w:tblW w:w="8852" w:type="dxa"/>
        <w:tblInd w:w="-142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008"/>
        <w:gridCol w:w="8"/>
        <w:gridCol w:w="1387"/>
        <w:gridCol w:w="1275"/>
        <w:gridCol w:w="770"/>
        <w:gridCol w:w="8"/>
        <w:gridCol w:w="1349"/>
        <w:gridCol w:w="1417"/>
        <w:gridCol w:w="630"/>
      </w:tblGrid>
      <w:tr w:rsidR="00B71B88" w:rsidRPr="006147D9" w14:paraId="12FCC85D" w14:textId="77777777" w:rsidTr="00B71B88">
        <w:trPr>
          <w:trHeight w:val="288"/>
        </w:trPr>
        <w:tc>
          <w:tcPr>
            <w:tcW w:w="2008" w:type="dxa"/>
            <w:vMerge w:val="restart"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F5A81C9" w14:textId="77777777" w:rsidR="00B71B88" w:rsidRPr="006147D9" w:rsidRDefault="00B71B88" w:rsidP="00A45026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Variables</w:t>
            </w:r>
          </w:p>
          <w:p w14:paraId="3A55C482" w14:textId="7E4DC28E" w:rsidR="00B71B88" w:rsidRPr="006147D9" w:rsidRDefault="00B71B88" w:rsidP="00A45026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N (%)</w:t>
            </w:r>
          </w:p>
        </w:tc>
        <w:tc>
          <w:tcPr>
            <w:tcW w:w="3440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1A5526EF" w14:textId="5E9B5595" w:rsidR="00B71B88" w:rsidRPr="006147D9" w:rsidRDefault="00B71B88" w:rsidP="00A45026">
            <w:pPr>
              <w:widowControl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Overall population</w:t>
            </w:r>
          </w:p>
        </w:tc>
        <w:tc>
          <w:tcPr>
            <w:tcW w:w="3404" w:type="dxa"/>
            <w:gridSpan w:val="4"/>
            <w:tcBorders>
              <w:top w:val="single" w:sz="12" w:space="0" w:color="auto"/>
              <w:left w:val="single" w:sz="48" w:space="0" w:color="FFFFFF" w:themeColor="background1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C350BA" w14:textId="77777777" w:rsidR="00B71B88" w:rsidRPr="006147D9" w:rsidRDefault="00B71B88" w:rsidP="00A45026">
            <w:pPr>
              <w:widowControl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Propensity-matched population</w:t>
            </w:r>
          </w:p>
        </w:tc>
      </w:tr>
      <w:tr w:rsidR="00A45026" w:rsidRPr="006147D9" w14:paraId="13AEC692" w14:textId="77777777" w:rsidTr="006147D9">
        <w:trPr>
          <w:trHeight w:val="1263"/>
        </w:trPr>
        <w:tc>
          <w:tcPr>
            <w:tcW w:w="2008" w:type="dxa"/>
            <w:vMerge/>
            <w:tcBorders>
              <w:top w:val="nil"/>
              <w:left w:val="nil"/>
              <w:bottom w:val="single" w:sz="6" w:space="0" w:color="000000" w:themeColor="text1"/>
              <w:right w:val="nil"/>
            </w:tcBorders>
            <w:vAlign w:val="center"/>
            <w:hideMark/>
          </w:tcPr>
          <w:p w14:paraId="069F54A1" w14:textId="77777777" w:rsidR="00A45026" w:rsidRPr="006147D9" w:rsidRDefault="00A45026" w:rsidP="00A45026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</w:p>
        </w:tc>
        <w:tc>
          <w:tcPr>
            <w:tcW w:w="1395" w:type="dxa"/>
            <w:gridSpan w:val="2"/>
            <w:tcBorders>
              <w:top w:val="single" w:sz="6" w:space="0" w:color="auto"/>
              <w:left w:val="nil"/>
              <w:bottom w:val="single" w:sz="6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0652806C" w14:textId="3CFDD9BB" w:rsidR="00A45026" w:rsidRPr="006147D9" w:rsidRDefault="006773EA" w:rsidP="00A45026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Low-LDL-C</w:t>
            </w:r>
          </w:p>
          <w:p w14:paraId="297E6AD9" w14:textId="261559B8" w:rsidR="00A45026" w:rsidRPr="006147D9" w:rsidRDefault="00A45026" w:rsidP="00A45026">
            <w:pPr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(N = 1202)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11F75DC3" w14:textId="697CE439" w:rsidR="00A45026" w:rsidRPr="006147D9" w:rsidRDefault="006773EA" w:rsidP="00A45026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High-LDL-C</w:t>
            </w:r>
          </w:p>
          <w:p w14:paraId="71D5CFCF" w14:textId="59D4BAA2" w:rsidR="00A45026" w:rsidRPr="006147D9" w:rsidRDefault="00A45026" w:rsidP="00A45026">
            <w:pPr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(N = 593)</w:t>
            </w:r>
          </w:p>
        </w:tc>
        <w:tc>
          <w:tcPr>
            <w:tcW w:w="770" w:type="dxa"/>
            <w:tcBorders>
              <w:top w:val="single" w:sz="6" w:space="0" w:color="auto"/>
              <w:left w:val="nil"/>
              <w:bottom w:val="single" w:sz="6" w:space="0" w:color="000000" w:themeColor="text1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32923541" w14:textId="77777777" w:rsidR="00A45026" w:rsidRPr="006147D9" w:rsidRDefault="00A45026" w:rsidP="00A45026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p value</w:t>
            </w:r>
          </w:p>
        </w:tc>
        <w:tc>
          <w:tcPr>
            <w:tcW w:w="1357" w:type="dxa"/>
            <w:gridSpan w:val="2"/>
            <w:tcBorders>
              <w:top w:val="single" w:sz="6" w:space="0" w:color="auto"/>
              <w:left w:val="single" w:sz="48" w:space="0" w:color="FFFFFF" w:themeColor="background1"/>
              <w:bottom w:val="single" w:sz="6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3D20A7E0" w14:textId="3C8B2526" w:rsidR="00A45026" w:rsidRPr="006147D9" w:rsidRDefault="006773EA" w:rsidP="00A45026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Low-LDL-C</w:t>
            </w:r>
          </w:p>
          <w:p w14:paraId="2E11DE99" w14:textId="28D4FFAA" w:rsidR="00A45026" w:rsidRPr="006147D9" w:rsidRDefault="00A45026" w:rsidP="00A45026">
            <w:pPr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(N = 443)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69FEB4EF" w14:textId="43C5D1A6" w:rsidR="00A45026" w:rsidRPr="006147D9" w:rsidRDefault="006773EA" w:rsidP="00A45026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High-LDL-C</w:t>
            </w:r>
          </w:p>
          <w:p w14:paraId="7E956134" w14:textId="6B70237E" w:rsidR="00A45026" w:rsidRPr="006147D9" w:rsidRDefault="00A45026" w:rsidP="00A45026">
            <w:pPr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(N = 443)</w:t>
            </w: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43BF0EFD" w14:textId="77777777" w:rsidR="00A45026" w:rsidRPr="006147D9" w:rsidRDefault="00A45026" w:rsidP="00A45026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p value</w:t>
            </w:r>
          </w:p>
        </w:tc>
      </w:tr>
      <w:tr w:rsidR="00A43AE7" w:rsidRPr="006147D9" w14:paraId="315A7CCF" w14:textId="77777777" w:rsidTr="006147D9">
        <w:trPr>
          <w:trHeight w:val="278"/>
        </w:trPr>
        <w:tc>
          <w:tcPr>
            <w:tcW w:w="2008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E0198" w14:textId="7A080A9F" w:rsidR="00D31930" w:rsidRPr="006147D9" w:rsidRDefault="0090412E" w:rsidP="00A45026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Age </w:t>
            </w:r>
            <w:r w:rsidR="00D31930"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(</w:t>
            </w:r>
            <w:proofErr w:type="spellStart"/>
            <w:r w:rsidR="00D31930"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yrs</w:t>
            </w:r>
            <w:proofErr w:type="spellEnd"/>
            <w:r w:rsidR="00D31930"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)</w:t>
            </w:r>
          </w:p>
        </w:tc>
        <w:tc>
          <w:tcPr>
            <w:tcW w:w="1395" w:type="dxa"/>
            <w:gridSpan w:val="2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02A1D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66.3±10.5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C8B27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63.0±10.2</w:t>
            </w:r>
          </w:p>
        </w:tc>
        <w:tc>
          <w:tcPr>
            <w:tcW w:w="770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3314F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&lt;0.001*</w:t>
            </w:r>
          </w:p>
        </w:tc>
        <w:tc>
          <w:tcPr>
            <w:tcW w:w="1357" w:type="dxa"/>
            <w:gridSpan w:val="2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76AE1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62.3±10.5</w:t>
            </w:r>
          </w:p>
        </w:tc>
        <w:tc>
          <w:tcPr>
            <w:tcW w:w="1417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C2902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63.7±10.5</w:t>
            </w:r>
          </w:p>
        </w:tc>
        <w:tc>
          <w:tcPr>
            <w:tcW w:w="630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E0174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0.996</w:t>
            </w:r>
          </w:p>
        </w:tc>
      </w:tr>
      <w:tr w:rsidR="00A43AE7" w:rsidRPr="006147D9" w14:paraId="7D508133" w14:textId="77777777" w:rsidTr="006147D9">
        <w:trPr>
          <w:trHeight w:val="278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2D77B" w14:textId="34279C5F" w:rsidR="00D31930" w:rsidRPr="006147D9" w:rsidRDefault="0090412E" w:rsidP="00A45026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Male </w:t>
            </w:r>
          </w:p>
        </w:tc>
        <w:tc>
          <w:tcPr>
            <w:tcW w:w="1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17210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909/1200(75.8)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18457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390/590(66.1)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EBDBE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&lt;0.001*</w:t>
            </w:r>
          </w:p>
        </w:tc>
        <w:tc>
          <w:tcPr>
            <w:tcW w:w="13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20E71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297/443(67.0)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0FEE2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307/443(69.3)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F0B47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0.471</w:t>
            </w:r>
          </w:p>
        </w:tc>
      </w:tr>
      <w:tr w:rsidR="00A43AE7" w:rsidRPr="006147D9" w14:paraId="625B5821" w14:textId="77777777" w:rsidTr="006147D9">
        <w:trPr>
          <w:trHeight w:val="278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97CA3" w14:textId="77777777" w:rsidR="00D31930" w:rsidRPr="006147D9" w:rsidRDefault="00D31930" w:rsidP="00A45026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Body-mass index</w:t>
            </w:r>
          </w:p>
        </w:tc>
        <w:tc>
          <w:tcPr>
            <w:tcW w:w="1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F3D7A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24.6±3.4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63701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24.9±3.5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8F85A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0.208</w:t>
            </w:r>
          </w:p>
        </w:tc>
        <w:tc>
          <w:tcPr>
            <w:tcW w:w="13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C907B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25.6±3.2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F74DC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24.6±3.0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2DBE9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0.326</w:t>
            </w:r>
          </w:p>
        </w:tc>
      </w:tr>
      <w:tr w:rsidR="00A43AE7" w:rsidRPr="006147D9" w14:paraId="2B7D8684" w14:textId="77777777" w:rsidTr="006147D9">
        <w:trPr>
          <w:trHeight w:val="278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0D12A" w14:textId="1C4C8DEC" w:rsidR="00D31930" w:rsidRPr="006147D9" w:rsidRDefault="0090412E" w:rsidP="00A45026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Diabetes </w:t>
            </w:r>
          </w:p>
        </w:tc>
        <w:tc>
          <w:tcPr>
            <w:tcW w:w="1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516AA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272/1176(23.1)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372DD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129/585(22.1)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A72D6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0.661</w:t>
            </w:r>
          </w:p>
        </w:tc>
        <w:tc>
          <w:tcPr>
            <w:tcW w:w="13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43A9C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98/443(22.1)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9355C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98/443(22.1)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0D739" w14:textId="6DD87B25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</w:t>
            </w:r>
            <w:r w:rsidR="00842118"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.000</w:t>
            </w:r>
          </w:p>
        </w:tc>
      </w:tr>
      <w:tr w:rsidR="00A43AE7" w:rsidRPr="006147D9" w14:paraId="510196BE" w14:textId="77777777" w:rsidTr="006147D9">
        <w:trPr>
          <w:trHeight w:val="278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E4382" w14:textId="70037228" w:rsidR="00D31930" w:rsidRPr="006147D9" w:rsidRDefault="0090412E" w:rsidP="00A45026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Hypertension </w:t>
            </w:r>
          </w:p>
        </w:tc>
        <w:tc>
          <w:tcPr>
            <w:tcW w:w="1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085A1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781/1175(66.5)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33C32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346/585(59.1)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014F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0.003*</w:t>
            </w:r>
          </w:p>
        </w:tc>
        <w:tc>
          <w:tcPr>
            <w:tcW w:w="13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427E9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257/443(58.0)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C0B48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266/443(60.0)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9A9BE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0.539</w:t>
            </w:r>
          </w:p>
        </w:tc>
      </w:tr>
      <w:tr w:rsidR="00A43AE7" w:rsidRPr="006147D9" w14:paraId="74FE6BF9" w14:textId="77777777" w:rsidTr="006147D9">
        <w:trPr>
          <w:trHeight w:val="278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0E41E" w14:textId="7B21EA31" w:rsidR="00D31930" w:rsidRPr="006147D9" w:rsidRDefault="0090412E" w:rsidP="00A45026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Congestive heart failure </w:t>
            </w:r>
          </w:p>
        </w:tc>
        <w:tc>
          <w:tcPr>
            <w:tcW w:w="1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C3EB8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29/1116(2.6)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F014A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22/555(4.0)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17C08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0.126</w:t>
            </w:r>
          </w:p>
        </w:tc>
        <w:tc>
          <w:tcPr>
            <w:tcW w:w="13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F408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10/408(2.5)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1A86E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14/409(3.4)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74F6A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0.411</w:t>
            </w:r>
          </w:p>
        </w:tc>
      </w:tr>
      <w:tr w:rsidR="00A43AE7" w:rsidRPr="006147D9" w14:paraId="5FB33EA6" w14:textId="77777777" w:rsidTr="006147D9">
        <w:trPr>
          <w:trHeight w:val="278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120D2" w14:textId="32AED7FE" w:rsidR="00D31930" w:rsidRPr="006147D9" w:rsidRDefault="0090412E" w:rsidP="00A45026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ACS </w:t>
            </w:r>
          </w:p>
        </w:tc>
        <w:tc>
          <w:tcPr>
            <w:tcW w:w="1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511BF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488/1175(41.5)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6B716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272/580(46.9)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A93A5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0.033*</w:t>
            </w:r>
          </w:p>
        </w:tc>
        <w:tc>
          <w:tcPr>
            <w:tcW w:w="13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EF3D1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175/443(39.5)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C485A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181/443(40.9)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0A412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0.681</w:t>
            </w:r>
          </w:p>
        </w:tc>
      </w:tr>
      <w:tr w:rsidR="00A43AE7" w:rsidRPr="006147D9" w14:paraId="1033D27D" w14:textId="77777777" w:rsidTr="006147D9">
        <w:trPr>
          <w:trHeight w:val="278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746BC" w14:textId="6305236E" w:rsidR="00D31930" w:rsidRPr="006147D9" w:rsidRDefault="00D31930" w:rsidP="00A45026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Prev</w:t>
            </w:r>
            <w:r w:rsidR="0090412E"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ious cerebrovascular disease </w:t>
            </w:r>
          </w:p>
        </w:tc>
        <w:tc>
          <w:tcPr>
            <w:tcW w:w="1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191BB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107/1176(9.1)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0A175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44/585(7.5)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EB5E9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0.266</w:t>
            </w:r>
          </w:p>
        </w:tc>
        <w:tc>
          <w:tcPr>
            <w:tcW w:w="13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56C28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37/443(8.4)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3236E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30/443(6.8)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31831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0.374</w:t>
            </w:r>
          </w:p>
        </w:tc>
      </w:tr>
      <w:tr w:rsidR="00A43AE7" w:rsidRPr="006147D9" w14:paraId="204E5585" w14:textId="77777777" w:rsidTr="006147D9">
        <w:trPr>
          <w:trHeight w:val="278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ED237" w14:textId="02FE3C17" w:rsidR="00D31930" w:rsidRPr="006147D9" w:rsidRDefault="0090412E" w:rsidP="00A45026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Current smoker </w:t>
            </w:r>
          </w:p>
        </w:tc>
        <w:tc>
          <w:tcPr>
            <w:tcW w:w="1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3426D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337/1174(28.7)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81D25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186/583(31.9)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31492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0.167</w:t>
            </w:r>
          </w:p>
        </w:tc>
        <w:tc>
          <w:tcPr>
            <w:tcW w:w="13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8EFE5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119/443(26.9)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7E946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134/442(30.3)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D0E68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0.255</w:t>
            </w:r>
          </w:p>
        </w:tc>
      </w:tr>
      <w:tr w:rsidR="00A43AE7" w:rsidRPr="006147D9" w14:paraId="6B83A55C" w14:textId="77777777" w:rsidTr="006147D9">
        <w:trPr>
          <w:trHeight w:val="278"/>
        </w:trPr>
        <w:tc>
          <w:tcPr>
            <w:tcW w:w="2016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338975" w14:textId="03DB4F5E" w:rsidR="00D31930" w:rsidRPr="006147D9" w:rsidRDefault="0090412E" w:rsidP="00A45026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Current alcohol consumption 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D4BE8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241/1173(20.5)     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C5ED9B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133/582(22.9)           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39238E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0.267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15ED07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87/442(19.7)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331BB5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105/442(23.8</w:t>
            </w: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）</w:t>
            </w:r>
          </w:p>
        </w:tc>
        <w:tc>
          <w:tcPr>
            <w:tcW w:w="6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BAB376" w14:textId="77777777" w:rsidR="00D31930" w:rsidRPr="006147D9" w:rsidRDefault="00D31930" w:rsidP="00D31930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0.142</w:t>
            </w:r>
          </w:p>
        </w:tc>
      </w:tr>
    </w:tbl>
    <w:p w14:paraId="427E0B26" w14:textId="2904F254" w:rsidR="0039563B" w:rsidRPr="006147D9" w:rsidRDefault="00511964" w:rsidP="00511964">
      <w:pPr>
        <w:pStyle w:val="a3"/>
        <w:spacing w:before="192" w:beforeAutospacing="0" w:after="192" w:afterAutospacing="0"/>
        <w:rPr>
          <w:rStyle w:val="md-expand"/>
          <w:rFonts w:ascii="Cambria" w:hAnsi="Cambria" w:cs="Times New Roman"/>
          <w:color w:val="171717" w:themeColor="background2" w:themeShade="1A"/>
          <w:sz w:val="21"/>
          <w:szCs w:val="21"/>
          <w:shd w:val="clear" w:color="auto" w:fill="FFFFFF"/>
        </w:rPr>
      </w:pPr>
      <w:r w:rsidRPr="006147D9">
        <w:rPr>
          <w:rFonts w:ascii="Cambria" w:eastAsia="DengXian" w:hAnsi="Cambria" w:cs="Times New Roman"/>
          <w:color w:val="171717" w:themeColor="background2" w:themeShade="1A"/>
          <w:sz w:val="21"/>
          <w:szCs w:val="21"/>
        </w:rPr>
        <w:t xml:space="preserve">Values are mean ± SD, n (%), or n/N (%). </w:t>
      </w:r>
      <w:r w:rsidR="00B81EED" w:rsidRPr="006147D9">
        <w:rPr>
          <w:rStyle w:val="md-expand"/>
          <w:rFonts w:ascii="Cambria" w:hAnsi="Cambria" w:cs="Times New Roman"/>
          <w:color w:val="171717" w:themeColor="background2" w:themeShade="1A"/>
          <w:sz w:val="21"/>
          <w:szCs w:val="21"/>
          <w:shd w:val="clear" w:color="auto" w:fill="FFFFFF"/>
        </w:rPr>
        <w:t>ACS = acute coronary syndrome</w:t>
      </w:r>
      <w:r w:rsidR="0039563B" w:rsidRPr="006147D9">
        <w:rPr>
          <w:rStyle w:val="md-expand"/>
          <w:rFonts w:ascii="Cambria" w:hAnsi="Cambria" w:cs="Times New Roman"/>
          <w:color w:val="171717" w:themeColor="background2" w:themeShade="1A"/>
          <w:sz w:val="21"/>
          <w:szCs w:val="21"/>
          <w:shd w:val="clear" w:color="auto" w:fill="FFFFFF"/>
        </w:rPr>
        <w:t>.</w:t>
      </w:r>
    </w:p>
    <w:p w14:paraId="012D5A58" w14:textId="787E7835" w:rsidR="00511964" w:rsidRPr="006147D9" w:rsidRDefault="00AA0453" w:rsidP="00511964">
      <w:pPr>
        <w:pStyle w:val="a3"/>
        <w:spacing w:before="192" w:beforeAutospacing="0" w:after="192" w:afterAutospacing="0"/>
        <w:rPr>
          <w:rFonts w:ascii="Cambria" w:eastAsia="DengXian" w:hAnsi="Cambria" w:cs="Times New Roman"/>
          <w:color w:val="171717" w:themeColor="background2" w:themeShade="1A"/>
          <w:sz w:val="21"/>
          <w:szCs w:val="21"/>
        </w:rPr>
      </w:pPr>
      <w:r w:rsidRPr="006147D9">
        <w:rPr>
          <w:rFonts w:ascii="Cambria" w:hAnsi="Cambria" w:cs="Times New Roman"/>
          <w:color w:val="171717" w:themeColor="background2" w:themeShade="1A"/>
          <w:sz w:val="21"/>
          <w:szCs w:val="21"/>
          <w:shd w:val="clear" w:color="auto" w:fill="FFFFFF"/>
        </w:rPr>
        <w:t>* the p &lt; 0.05.</w:t>
      </w:r>
    </w:p>
    <w:p w14:paraId="0E5E66A7" w14:textId="50CB9767" w:rsidR="00F430DA" w:rsidRPr="006147D9" w:rsidRDefault="00F430DA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2D7C33EB" w14:textId="10E08E9F" w:rsidR="00DD586A" w:rsidRPr="006147D9" w:rsidRDefault="00DD586A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11CC31D9" w14:textId="61A0FB44" w:rsidR="00DD586A" w:rsidRPr="006147D9" w:rsidRDefault="00DD586A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77D44AB3" w14:textId="26429D8E" w:rsidR="00DD586A" w:rsidRPr="006147D9" w:rsidRDefault="00DD586A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64A3130C" w14:textId="5F1E919E" w:rsidR="00DD586A" w:rsidRPr="006147D9" w:rsidRDefault="00DD586A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32C54792" w14:textId="55577877" w:rsidR="00DD586A" w:rsidRPr="006147D9" w:rsidRDefault="00DD586A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17B55190" w14:textId="2206BD1C" w:rsidR="00DD586A" w:rsidRPr="006147D9" w:rsidRDefault="00DD586A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77918CB2" w14:textId="25CF8B57" w:rsidR="00DD586A" w:rsidRPr="006147D9" w:rsidRDefault="00DD586A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26215A0E" w14:textId="68888F91" w:rsidR="00DD586A" w:rsidRPr="006147D9" w:rsidRDefault="00DD586A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59F8AEA0" w14:textId="3450211E" w:rsidR="00DD586A" w:rsidRPr="006147D9" w:rsidRDefault="00DD586A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01135272" w14:textId="5D4E8B05" w:rsidR="00DD586A" w:rsidRPr="006147D9" w:rsidRDefault="00DD586A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29383415" w14:textId="6C32D2D5" w:rsidR="00DD586A" w:rsidRPr="006147D9" w:rsidRDefault="00DD586A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74CF20F9" w14:textId="4930EA5D" w:rsidR="00DD586A" w:rsidRPr="006147D9" w:rsidRDefault="00DD586A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40681AE3" w14:textId="5185F32A" w:rsidR="00DD586A" w:rsidRPr="006147D9" w:rsidRDefault="00DD586A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1ACE8533" w14:textId="7FD8C16D" w:rsidR="000B5472" w:rsidRPr="006147D9" w:rsidRDefault="000B5472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398172E0" w14:textId="3620D404" w:rsidR="000B5472" w:rsidRPr="006147D9" w:rsidRDefault="000B5472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247272B9" w14:textId="55A7F1CE" w:rsidR="000B5472" w:rsidRPr="006147D9" w:rsidRDefault="000B5472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26F45A6F" w14:textId="073E0BB3" w:rsidR="000B5472" w:rsidRPr="006147D9" w:rsidRDefault="000B5472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2B043C7A" w14:textId="26B1A71F" w:rsidR="0059518C" w:rsidRPr="006147D9" w:rsidRDefault="0059518C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08651A85" w14:textId="77777777" w:rsidR="00E36D2B" w:rsidRPr="006147D9" w:rsidRDefault="00E36D2B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1CE5BAD1" w14:textId="173BC719" w:rsidR="000B5472" w:rsidRDefault="000B5472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6B51C08D" w14:textId="77777777" w:rsidR="002C4D3C" w:rsidRPr="006147D9" w:rsidRDefault="002C4D3C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573BCD46" w14:textId="031739C8" w:rsidR="00802FB0" w:rsidRPr="006147D9" w:rsidRDefault="00883298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  <w:r w:rsidRPr="006147D9">
        <w:rPr>
          <w:rFonts w:ascii="Cambria" w:hAnsi="Cambria" w:cs="Times New Roman"/>
          <w:b/>
          <w:color w:val="171717" w:themeColor="background2" w:themeShade="1A"/>
          <w:szCs w:val="21"/>
          <w:shd w:val="clear" w:color="auto" w:fill="FFFFFF"/>
        </w:rPr>
        <w:lastRenderedPageBreak/>
        <w:t>T</w:t>
      </w:r>
      <w:r w:rsidR="00B10EE1">
        <w:rPr>
          <w:rFonts w:ascii="Cambria" w:hAnsi="Cambria" w:cs="Times New Roman"/>
          <w:b/>
          <w:color w:val="171717" w:themeColor="background2" w:themeShade="1A"/>
          <w:szCs w:val="21"/>
          <w:shd w:val="clear" w:color="auto" w:fill="FFFFFF"/>
        </w:rPr>
        <w:t>ABLE</w:t>
      </w:r>
      <w:r w:rsidRPr="006147D9">
        <w:rPr>
          <w:rFonts w:ascii="Cambria" w:hAnsi="Cambria" w:cs="Times New Roman"/>
          <w:b/>
          <w:color w:val="171717" w:themeColor="background2" w:themeShade="1A"/>
          <w:szCs w:val="21"/>
          <w:shd w:val="clear" w:color="auto" w:fill="FFFFFF"/>
        </w:rPr>
        <w:t xml:space="preserve"> </w:t>
      </w:r>
      <w:proofErr w:type="gramStart"/>
      <w:r w:rsidR="00B10EE1">
        <w:rPr>
          <w:rFonts w:ascii="Cambria" w:hAnsi="Cambria" w:cs="Times New Roman"/>
          <w:b/>
          <w:color w:val="171717" w:themeColor="background2" w:themeShade="1A"/>
          <w:szCs w:val="21"/>
          <w:shd w:val="clear" w:color="auto" w:fill="FFFFFF"/>
        </w:rPr>
        <w:t xml:space="preserve">2 </w:t>
      </w:r>
      <w:r w:rsidR="002C4D3C">
        <w:rPr>
          <w:rFonts w:ascii="Cambria" w:hAnsi="Cambria" w:cs="Times New Roman"/>
          <w:b/>
          <w:color w:val="171717" w:themeColor="background2" w:themeShade="1A"/>
          <w:szCs w:val="21"/>
          <w:shd w:val="clear" w:color="auto" w:fill="FFFFFF"/>
        </w:rPr>
        <w:t xml:space="preserve"> </w:t>
      </w:r>
      <w:r w:rsidRPr="006147D9"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>Baseline</w:t>
      </w:r>
      <w:proofErr w:type="gramEnd"/>
      <w:r w:rsidRPr="006147D9"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 xml:space="preserve"> Characteristics - Laboratory ﬁnding</w:t>
      </w:r>
      <w:r w:rsidR="00FA056C" w:rsidRPr="006147D9"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>s</w:t>
      </w:r>
    </w:p>
    <w:tbl>
      <w:tblPr>
        <w:tblW w:w="8789" w:type="dxa"/>
        <w:tblInd w:w="-284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20"/>
        <w:gridCol w:w="1548"/>
        <w:gridCol w:w="1571"/>
        <w:gridCol w:w="923"/>
        <w:gridCol w:w="1418"/>
        <w:gridCol w:w="1494"/>
        <w:gridCol w:w="915"/>
      </w:tblGrid>
      <w:tr w:rsidR="003C6F0D" w:rsidRPr="006147D9" w14:paraId="1CAD7717" w14:textId="77777777" w:rsidTr="00AE3F2A">
        <w:trPr>
          <w:trHeight w:val="57"/>
        </w:trPr>
        <w:tc>
          <w:tcPr>
            <w:tcW w:w="920" w:type="dxa"/>
            <w:vMerge w:val="restart"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4C99E6" w14:textId="77777777" w:rsidR="0089458A" w:rsidRPr="006147D9" w:rsidRDefault="0089458A" w:rsidP="0089458A">
            <w:pPr>
              <w:widowControl/>
              <w:jc w:val="center"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Variables</w:t>
            </w:r>
          </w:p>
          <w:p w14:paraId="2C56CB51" w14:textId="20B60705" w:rsidR="00054FC4" w:rsidRPr="006147D9" w:rsidRDefault="00054FC4" w:rsidP="0089458A">
            <w:pPr>
              <w:widowControl/>
              <w:jc w:val="center"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29DFF" w14:textId="77777777" w:rsidR="0089458A" w:rsidRPr="006147D9" w:rsidRDefault="0089458A" w:rsidP="0089458A">
            <w:pPr>
              <w:widowControl/>
              <w:jc w:val="left"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Overall population</w:t>
            </w:r>
          </w:p>
        </w:tc>
        <w:tc>
          <w:tcPr>
            <w:tcW w:w="923" w:type="dxa"/>
            <w:tcBorders>
              <w:top w:val="single" w:sz="12" w:space="0" w:color="auto"/>
              <w:left w:val="nil"/>
              <w:bottom w:val="single" w:sz="6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14:paraId="7D34029F" w14:textId="77777777" w:rsidR="0089458A" w:rsidRPr="006147D9" w:rsidRDefault="0089458A" w:rsidP="0089458A">
            <w:pPr>
              <w:widowControl/>
              <w:jc w:val="left"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827" w:type="dxa"/>
            <w:gridSpan w:val="3"/>
            <w:tcBorders>
              <w:top w:val="single" w:sz="12" w:space="0" w:color="auto"/>
              <w:left w:val="single" w:sz="48" w:space="0" w:color="FFFFFF" w:themeColor="background1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57670" w14:textId="77777777" w:rsidR="0089458A" w:rsidRPr="006147D9" w:rsidRDefault="0089458A" w:rsidP="0089458A">
            <w:pPr>
              <w:widowControl/>
              <w:jc w:val="left"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Propensity-matched population</w:t>
            </w:r>
          </w:p>
        </w:tc>
      </w:tr>
      <w:tr w:rsidR="00377432" w:rsidRPr="006147D9" w14:paraId="65D066CC" w14:textId="77777777" w:rsidTr="00AE3F2A">
        <w:trPr>
          <w:trHeight w:val="57"/>
        </w:trPr>
        <w:tc>
          <w:tcPr>
            <w:tcW w:w="920" w:type="dxa"/>
            <w:vMerge/>
            <w:tcBorders>
              <w:top w:val="nil"/>
              <w:left w:val="nil"/>
              <w:bottom w:val="single" w:sz="6" w:space="0" w:color="000000" w:themeColor="text1"/>
              <w:right w:val="nil"/>
            </w:tcBorders>
            <w:vAlign w:val="center"/>
            <w:hideMark/>
          </w:tcPr>
          <w:p w14:paraId="45BE5D03" w14:textId="77777777" w:rsidR="006A4A98" w:rsidRPr="006147D9" w:rsidRDefault="006A4A98" w:rsidP="0089458A">
            <w:pPr>
              <w:widowControl/>
              <w:jc w:val="left"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single" w:sz="6" w:space="0" w:color="auto"/>
              <w:left w:val="nil"/>
              <w:bottom w:val="single" w:sz="6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08D65BBD" w14:textId="11120C3C" w:rsidR="006A4A98" w:rsidRPr="006147D9" w:rsidRDefault="006773EA" w:rsidP="00B90C51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Low-LDL-C</w:t>
            </w:r>
          </w:p>
          <w:p w14:paraId="330303A6" w14:textId="228A128E" w:rsidR="006A4A98" w:rsidRPr="006147D9" w:rsidRDefault="006A4A98" w:rsidP="00B90C51">
            <w:pPr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(N = 1202)</w:t>
            </w:r>
          </w:p>
        </w:tc>
        <w:tc>
          <w:tcPr>
            <w:tcW w:w="1571" w:type="dxa"/>
            <w:tcBorders>
              <w:top w:val="single" w:sz="6" w:space="0" w:color="auto"/>
              <w:left w:val="nil"/>
              <w:bottom w:val="single" w:sz="6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79AE0B18" w14:textId="43C173F0" w:rsidR="006A4A98" w:rsidRPr="006147D9" w:rsidRDefault="006773EA" w:rsidP="00B90C51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High-LDL-C</w:t>
            </w:r>
          </w:p>
          <w:p w14:paraId="15AFBCB1" w14:textId="24EC81D2" w:rsidR="006A4A98" w:rsidRPr="006147D9" w:rsidRDefault="006A4A98" w:rsidP="00B90C51">
            <w:pPr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(N = 593)</w:t>
            </w:r>
          </w:p>
        </w:tc>
        <w:tc>
          <w:tcPr>
            <w:tcW w:w="923" w:type="dxa"/>
            <w:tcBorders>
              <w:top w:val="single" w:sz="6" w:space="0" w:color="auto"/>
              <w:left w:val="nil"/>
              <w:bottom w:val="single" w:sz="6" w:space="0" w:color="000000" w:themeColor="text1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11E68D6C" w14:textId="77777777" w:rsidR="006A4A98" w:rsidRPr="006147D9" w:rsidRDefault="006A4A98" w:rsidP="00B90C51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p value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8" w:space="0" w:color="FFFFFF" w:themeColor="background1"/>
              <w:bottom w:val="single" w:sz="6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1904A17D" w14:textId="5B59A4AA" w:rsidR="006A4A98" w:rsidRPr="006147D9" w:rsidRDefault="006773EA" w:rsidP="00B90C51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Low-LDL-C</w:t>
            </w:r>
          </w:p>
          <w:p w14:paraId="54CC27C6" w14:textId="61B402AA" w:rsidR="006A4A98" w:rsidRPr="006147D9" w:rsidRDefault="006A4A98" w:rsidP="00B90C51">
            <w:pPr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(N = 443)</w:t>
            </w:r>
          </w:p>
        </w:tc>
        <w:tc>
          <w:tcPr>
            <w:tcW w:w="1494" w:type="dxa"/>
            <w:tcBorders>
              <w:top w:val="single" w:sz="6" w:space="0" w:color="auto"/>
              <w:left w:val="nil"/>
              <w:bottom w:val="single" w:sz="6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1C7588BA" w14:textId="0DED46F5" w:rsidR="006A4A98" w:rsidRPr="006147D9" w:rsidRDefault="006773EA" w:rsidP="00B90C51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High-LDL-C</w:t>
            </w:r>
          </w:p>
          <w:p w14:paraId="371EB1F8" w14:textId="640B1B0A" w:rsidR="006A4A98" w:rsidRPr="006147D9" w:rsidRDefault="006A4A98" w:rsidP="00B90C51">
            <w:pPr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(N = 443)</w:t>
            </w:r>
          </w:p>
        </w:tc>
        <w:tc>
          <w:tcPr>
            <w:tcW w:w="915" w:type="dxa"/>
            <w:tcBorders>
              <w:top w:val="single" w:sz="6" w:space="0" w:color="auto"/>
              <w:left w:val="nil"/>
              <w:bottom w:val="single" w:sz="6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2F9E452C" w14:textId="77777777" w:rsidR="006A4A98" w:rsidRPr="006147D9" w:rsidRDefault="006A4A98" w:rsidP="00B90C51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p value</w:t>
            </w:r>
          </w:p>
        </w:tc>
      </w:tr>
      <w:tr w:rsidR="004E399D" w:rsidRPr="006147D9" w14:paraId="07E1DCCE" w14:textId="77777777" w:rsidTr="00AE3F2A">
        <w:trPr>
          <w:trHeight w:val="278"/>
        </w:trPr>
        <w:tc>
          <w:tcPr>
            <w:tcW w:w="8789" w:type="dxa"/>
            <w:gridSpan w:val="7"/>
            <w:tcBorders>
              <w:top w:val="single" w:sz="6" w:space="0" w:color="000000" w:themeColor="text1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142526" w14:textId="76662202" w:rsidR="004E399D" w:rsidRPr="006147D9" w:rsidRDefault="004E399D" w:rsidP="0089458A">
            <w:pPr>
              <w:widowControl/>
              <w:jc w:val="left"/>
              <w:rPr>
                <w:rFonts w:ascii="Cambria" w:eastAsia="Times New Roman" w:hAnsi="Cambria" w:cs="Times New Roman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LDL</w:t>
            </w:r>
            <w:r w:rsidR="00131724"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-C</w:t>
            </w: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 —mmol/L</w:t>
            </w:r>
            <w:r w:rsidR="00DE287C" w:rsidRPr="006147D9">
              <w:rPr>
                <w:rFonts w:ascii="Cambria" w:eastAsia="DengXian" w:hAnsi="Cambria" w:cs="Times New Roman"/>
                <w:color w:val="171717" w:themeColor="background2" w:themeShade="1A"/>
                <w:kern w:val="0"/>
                <w:sz w:val="18"/>
                <w:szCs w:val="18"/>
              </w:rPr>
              <w:t>†</w:t>
            </w:r>
          </w:p>
        </w:tc>
      </w:tr>
      <w:tr w:rsidR="004E399D" w:rsidRPr="006147D9" w14:paraId="69399CC7" w14:textId="77777777" w:rsidTr="00AE3F2A">
        <w:trPr>
          <w:trHeight w:val="278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06E93" w14:textId="5ED37D59" w:rsidR="0089458A" w:rsidRPr="006147D9" w:rsidRDefault="0089458A" w:rsidP="0089458A">
            <w:pPr>
              <w:widowControl/>
              <w:jc w:val="left"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EFE6" w14:textId="77777777" w:rsidR="0089458A" w:rsidRPr="006147D9" w:rsidRDefault="0089458A" w:rsidP="00B90C51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1.85 (1.49-2.21)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5ECA7" w14:textId="77777777" w:rsidR="0089458A" w:rsidRPr="006147D9" w:rsidRDefault="0089458A" w:rsidP="00B90C51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3.15(2.73-3.57)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46895" w14:textId="77777777" w:rsidR="0089458A" w:rsidRPr="006147D9" w:rsidRDefault="0089458A" w:rsidP="00B90C51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&lt; 0.001*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D0985" w14:textId="77777777" w:rsidR="0089458A" w:rsidRPr="006147D9" w:rsidRDefault="0089458A" w:rsidP="00B90C51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1.84(1.57-2.12)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2DEFF" w14:textId="77777777" w:rsidR="0089458A" w:rsidRPr="006147D9" w:rsidRDefault="0089458A" w:rsidP="00B90C51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3.2(2.76-3.64)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D8DF" w14:textId="77777777" w:rsidR="0089458A" w:rsidRPr="006147D9" w:rsidRDefault="0089458A" w:rsidP="00B90C51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&lt; 0.001*</w:t>
            </w:r>
          </w:p>
        </w:tc>
      </w:tr>
      <w:tr w:rsidR="004E399D" w:rsidRPr="006147D9" w14:paraId="6A78576D" w14:textId="77777777" w:rsidTr="00AE3F2A">
        <w:trPr>
          <w:trHeight w:val="278"/>
        </w:trPr>
        <w:tc>
          <w:tcPr>
            <w:tcW w:w="8789" w:type="dxa"/>
            <w:gridSpan w:val="7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B406DE" w14:textId="140FED72" w:rsidR="004E399D" w:rsidRPr="006147D9" w:rsidRDefault="004E399D" w:rsidP="0089458A">
            <w:pPr>
              <w:widowControl/>
              <w:jc w:val="left"/>
              <w:rPr>
                <w:rFonts w:ascii="Cambria" w:eastAsia="Times New Roman" w:hAnsi="Cambria" w:cs="Times New Roman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HDL</w:t>
            </w:r>
            <w:r w:rsidR="00131724"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-C </w:t>
            </w: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—mmol/L</w:t>
            </w:r>
            <w:r w:rsidR="00DE287C" w:rsidRPr="006147D9">
              <w:rPr>
                <w:rFonts w:ascii="Cambria" w:eastAsia="DengXian" w:hAnsi="Cambria" w:cs="Times New Roman"/>
                <w:color w:val="171717" w:themeColor="background2" w:themeShade="1A"/>
                <w:kern w:val="0"/>
                <w:sz w:val="18"/>
                <w:szCs w:val="18"/>
              </w:rPr>
              <w:t>†</w:t>
            </w:r>
          </w:p>
        </w:tc>
      </w:tr>
      <w:tr w:rsidR="004E399D" w:rsidRPr="006147D9" w14:paraId="03AC6586" w14:textId="77777777" w:rsidTr="00AE3F2A">
        <w:trPr>
          <w:trHeight w:val="278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ED634" w14:textId="14729EAA" w:rsidR="0089458A" w:rsidRPr="006147D9" w:rsidRDefault="0089458A" w:rsidP="0089458A">
            <w:pPr>
              <w:widowControl/>
              <w:jc w:val="left"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C480F" w14:textId="77777777" w:rsidR="0089458A" w:rsidRPr="006147D9" w:rsidRDefault="0089458A" w:rsidP="00B90C51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0.95(0.77-1.14)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51FA6" w14:textId="77777777" w:rsidR="0089458A" w:rsidRPr="006147D9" w:rsidRDefault="0089458A" w:rsidP="00B90C51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1.02(0.85-1.20)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BDF9F" w14:textId="77777777" w:rsidR="0089458A" w:rsidRPr="006147D9" w:rsidRDefault="0089458A" w:rsidP="00B90C51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&lt; 0.001*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EB911" w14:textId="77777777" w:rsidR="0089458A" w:rsidRPr="006147D9" w:rsidRDefault="0089458A" w:rsidP="00B90C51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0.98(0.84-1.12)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EA701" w14:textId="77777777" w:rsidR="0089458A" w:rsidRPr="006147D9" w:rsidRDefault="0089458A" w:rsidP="00B90C51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1.04(0.90-1.18)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9A56F" w14:textId="77777777" w:rsidR="0089458A" w:rsidRPr="006147D9" w:rsidRDefault="0089458A" w:rsidP="00B90C51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0.216</w:t>
            </w:r>
          </w:p>
        </w:tc>
      </w:tr>
      <w:tr w:rsidR="004E399D" w:rsidRPr="006147D9" w14:paraId="438631B2" w14:textId="77777777" w:rsidTr="00AE3F2A">
        <w:trPr>
          <w:trHeight w:val="278"/>
        </w:trPr>
        <w:tc>
          <w:tcPr>
            <w:tcW w:w="87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94198" w14:textId="6CE7BBDD" w:rsidR="004E399D" w:rsidRPr="006147D9" w:rsidRDefault="004E399D" w:rsidP="0089458A">
            <w:pPr>
              <w:widowControl/>
              <w:jc w:val="left"/>
              <w:rPr>
                <w:rFonts w:ascii="Cambria" w:eastAsia="Times New Roman" w:hAnsi="Cambria" w:cs="Times New Roman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TG—mmol/L</w:t>
            </w:r>
            <w:r w:rsidR="00DE287C" w:rsidRPr="006147D9">
              <w:rPr>
                <w:rFonts w:ascii="Cambria" w:eastAsia="DengXian" w:hAnsi="Cambria" w:cs="Times New Roman"/>
                <w:color w:val="171717" w:themeColor="background2" w:themeShade="1A"/>
                <w:kern w:val="0"/>
                <w:sz w:val="18"/>
                <w:szCs w:val="18"/>
              </w:rPr>
              <w:t>†</w:t>
            </w:r>
          </w:p>
        </w:tc>
      </w:tr>
      <w:tr w:rsidR="004E399D" w:rsidRPr="006147D9" w14:paraId="60CC2E95" w14:textId="77777777" w:rsidTr="00AE3F2A">
        <w:trPr>
          <w:trHeight w:val="278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D4C77" w14:textId="4A2DBCF5" w:rsidR="0089458A" w:rsidRPr="006147D9" w:rsidRDefault="0089458A" w:rsidP="0089458A">
            <w:pPr>
              <w:widowControl/>
              <w:jc w:val="left"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B19B0" w14:textId="77777777" w:rsidR="0089458A" w:rsidRPr="006147D9" w:rsidRDefault="0089458A" w:rsidP="00B90C51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1.28(0.85-1.72)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57870" w14:textId="77777777" w:rsidR="0089458A" w:rsidRPr="006147D9" w:rsidRDefault="0089458A" w:rsidP="00B90C51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1.55(1.12-1.98)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A3223" w14:textId="77777777" w:rsidR="0089458A" w:rsidRPr="006147D9" w:rsidRDefault="0089458A" w:rsidP="00B90C51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&lt; 0.001*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2D33" w14:textId="77777777" w:rsidR="0089458A" w:rsidRPr="006147D9" w:rsidRDefault="0089458A" w:rsidP="00B90C51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1.44(0.79-2.09)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CD81E" w14:textId="77777777" w:rsidR="0089458A" w:rsidRPr="006147D9" w:rsidRDefault="0089458A" w:rsidP="00B90C51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1.53(1.10-1.97)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BC186" w14:textId="77777777" w:rsidR="0089458A" w:rsidRPr="006147D9" w:rsidRDefault="0089458A" w:rsidP="00B90C51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&lt; 0.001*</w:t>
            </w:r>
          </w:p>
        </w:tc>
      </w:tr>
      <w:tr w:rsidR="004E399D" w:rsidRPr="006147D9" w14:paraId="63248085" w14:textId="77777777" w:rsidTr="00AE3F2A">
        <w:trPr>
          <w:trHeight w:val="278"/>
        </w:trPr>
        <w:tc>
          <w:tcPr>
            <w:tcW w:w="87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09B59" w14:textId="1BDDC14A" w:rsidR="004E399D" w:rsidRPr="006147D9" w:rsidRDefault="004E399D" w:rsidP="0089458A">
            <w:pPr>
              <w:widowControl/>
              <w:jc w:val="left"/>
              <w:rPr>
                <w:rFonts w:ascii="Cambria" w:eastAsia="Times New Roman" w:hAnsi="Cambria" w:cs="Times New Roman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eGFR (SD) — mL/min/1.73 m2</w:t>
            </w:r>
            <w:r w:rsidR="00B214AE"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‡†</w:t>
            </w:r>
          </w:p>
        </w:tc>
      </w:tr>
      <w:tr w:rsidR="004E399D" w:rsidRPr="006147D9" w14:paraId="54200775" w14:textId="77777777" w:rsidTr="00AE3F2A">
        <w:trPr>
          <w:trHeight w:val="278"/>
        </w:trPr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634A55" w14:textId="43C4322F" w:rsidR="0089458A" w:rsidRPr="006147D9" w:rsidRDefault="0089458A" w:rsidP="0089458A">
            <w:pPr>
              <w:widowControl/>
              <w:jc w:val="left"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275474" w14:textId="77777777" w:rsidR="0089458A" w:rsidRPr="006147D9" w:rsidRDefault="0089458A" w:rsidP="00B90C51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71.86(56.03-87.69)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DFBB1B" w14:textId="77777777" w:rsidR="0089458A" w:rsidRPr="006147D9" w:rsidRDefault="0089458A" w:rsidP="00B90C51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77.11(58.83-95.39)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9FA43" w14:textId="77777777" w:rsidR="0089458A" w:rsidRPr="006147D9" w:rsidRDefault="0089458A" w:rsidP="00B90C51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&lt; 0.001*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A2B50F" w14:textId="77777777" w:rsidR="0089458A" w:rsidRPr="006147D9" w:rsidRDefault="0089458A" w:rsidP="00B90C51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75.62(60.48-90.76)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08B653" w14:textId="77777777" w:rsidR="0089458A" w:rsidRPr="006147D9" w:rsidRDefault="0089458A" w:rsidP="00B90C51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79.83(60.44-99.21)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4758A2" w14:textId="77777777" w:rsidR="0089458A" w:rsidRPr="006147D9" w:rsidRDefault="0089458A" w:rsidP="00B90C51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0.362</w:t>
            </w:r>
          </w:p>
        </w:tc>
      </w:tr>
    </w:tbl>
    <w:p w14:paraId="78278F34" w14:textId="5C516CEA" w:rsidR="00421F17" w:rsidRPr="006147D9" w:rsidRDefault="00B10EE1">
      <w:pPr>
        <w:rPr>
          <w:rStyle w:val="md-line"/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  <w:r>
        <w:rPr>
          <w:rStyle w:val="md-line"/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 xml:space="preserve">Abbreviations: </w:t>
      </w:r>
      <w:r w:rsidR="00303441" w:rsidRPr="006147D9">
        <w:rPr>
          <w:rStyle w:val="md-line"/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>LDL</w:t>
      </w:r>
      <w:r w:rsidR="00131724" w:rsidRPr="006147D9">
        <w:rPr>
          <w:rStyle w:val="md-line"/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>-C</w:t>
      </w:r>
      <w:r>
        <w:rPr>
          <w:rStyle w:val="md-line"/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>,</w:t>
      </w:r>
      <w:r w:rsidR="004D06EA" w:rsidRPr="006147D9">
        <w:rPr>
          <w:rStyle w:val="md-line"/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 xml:space="preserve"> </w:t>
      </w:r>
      <w:r w:rsidR="00303441" w:rsidRPr="006147D9">
        <w:rPr>
          <w:rFonts w:ascii="Cambria" w:hAnsi="Cambria" w:cs="Times New Roman"/>
          <w:color w:val="171717" w:themeColor="background2" w:themeShade="1A"/>
          <w:szCs w:val="21"/>
        </w:rPr>
        <w:t>low density lipoprotein cholesterol</w:t>
      </w:r>
      <w:r>
        <w:rPr>
          <w:rFonts w:ascii="Cambria" w:hAnsi="Cambria" w:cs="Times New Roman"/>
          <w:color w:val="171717" w:themeColor="background2" w:themeShade="1A"/>
          <w:szCs w:val="21"/>
        </w:rPr>
        <w:t>;</w:t>
      </w:r>
      <w:r w:rsidR="00303441" w:rsidRPr="006147D9">
        <w:rPr>
          <w:rFonts w:ascii="Cambria" w:hAnsi="Cambria" w:cs="Times New Roman"/>
          <w:color w:val="171717" w:themeColor="background2" w:themeShade="1A"/>
          <w:szCs w:val="21"/>
        </w:rPr>
        <w:t xml:space="preserve"> </w:t>
      </w:r>
      <w:r w:rsidR="00841A6A" w:rsidRPr="006147D9"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  <w:t>HDL</w:t>
      </w:r>
      <w:r w:rsidR="00131724" w:rsidRPr="006147D9"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  <w:t>-C</w:t>
      </w:r>
      <w: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  <w:t>,</w:t>
      </w:r>
      <w:r w:rsidR="00841A6A" w:rsidRPr="006147D9">
        <w:rPr>
          <w:rFonts w:ascii="Cambria" w:hAnsi="Cambria" w:cs="Times New Roman"/>
          <w:color w:val="171717" w:themeColor="background2" w:themeShade="1A"/>
          <w:szCs w:val="21"/>
        </w:rPr>
        <w:t xml:space="preserve"> </w:t>
      </w:r>
      <w:r w:rsidR="007974DD" w:rsidRPr="006147D9">
        <w:rPr>
          <w:rFonts w:ascii="Cambria" w:hAnsi="Cambria" w:cs="Times New Roman"/>
          <w:color w:val="171717" w:themeColor="background2" w:themeShade="1A"/>
          <w:szCs w:val="21"/>
        </w:rPr>
        <w:t>high density lipoprotein cholesterol</w:t>
      </w:r>
      <w:r>
        <w:rPr>
          <w:rFonts w:ascii="Cambria" w:hAnsi="Cambria" w:cs="Times New Roman"/>
          <w:color w:val="171717" w:themeColor="background2" w:themeShade="1A"/>
          <w:szCs w:val="21"/>
        </w:rPr>
        <w:t>;</w:t>
      </w:r>
      <w:r w:rsidR="00841A6A" w:rsidRPr="006147D9">
        <w:rPr>
          <w:rFonts w:ascii="Cambria" w:hAnsi="Cambria" w:cs="Times New Roman"/>
          <w:color w:val="171717" w:themeColor="background2" w:themeShade="1A"/>
          <w:szCs w:val="21"/>
        </w:rPr>
        <w:t xml:space="preserve"> TG</w:t>
      </w:r>
      <w:r>
        <w:rPr>
          <w:rFonts w:ascii="Cambria" w:hAnsi="Cambria" w:cs="Times New Roman"/>
          <w:color w:val="171717" w:themeColor="background2" w:themeShade="1A"/>
          <w:szCs w:val="21"/>
        </w:rPr>
        <w:t>,</w:t>
      </w:r>
      <w:r w:rsidR="00841A6A" w:rsidRPr="006147D9">
        <w:rPr>
          <w:rFonts w:ascii="Cambria" w:hAnsi="Cambria" w:cs="Times New Roman"/>
          <w:color w:val="171717" w:themeColor="background2" w:themeShade="1A"/>
          <w:szCs w:val="21"/>
        </w:rPr>
        <w:t xml:space="preserve"> </w:t>
      </w:r>
      <w:r w:rsidR="00005949" w:rsidRPr="006147D9">
        <w:rPr>
          <w:rFonts w:ascii="Cambria" w:hAnsi="Cambria" w:cs="Times New Roman"/>
          <w:color w:val="171717" w:themeColor="background2" w:themeShade="1A"/>
          <w:szCs w:val="21"/>
        </w:rPr>
        <w:t>triglyceride</w:t>
      </w:r>
      <w:r>
        <w:rPr>
          <w:rFonts w:ascii="Cambria" w:hAnsi="Cambria" w:cs="Times New Roman"/>
          <w:color w:val="171717" w:themeColor="background2" w:themeShade="1A"/>
          <w:szCs w:val="21"/>
        </w:rPr>
        <w:t>;</w:t>
      </w:r>
      <w:r w:rsidR="00303441" w:rsidRPr="006147D9">
        <w:rPr>
          <w:rFonts w:ascii="Cambria" w:hAnsi="Cambria" w:cs="Times New Roman"/>
          <w:color w:val="171717" w:themeColor="background2" w:themeShade="1A"/>
          <w:szCs w:val="21"/>
        </w:rPr>
        <w:t xml:space="preserve"> </w:t>
      </w:r>
      <w:r w:rsidR="00303441" w:rsidRPr="006147D9">
        <w:rPr>
          <w:rStyle w:val="md-line"/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>eGFR</w:t>
      </w:r>
      <w:r>
        <w:rPr>
          <w:rStyle w:val="md-line"/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>,</w:t>
      </w:r>
      <w:r w:rsidR="00303441" w:rsidRPr="006147D9">
        <w:rPr>
          <w:rStyle w:val="md-line"/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 xml:space="preserve"> estimated glomerular ﬁltration rate.</w:t>
      </w:r>
    </w:p>
    <w:p w14:paraId="7C4C895F" w14:textId="153BC572" w:rsidR="00DE287C" w:rsidRPr="006147D9" w:rsidRDefault="00B214AE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  <w:r w:rsidRPr="006147D9"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  <w:t>†Median (Interquartile range).</w:t>
      </w:r>
      <w:r w:rsidR="00573050" w:rsidRPr="006147D9">
        <w:rPr>
          <w:rFonts w:ascii="Cambria" w:hAnsi="Cambria"/>
        </w:rPr>
        <w:t xml:space="preserve"> </w:t>
      </w:r>
    </w:p>
    <w:p w14:paraId="30F103C6" w14:textId="75033063" w:rsidR="004A491B" w:rsidRPr="006147D9" w:rsidRDefault="00B214AE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  <w:r w:rsidRPr="006147D9">
        <w:rPr>
          <w:rFonts w:ascii="Cambria" w:eastAsia="DengXian" w:hAnsi="Cambria" w:cs="Times New Roman"/>
          <w:color w:val="171717"/>
          <w:kern w:val="0"/>
          <w:sz w:val="18"/>
          <w:szCs w:val="18"/>
        </w:rPr>
        <w:t>‡</w:t>
      </w:r>
      <w:r w:rsidR="00883298" w:rsidRPr="006147D9"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 xml:space="preserve"> eGFR is estimated by using the Modiﬁcation of Diet in Renal Disease equation</w:t>
      </w:r>
      <w:r w:rsidR="0039563B" w:rsidRPr="006147D9"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>.</w:t>
      </w:r>
    </w:p>
    <w:p w14:paraId="08BC5E29" w14:textId="78CEEC63" w:rsidR="00F628DE" w:rsidRPr="006147D9" w:rsidRDefault="00F628DE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  <w:r w:rsidRPr="006147D9"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>* the p &lt; 0.05</w:t>
      </w:r>
      <w:r w:rsidR="00131724" w:rsidRPr="006147D9"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>0</w:t>
      </w:r>
      <w:r w:rsidRPr="006147D9"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>.</w:t>
      </w:r>
    </w:p>
    <w:p w14:paraId="6317BFE0" w14:textId="74DC4EF4" w:rsidR="004A491B" w:rsidRPr="006147D9" w:rsidRDefault="004A491B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42CDD456" w14:textId="6D57BE15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5A241979" w14:textId="35F21BE3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2424A0A5" w14:textId="2C3390DE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51494D98" w14:textId="04329BDC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24920005" w14:textId="10178308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710A7AC2" w14:textId="3A144ECD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381FDEB9" w14:textId="39B0274A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35E011AF" w14:textId="70132B35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2A6D78C8" w14:textId="44BF531E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7AE48428" w14:textId="2BAEDFB4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6EC8C8E4" w14:textId="27CFBE21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67BDAFA8" w14:textId="7308BEA8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31873230" w14:textId="2A9D185B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67BC2862" w14:textId="386622D3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4152CFB8" w14:textId="20F7A23C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571789D9" w14:textId="3D10308F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3123B8EA" w14:textId="4279B01D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516630D6" w14:textId="586C5596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4F1C3F25" w14:textId="09AF5E9D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27CD5D4A" w14:textId="0C80B8D3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413F416E" w14:textId="32BDFD71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3DB0A1C8" w14:textId="0CB18F6A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554F59EC" w14:textId="77777777" w:rsidR="001862C3" w:rsidRPr="006147D9" w:rsidRDefault="001862C3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6E33E77A" w14:textId="3C028B0E" w:rsidR="00232D1E" w:rsidRDefault="00232D1E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489D7020" w14:textId="77777777" w:rsidR="002C4D3C" w:rsidRPr="006147D9" w:rsidRDefault="002C4D3C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12936582" w14:textId="1DD42C48" w:rsidR="00DD586A" w:rsidRPr="006147D9" w:rsidRDefault="00232D1E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  <w:r w:rsidRPr="006147D9">
        <w:rPr>
          <w:rFonts w:ascii="Cambria" w:hAnsi="Cambria" w:cs="Times New Roman"/>
          <w:b/>
          <w:color w:val="171717" w:themeColor="background2" w:themeShade="1A"/>
          <w:szCs w:val="21"/>
          <w:shd w:val="clear" w:color="auto" w:fill="FFFFFF"/>
        </w:rPr>
        <w:lastRenderedPageBreak/>
        <w:t>T</w:t>
      </w:r>
      <w:r w:rsidR="00B10EE1">
        <w:rPr>
          <w:rFonts w:ascii="Cambria" w:hAnsi="Cambria" w:cs="Times New Roman"/>
          <w:b/>
          <w:color w:val="171717" w:themeColor="background2" w:themeShade="1A"/>
          <w:szCs w:val="21"/>
          <w:shd w:val="clear" w:color="auto" w:fill="FFFFFF"/>
        </w:rPr>
        <w:t>ABLE</w:t>
      </w:r>
      <w:r w:rsidRPr="006147D9">
        <w:rPr>
          <w:rFonts w:ascii="Cambria" w:hAnsi="Cambria" w:cs="Times New Roman"/>
          <w:b/>
          <w:color w:val="171717" w:themeColor="background2" w:themeShade="1A"/>
          <w:szCs w:val="21"/>
          <w:shd w:val="clear" w:color="auto" w:fill="FFFFFF"/>
        </w:rPr>
        <w:t xml:space="preserve"> </w:t>
      </w:r>
      <w:r w:rsidR="00FA056C" w:rsidRPr="006147D9">
        <w:rPr>
          <w:rFonts w:ascii="Cambria" w:hAnsi="Cambria" w:cs="Times New Roman"/>
          <w:b/>
          <w:color w:val="171717" w:themeColor="background2" w:themeShade="1A"/>
          <w:szCs w:val="21"/>
          <w:shd w:val="clear" w:color="auto" w:fill="FFFFFF"/>
        </w:rPr>
        <w:t>3</w:t>
      </w:r>
      <w:r w:rsidR="00B10EE1">
        <w:rPr>
          <w:rFonts w:ascii="Cambria" w:hAnsi="Cambria" w:cs="Times New Roman"/>
          <w:b/>
          <w:color w:val="171717" w:themeColor="background2" w:themeShade="1A"/>
          <w:szCs w:val="21"/>
          <w:shd w:val="clear" w:color="auto" w:fill="FFFFFF"/>
        </w:rPr>
        <w:t xml:space="preserve"> </w:t>
      </w:r>
      <w:r w:rsidR="00FA056C" w:rsidRPr="006147D9"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 xml:space="preserve">Baseline Characteristics - </w:t>
      </w:r>
      <w:r w:rsidR="00BF32EB" w:rsidRPr="006147D9"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  <w:t>Coronary angiographic and procedural ﬁndings</w:t>
      </w:r>
    </w:p>
    <w:tbl>
      <w:tblPr>
        <w:tblW w:w="9782" w:type="dxa"/>
        <w:tblInd w:w="-284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552"/>
        <w:gridCol w:w="1560"/>
        <w:gridCol w:w="1275"/>
        <w:gridCol w:w="851"/>
        <w:gridCol w:w="1276"/>
        <w:gridCol w:w="1275"/>
        <w:gridCol w:w="993"/>
      </w:tblGrid>
      <w:tr w:rsidR="00C12FD5" w:rsidRPr="006147D9" w14:paraId="3E6BFBAA" w14:textId="77777777" w:rsidTr="0061710D">
        <w:trPr>
          <w:trHeight w:val="278"/>
        </w:trPr>
        <w:tc>
          <w:tcPr>
            <w:tcW w:w="2552" w:type="dxa"/>
            <w:vMerge w:val="restart"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41DAE2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Variables</w:t>
            </w:r>
          </w:p>
          <w:p w14:paraId="0929EFA3" w14:textId="64BB5AA9" w:rsidR="00691236" w:rsidRPr="006147D9" w:rsidRDefault="00691236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N (%)</w:t>
            </w:r>
          </w:p>
        </w:tc>
        <w:tc>
          <w:tcPr>
            <w:tcW w:w="2835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DB0779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Overall population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6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75BA7CD4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4" w:type="dxa"/>
            <w:gridSpan w:val="3"/>
            <w:tcBorders>
              <w:top w:val="single" w:sz="12" w:space="0" w:color="auto"/>
              <w:left w:val="single" w:sz="48" w:space="0" w:color="FFFFFF" w:themeColor="background1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53C2FC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Propensity-matched population</w:t>
            </w:r>
          </w:p>
        </w:tc>
      </w:tr>
      <w:tr w:rsidR="00F06516" w:rsidRPr="006147D9" w14:paraId="4BEAC05C" w14:textId="77777777" w:rsidTr="0061710D">
        <w:trPr>
          <w:trHeight w:val="1530"/>
        </w:trPr>
        <w:tc>
          <w:tcPr>
            <w:tcW w:w="2552" w:type="dxa"/>
            <w:vMerge/>
            <w:tcBorders>
              <w:top w:val="nil"/>
              <w:left w:val="nil"/>
              <w:bottom w:val="single" w:sz="6" w:space="0" w:color="000000" w:themeColor="text1"/>
              <w:right w:val="nil"/>
            </w:tcBorders>
            <w:vAlign w:val="center"/>
            <w:hideMark/>
          </w:tcPr>
          <w:p w14:paraId="4FA2727D" w14:textId="77777777" w:rsidR="008904D1" w:rsidRPr="006147D9" w:rsidRDefault="008904D1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0A45BEA1" w14:textId="6F080586" w:rsidR="008904D1" w:rsidRPr="006147D9" w:rsidRDefault="006773EA" w:rsidP="00E35343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Low-LDL-C</w:t>
            </w:r>
          </w:p>
          <w:p w14:paraId="260EF510" w14:textId="30AECC8E" w:rsidR="008904D1" w:rsidRPr="006147D9" w:rsidRDefault="008904D1" w:rsidP="00E35343">
            <w:pPr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(N = 1202)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41756A79" w14:textId="2994A3AA" w:rsidR="008904D1" w:rsidRPr="006147D9" w:rsidRDefault="006773EA" w:rsidP="00E35343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High-LDL-C</w:t>
            </w:r>
          </w:p>
          <w:p w14:paraId="26DC1D83" w14:textId="508273D4" w:rsidR="008904D1" w:rsidRPr="006147D9" w:rsidRDefault="008904D1" w:rsidP="00E35343">
            <w:pPr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(N = 593)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000000" w:themeColor="text1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6564F4FE" w14:textId="77777777" w:rsidR="008904D1" w:rsidRPr="006147D9" w:rsidRDefault="008904D1" w:rsidP="00E35343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p value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8" w:space="0" w:color="FFFFFF" w:themeColor="background1"/>
              <w:bottom w:val="single" w:sz="6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788975FA" w14:textId="302B4340" w:rsidR="008904D1" w:rsidRPr="006147D9" w:rsidRDefault="006773EA" w:rsidP="00E35343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Low-LDL-C</w:t>
            </w:r>
          </w:p>
          <w:p w14:paraId="6D179C45" w14:textId="4C7FE8F6" w:rsidR="008904D1" w:rsidRPr="006147D9" w:rsidRDefault="008904D1" w:rsidP="00E35343">
            <w:pPr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(N = 443)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73B373EB" w14:textId="2647AE72" w:rsidR="008904D1" w:rsidRPr="006147D9" w:rsidRDefault="006773EA" w:rsidP="00E35343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High-LDL-C</w:t>
            </w:r>
          </w:p>
          <w:p w14:paraId="3DD307C4" w14:textId="4672EC71" w:rsidR="008904D1" w:rsidRPr="006147D9" w:rsidRDefault="008904D1" w:rsidP="00E35343">
            <w:pPr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(N = 443)</w:t>
            </w:r>
          </w:p>
        </w:tc>
        <w:tc>
          <w:tcPr>
            <w:tcW w:w="993" w:type="dxa"/>
            <w:tcBorders>
              <w:top w:val="single" w:sz="6" w:space="0" w:color="auto"/>
              <w:left w:val="nil"/>
              <w:bottom w:val="single" w:sz="6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63DDB80D" w14:textId="77777777" w:rsidR="008904D1" w:rsidRPr="006147D9" w:rsidRDefault="008904D1" w:rsidP="00E35343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p value</w:t>
            </w:r>
          </w:p>
        </w:tc>
      </w:tr>
      <w:tr w:rsidR="00691236" w:rsidRPr="006147D9" w14:paraId="52FEBF5E" w14:textId="77777777" w:rsidTr="0061710D">
        <w:trPr>
          <w:trHeight w:val="278"/>
        </w:trPr>
        <w:tc>
          <w:tcPr>
            <w:tcW w:w="2552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BD392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Multivessel coronary disease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04E8C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186/1147(16.2)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227C6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108/558(19.4)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CCBBF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0.107</w:t>
            </w:r>
          </w:p>
        </w:tc>
        <w:tc>
          <w:tcPr>
            <w:tcW w:w="1276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18AF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91/443(20.5)</w:t>
            </w:r>
          </w:p>
        </w:tc>
        <w:tc>
          <w:tcPr>
            <w:tcW w:w="1275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CB131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91/443(20.5)</w:t>
            </w:r>
          </w:p>
        </w:tc>
        <w:tc>
          <w:tcPr>
            <w:tcW w:w="993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66071" w14:textId="55F552AA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</w:t>
            </w:r>
            <w:r w:rsidR="00691236"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.000</w:t>
            </w:r>
          </w:p>
        </w:tc>
      </w:tr>
      <w:tr w:rsidR="00E35343" w:rsidRPr="006147D9" w14:paraId="29E45417" w14:textId="77777777" w:rsidTr="0061710D">
        <w:trPr>
          <w:trHeight w:val="278"/>
        </w:trPr>
        <w:tc>
          <w:tcPr>
            <w:tcW w:w="9782" w:type="dxa"/>
            <w:gridSpan w:val="7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65C932" w14:textId="7FDDB42D" w:rsidR="00E35343" w:rsidRPr="006147D9" w:rsidRDefault="00E35343" w:rsidP="00E35343">
            <w:pPr>
              <w:widowControl/>
              <w:rPr>
                <w:rFonts w:ascii="Cambria" w:eastAsia="Times New Roman" w:hAnsi="Cambria" w:cs="Times New Roman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Culprit vessel</w:t>
            </w:r>
          </w:p>
        </w:tc>
      </w:tr>
      <w:tr w:rsidR="00691236" w:rsidRPr="006147D9" w14:paraId="1CED1F7C" w14:textId="77777777" w:rsidTr="0061710D">
        <w:trPr>
          <w:trHeight w:val="27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AB06D" w14:textId="77777777" w:rsidR="008440B3" w:rsidRPr="006147D9" w:rsidRDefault="008440B3" w:rsidP="00DB166B">
            <w:pPr>
              <w:widowControl/>
              <w:ind w:firstLineChars="100" w:firstLine="180"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Left main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F16AB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104/1147(9.1)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58C7E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49/558(8.8)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B86AD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0.846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A90F0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42/443(9.5)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704DB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39/443(8.8)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20BD8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0.727</w:t>
            </w:r>
          </w:p>
        </w:tc>
      </w:tr>
      <w:tr w:rsidR="00691236" w:rsidRPr="006147D9" w14:paraId="3B71BAB8" w14:textId="77777777" w:rsidTr="0061710D">
        <w:trPr>
          <w:trHeight w:val="27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D8C7F" w14:textId="77777777" w:rsidR="008440B3" w:rsidRPr="006147D9" w:rsidRDefault="008440B3" w:rsidP="00DB166B">
            <w:pPr>
              <w:widowControl/>
              <w:ind w:firstLineChars="100" w:firstLine="180"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Left anterior descending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3C3AD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718/1147(62.6)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667A9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344/558(61.6)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3B7DA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0.704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11C83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271/443(61.2)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F79E0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278/443(62.8)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34743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0.628</w:t>
            </w:r>
          </w:p>
        </w:tc>
      </w:tr>
      <w:tr w:rsidR="00691236" w:rsidRPr="006147D9" w14:paraId="5D38FD38" w14:textId="77777777" w:rsidTr="0061710D">
        <w:trPr>
          <w:trHeight w:val="27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4F578" w14:textId="77777777" w:rsidR="008440B3" w:rsidRPr="006147D9" w:rsidRDefault="008440B3" w:rsidP="00DB166B">
            <w:pPr>
              <w:widowControl/>
              <w:ind w:firstLineChars="100" w:firstLine="180"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Left circumﬂex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9C127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220/1147(19.2)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3D6B9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134/558(24.0)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16414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0.021*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92A2F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114/443(25.7)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41B87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107/443(24.2)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0C456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0.587</w:t>
            </w:r>
          </w:p>
        </w:tc>
      </w:tr>
      <w:tr w:rsidR="00691236" w:rsidRPr="006147D9" w14:paraId="19B09CB2" w14:textId="77777777" w:rsidTr="0061710D">
        <w:trPr>
          <w:trHeight w:val="27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72F6C" w14:textId="77777777" w:rsidR="008440B3" w:rsidRPr="006147D9" w:rsidRDefault="008440B3" w:rsidP="00DB166B">
            <w:pPr>
              <w:widowControl/>
              <w:ind w:firstLineChars="100" w:firstLine="180"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Right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33986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278/1147(24.2)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283BF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136/558(24.4)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52DD2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0.951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BBFAA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106/443(23.9)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47F4D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104/443(23.5)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47CB2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0.874</w:t>
            </w:r>
          </w:p>
        </w:tc>
      </w:tr>
      <w:tr w:rsidR="00691236" w:rsidRPr="006147D9" w14:paraId="5BF680FB" w14:textId="77777777" w:rsidTr="0061710D">
        <w:trPr>
          <w:trHeight w:val="27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81F06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Lesion type B2 or C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AF229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1067/1108(96.3)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8E596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502/529(94.9)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C8B66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0.183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CB514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404/430(94.0)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B7EC2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398/420(94.8)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A9EAF" w14:textId="3F712B62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0.61</w:t>
            </w:r>
            <w:r w:rsidR="00691236"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91236" w:rsidRPr="006147D9" w14:paraId="62FF50A9" w14:textId="77777777" w:rsidTr="0061710D">
        <w:trPr>
          <w:trHeight w:val="27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EFC1F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Calcification lesion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AEA0F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191/1111(17.2)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20F27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95/534(17.8)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C0C81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0.764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899B1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81/431(18.8)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CD334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75/425(17.6)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F1256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0.664</w:t>
            </w:r>
          </w:p>
        </w:tc>
      </w:tr>
      <w:tr w:rsidR="00691236" w:rsidRPr="006147D9" w14:paraId="3D8A9BD5" w14:textId="77777777" w:rsidTr="0061710D">
        <w:trPr>
          <w:trHeight w:val="27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655BB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CTO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3EE2F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52/1111(4.7)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52F4D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37/536(6.9)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49FF3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0.062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8F43B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17/431(3.9)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E7C29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27/424(6.4)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E0D21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0.109</w:t>
            </w:r>
          </w:p>
        </w:tc>
      </w:tr>
      <w:tr w:rsidR="00691236" w:rsidRPr="006147D9" w14:paraId="01A00B74" w14:textId="77777777" w:rsidTr="0061710D">
        <w:trPr>
          <w:trHeight w:val="27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902FD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Primary PCI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457C2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251/1147(21.9)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A1FE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93/558(16.7)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E520E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0.012*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ED98B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80/443(18.1)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CB071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72/443(16.3)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9BE23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0.476</w:t>
            </w:r>
          </w:p>
        </w:tc>
      </w:tr>
      <w:tr w:rsidR="00691236" w:rsidRPr="006147D9" w14:paraId="27DF3283" w14:textId="77777777" w:rsidTr="0061710D">
        <w:trPr>
          <w:trHeight w:val="27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4003C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Stent length (mm)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9E640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39±22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2EC36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40±23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C879E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0.209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B947D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53±28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C3BF3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55±25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4D07E" w14:textId="09D15B50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0.11</w:t>
            </w:r>
            <w:r w:rsidR="00E5740B"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91236" w:rsidRPr="006147D9" w14:paraId="544A13E4" w14:textId="77777777" w:rsidTr="0061710D">
        <w:trPr>
          <w:trHeight w:val="27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1A308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Stent diameter≥ 2.5 mm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842C6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934/1147(81.4)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669BD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457/558(81.9)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36042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0.814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0B3B2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352/443(79.5)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A86D5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362/443(81.7)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38B0C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0.396</w:t>
            </w:r>
          </w:p>
        </w:tc>
      </w:tr>
      <w:tr w:rsidR="00691236" w:rsidRPr="006147D9" w14:paraId="05691BEB" w14:textId="77777777" w:rsidTr="0061710D">
        <w:trPr>
          <w:trHeight w:val="278"/>
        </w:trPr>
        <w:tc>
          <w:tcPr>
            <w:tcW w:w="255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E9E513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Stent number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05DC2E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2.3±1.0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DC6EC1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2.2±0.8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91DC19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0.498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B587C5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2.2±0.9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265E7F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2.2±0.9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03DE04" w14:textId="77777777" w:rsidR="008440B3" w:rsidRPr="006147D9" w:rsidRDefault="008440B3" w:rsidP="00E35343">
            <w:pPr>
              <w:widowControl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0.762</w:t>
            </w:r>
          </w:p>
        </w:tc>
      </w:tr>
    </w:tbl>
    <w:p w14:paraId="5366F2CA" w14:textId="1AC01D18" w:rsidR="0039563B" w:rsidRPr="006147D9" w:rsidRDefault="00B10EE1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  <w:r>
        <w:rPr>
          <w:rStyle w:val="md-line"/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 xml:space="preserve">Abbreviations: </w:t>
      </w:r>
      <w:r w:rsidR="00861378" w:rsidRPr="006147D9"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  <w:t>CTO</w:t>
      </w:r>
      <w: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  <w:t xml:space="preserve">, </w:t>
      </w:r>
      <w:r w:rsidR="00861378" w:rsidRPr="006147D9"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  <w:t>chronic</w:t>
      </w:r>
      <w:r w:rsidR="00396309" w:rsidRPr="006147D9"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  <w:t xml:space="preserve"> total occlusion</w:t>
      </w:r>
      <w:r w:rsidR="0039563B" w:rsidRPr="006147D9"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  <w:t>.</w:t>
      </w:r>
    </w:p>
    <w:p w14:paraId="70E9C3B1" w14:textId="04AFAFD4" w:rsidR="00BF32EB" w:rsidRPr="006147D9" w:rsidRDefault="00861378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  <w:r w:rsidRPr="006147D9"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>* the p &lt; 0.05</w:t>
      </w:r>
      <w:r w:rsidR="00233DDE" w:rsidRPr="006147D9"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>0</w:t>
      </w:r>
      <w:r w:rsidRPr="006147D9"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>.</w:t>
      </w:r>
    </w:p>
    <w:p w14:paraId="0D9C49BD" w14:textId="3FC5861E" w:rsidR="00BF32EB" w:rsidRPr="006147D9" w:rsidRDefault="00BF32EB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17B6F80E" w14:textId="6156EBAE" w:rsidR="00BF32EB" w:rsidRPr="006147D9" w:rsidRDefault="00BF32EB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5E9C4DB2" w14:textId="2D5D9D8D" w:rsidR="00BF32EB" w:rsidRPr="006147D9" w:rsidRDefault="00BF32EB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7B71F5AC" w14:textId="5DEAC450" w:rsidR="00BF32EB" w:rsidRPr="006147D9" w:rsidRDefault="00BF32EB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127A2295" w14:textId="728D68B8" w:rsidR="00BF32EB" w:rsidRPr="006147D9" w:rsidRDefault="00BF32EB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35F75CB2" w14:textId="343CB393" w:rsidR="00BF32EB" w:rsidRPr="006147D9" w:rsidRDefault="00BF32EB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17C1EB77" w14:textId="0572FEA3" w:rsidR="000B5472" w:rsidRPr="006147D9" w:rsidRDefault="000B5472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279F74DB" w14:textId="2B52AD88" w:rsidR="000B5472" w:rsidRPr="006147D9" w:rsidRDefault="000B5472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1DD8082F" w14:textId="03BEBB62" w:rsidR="000B5472" w:rsidRPr="006147D9" w:rsidRDefault="000B5472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47275CF1" w14:textId="4C25682F" w:rsidR="000B5472" w:rsidRPr="006147D9" w:rsidRDefault="000B5472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521ABCB9" w14:textId="66C6E364" w:rsidR="000B5472" w:rsidRPr="006147D9" w:rsidRDefault="000B5472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770E5987" w14:textId="7C8D86F3" w:rsidR="000B5472" w:rsidRPr="006147D9" w:rsidRDefault="000B5472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5C7F22AB" w14:textId="1461E6D8" w:rsidR="000B5472" w:rsidRPr="006147D9" w:rsidRDefault="000B5472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0AE1B574" w14:textId="0FFAD379" w:rsidR="000B5472" w:rsidRPr="006147D9" w:rsidRDefault="000B5472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248F8281" w14:textId="308E5586" w:rsidR="000B5472" w:rsidRPr="006147D9" w:rsidRDefault="000B5472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5F73B42B" w14:textId="74D3C230" w:rsidR="000B5472" w:rsidRPr="006147D9" w:rsidRDefault="000B5472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7ACDB334" w14:textId="4060D730" w:rsidR="000B5472" w:rsidRPr="006147D9" w:rsidRDefault="000B5472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5E2C2BAB" w14:textId="5F943A27" w:rsidR="000B5472" w:rsidRPr="006147D9" w:rsidRDefault="000B5472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5487CDBF" w14:textId="78ED0195" w:rsidR="000B5472" w:rsidRPr="006147D9" w:rsidRDefault="000B5472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2D36B0B9" w14:textId="262686F2" w:rsidR="000B5472" w:rsidRPr="006147D9" w:rsidRDefault="000B5472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00C4D5B4" w14:textId="094833BD" w:rsidR="00FA056C" w:rsidRDefault="00FA056C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31F5948E" w14:textId="77777777" w:rsidR="002C4D3C" w:rsidRPr="006147D9" w:rsidRDefault="002C4D3C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33E1C404" w14:textId="0885FC04" w:rsidR="00D743C5" w:rsidRPr="006147D9" w:rsidRDefault="00D743C5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  <w:r w:rsidRPr="006147D9">
        <w:rPr>
          <w:rFonts w:ascii="Cambria" w:hAnsi="Cambria" w:cs="Times New Roman"/>
          <w:b/>
          <w:color w:val="171717" w:themeColor="background2" w:themeShade="1A"/>
          <w:szCs w:val="21"/>
          <w:shd w:val="clear" w:color="auto" w:fill="FFFFFF"/>
        </w:rPr>
        <w:lastRenderedPageBreak/>
        <w:t>T</w:t>
      </w:r>
      <w:r w:rsidR="00B10EE1">
        <w:rPr>
          <w:rFonts w:ascii="Cambria" w:hAnsi="Cambria" w:cs="Times New Roman"/>
          <w:b/>
          <w:color w:val="171717" w:themeColor="background2" w:themeShade="1A"/>
          <w:szCs w:val="21"/>
          <w:shd w:val="clear" w:color="auto" w:fill="FFFFFF"/>
        </w:rPr>
        <w:t>ABLE</w:t>
      </w:r>
      <w:r w:rsidRPr="006147D9">
        <w:rPr>
          <w:rFonts w:ascii="Cambria" w:hAnsi="Cambria" w:cs="Times New Roman"/>
          <w:b/>
          <w:color w:val="171717" w:themeColor="background2" w:themeShade="1A"/>
          <w:szCs w:val="21"/>
          <w:shd w:val="clear" w:color="auto" w:fill="FFFFFF"/>
        </w:rPr>
        <w:t xml:space="preserve"> </w:t>
      </w:r>
      <w:proofErr w:type="gramStart"/>
      <w:r w:rsidR="00FA056C" w:rsidRPr="006147D9">
        <w:rPr>
          <w:rFonts w:ascii="Cambria" w:hAnsi="Cambria" w:cs="Times New Roman"/>
          <w:b/>
          <w:color w:val="171717" w:themeColor="background2" w:themeShade="1A"/>
          <w:szCs w:val="21"/>
          <w:shd w:val="clear" w:color="auto" w:fill="FFFFFF"/>
        </w:rPr>
        <w:t>4</w:t>
      </w:r>
      <w:r w:rsidR="00B10EE1">
        <w:rPr>
          <w:rFonts w:ascii="Cambria" w:hAnsi="Cambria" w:cs="Times New Roman"/>
          <w:b/>
          <w:color w:val="171717" w:themeColor="background2" w:themeShade="1A"/>
          <w:szCs w:val="21"/>
          <w:shd w:val="clear" w:color="auto" w:fill="FFFFFF"/>
        </w:rPr>
        <w:t xml:space="preserve"> </w:t>
      </w:r>
      <w:r w:rsidR="002C4D3C">
        <w:rPr>
          <w:rFonts w:ascii="Cambria" w:hAnsi="Cambria" w:cs="Times New Roman"/>
          <w:b/>
          <w:color w:val="171717" w:themeColor="background2" w:themeShade="1A"/>
          <w:szCs w:val="21"/>
          <w:shd w:val="clear" w:color="auto" w:fill="FFFFFF"/>
        </w:rPr>
        <w:t xml:space="preserve"> </w:t>
      </w:r>
      <w:r w:rsidRPr="006147D9"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>Baseline</w:t>
      </w:r>
      <w:proofErr w:type="gramEnd"/>
      <w:r w:rsidRPr="006147D9"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 xml:space="preserve"> Characteristics </w:t>
      </w:r>
      <w:r w:rsidR="004A13C9" w:rsidRPr="006147D9"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>–</w:t>
      </w:r>
      <w:r w:rsidRPr="006147D9"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 xml:space="preserve"> Medications</w:t>
      </w:r>
    </w:p>
    <w:tbl>
      <w:tblPr>
        <w:tblW w:w="9191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622"/>
        <w:gridCol w:w="1475"/>
        <w:gridCol w:w="912"/>
        <w:gridCol w:w="1444"/>
        <w:gridCol w:w="1475"/>
        <w:gridCol w:w="689"/>
      </w:tblGrid>
      <w:tr w:rsidR="002035C6" w:rsidRPr="006147D9" w14:paraId="766FD7B7" w14:textId="77777777" w:rsidTr="0061710D">
        <w:trPr>
          <w:trHeight w:val="278"/>
        </w:trPr>
        <w:tc>
          <w:tcPr>
            <w:tcW w:w="1574" w:type="dxa"/>
            <w:vMerge w:val="restart"/>
            <w:tcBorders>
              <w:top w:val="single" w:sz="12" w:space="0" w:color="000000" w:themeColor="text1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0271D72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Variables</w:t>
            </w:r>
          </w:p>
          <w:p w14:paraId="3D7A2277" w14:textId="3BEFE3E3" w:rsidR="00533850" w:rsidRPr="006147D9" w:rsidRDefault="00533850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N (%)</w:t>
            </w:r>
          </w:p>
        </w:tc>
        <w:tc>
          <w:tcPr>
            <w:tcW w:w="3097" w:type="dxa"/>
            <w:gridSpan w:val="2"/>
            <w:tcBorders>
              <w:top w:val="single" w:sz="12" w:space="0" w:color="000000" w:themeColor="text1"/>
              <w:left w:val="nil"/>
              <w:bottom w:val="single" w:sz="6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118902B4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Overall population</w:t>
            </w:r>
          </w:p>
        </w:tc>
        <w:tc>
          <w:tcPr>
            <w:tcW w:w="912" w:type="dxa"/>
            <w:tcBorders>
              <w:top w:val="single" w:sz="12" w:space="0" w:color="000000" w:themeColor="text1"/>
              <w:left w:val="nil"/>
              <w:bottom w:val="single" w:sz="6" w:space="0" w:color="000000" w:themeColor="text1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50397434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8" w:type="dxa"/>
            <w:gridSpan w:val="3"/>
            <w:tcBorders>
              <w:top w:val="single" w:sz="12" w:space="0" w:color="000000" w:themeColor="text1"/>
              <w:left w:val="single" w:sz="48" w:space="0" w:color="FFFFFF" w:themeColor="background1"/>
              <w:bottom w:val="single" w:sz="6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472BCD4D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Propensity-matched population</w:t>
            </w:r>
          </w:p>
        </w:tc>
      </w:tr>
      <w:tr w:rsidR="00533850" w:rsidRPr="006147D9" w14:paraId="284F1BD0" w14:textId="77777777" w:rsidTr="0061710D">
        <w:trPr>
          <w:trHeight w:val="1233"/>
        </w:trPr>
        <w:tc>
          <w:tcPr>
            <w:tcW w:w="1574" w:type="dxa"/>
            <w:vMerge/>
            <w:tcBorders>
              <w:top w:val="nil"/>
              <w:left w:val="nil"/>
              <w:bottom w:val="single" w:sz="6" w:space="0" w:color="000000" w:themeColor="text1"/>
              <w:right w:val="nil"/>
            </w:tcBorders>
            <w:vAlign w:val="center"/>
            <w:hideMark/>
          </w:tcPr>
          <w:p w14:paraId="3BB37207" w14:textId="77777777" w:rsidR="00533850" w:rsidRPr="006147D9" w:rsidRDefault="00533850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</w:p>
        </w:tc>
        <w:tc>
          <w:tcPr>
            <w:tcW w:w="1622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527F3D4D" w14:textId="04F35CF9" w:rsidR="00533850" w:rsidRPr="006147D9" w:rsidRDefault="006773EA" w:rsidP="001B33C3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Low-LDL-C</w:t>
            </w:r>
          </w:p>
          <w:p w14:paraId="6E2A5BC5" w14:textId="765F950D" w:rsidR="00533850" w:rsidRPr="006147D9" w:rsidRDefault="00533850" w:rsidP="001B33C3">
            <w:pPr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(N = 1202)</w:t>
            </w:r>
          </w:p>
        </w:tc>
        <w:tc>
          <w:tcPr>
            <w:tcW w:w="1475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4E54A472" w14:textId="31DD83E8" w:rsidR="00533850" w:rsidRPr="006147D9" w:rsidRDefault="006773EA" w:rsidP="001B33C3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High-LDL-C</w:t>
            </w:r>
            <w:r w:rsidR="00533850"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 xml:space="preserve"> </w:t>
            </w:r>
          </w:p>
          <w:p w14:paraId="6A0F7D9D" w14:textId="20359623" w:rsidR="00533850" w:rsidRPr="006147D9" w:rsidRDefault="00533850" w:rsidP="001B33C3">
            <w:pPr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(N = 593)</w:t>
            </w:r>
          </w:p>
        </w:tc>
        <w:tc>
          <w:tcPr>
            <w:tcW w:w="912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6F52E359" w14:textId="77777777" w:rsidR="00533850" w:rsidRPr="006147D9" w:rsidRDefault="00533850" w:rsidP="001B33C3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p value</w:t>
            </w:r>
          </w:p>
        </w:tc>
        <w:tc>
          <w:tcPr>
            <w:tcW w:w="1444" w:type="dxa"/>
            <w:tcBorders>
              <w:top w:val="single" w:sz="6" w:space="0" w:color="000000" w:themeColor="text1"/>
              <w:left w:val="single" w:sz="48" w:space="0" w:color="FFFFFF" w:themeColor="background1"/>
              <w:bottom w:val="single" w:sz="6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09284738" w14:textId="1B26117D" w:rsidR="00533850" w:rsidRPr="006147D9" w:rsidRDefault="006773EA" w:rsidP="001B33C3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Low-LDL-C</w:t>
            </w:r>
          </w:p>
          <w:p w14:paraId="59E8BC13" w14:textId="6940D5EE" w:rsidR="00533850" w:rsidRPr="006147D9" w:rsidRDefault="00533850" w:rsidP="001B33C3">
            <w:pPr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(N = 443)</w:t>
            </w:r>
          </w:p>
        </w:tc>
        <w:tc>
          <w:tcPr>
            <w:tcW w:w="1475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1238782D" w14:textId="7A6EF830" w:rsidR="00533850" w:rsidRPr="006147D9" w:rsidRDefault="006773EA" w:rsidP="001B33C3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High-LDL-C</w:t>
            </w:r>
            <w:r w:rsidR="00533850"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 xml:space="preserve"> </w:t>
            </w:r>
          </w:p>
          <w:p w14:paraId="508410B9" w14:textId="1B67239A" w:rsidR="00533850" w:rsidRPr="006147D9" w:rsidRDefault="00533850" w:rsidP="001B33C3">
            <w:pPr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(N = 443)</w:t>
            </w:r>
          </w:p>
        </w:tc>
        <w:tc>
          <w:tcPr>
            <w:tcW w:w="689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758271A7" w14:textId="77777777" w:rsidR="00533850" w:rsidRPr="006147D9" w:rsidRDefault="00533850" w:rsidP="001B33C3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p value</w:t>
            </w:r>
          </w:p>
        </w:tc>
      </w:tr>
      <w:tr w:rsidR="00533850" w:rsidRPr="006147D9" w14:paraId="3E97191E" w14:textId="77777777" w:rsidTr="0061710D">
        <w:trPr>
          <w:trHeight w:val="278"/>
        </w:trPr>
        <w:tc>
          <w:tcPr>
            <w:tcW w:w="9191" w:type="dxa"/>
            <w:gridSpan w:val="7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634DE" w14:textId="656B994A" w:rsidR="00533850" w:rsidRPr="006147D9" w:rsidRDefault="00533850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Medications </w:t>
            </w:r>
          </w:p>
        </w:tc>
      </w:tr>
      <w:tr w:rsidR="001B33C3" w:rsidRPr="006147D9" w14:paraId="1403851A" w14:textId="77777777" w:rsidTr="0061710D">
        <w:trPr>
          <w:trHeight w:val="278"/>
        </w:trPr>
        <w:tc>
          <w:tcPr>
            <w:tcW w:w="91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5FC7A" w14:textId="297C11A8" w:rsidR="001B33C3" w:rsidRPr="006147D9" w:rsidRDefault="001B33C3" w:rsidP="001B33C3">
            <w:pPr>
              <w:widowControl/>
              <w:rPr>
                <w:rFonts w:ascii="Cambria" w:eastAsia="Times New Roman" w:hAnsi="Cambria" w:cs="Times New Roman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Antiplatelet drug</w:t>
            </w:r>
          </w:p>
        </w:tc>
      </w:tr>
      <w:tr w:rsidR="002035C6" w:rsidRPr="006147D9" w14:paraId="286A6153" w14:textId="77777777" w:rsidTr="0061710D">
        <w:trPr>
          <w:trHeight w:val="278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5F36F" w14:textId="77777777" w:rsidR="002035C6" w:rsidRPr="006147D9" w:rsidRDefault="002035C6" w:rsidP="001B33C3">
            <w:pPr>
              <w:widowControl/>
              <w:ind w:firstLineChars="100" w:firstLine="180"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Aspirin 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8E3FB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1163/1202(96.8)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EFB4A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581/591(98.3)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AF6F5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0.058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1143C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432/443(97.5)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1CAF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436/443(98.4)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34C14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0.341</w:t>
            </w:r>
          </w:p>
        </w:tc>
      </w:tr>
      <w:tr w:rsidR="002035C6" w:rsidRPr="006147D9" w14:paraId="076337C8" w14:textId="77777777" w:rsidTr="0061710D">
        <w:trPr>
          <w:trHeight w:val="278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480A0" w14:textId="77777777" w:rsidR="002035C6" w:rsidRPr="006147D9" w:rsidRDefault="002035C6" w:rsidP="001B33C3">
            <w:pPr>
              <w:widowControl/>
              <w:ind w:firstLineChars="100" w:firstLine="180"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Clopidogrel 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73AF0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1079/1202(89.8)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CE799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535/591(90.5)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DAD53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0.615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F33B3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408/443(92.1)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F3F1C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403/443(91.0)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4C9EB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0.546</w:t>
            </w:r>
          </w:p>
        </w:tc>
      </w:tr>
      <w:tr w:rsidR="002035C6" w:rsidRPr="006147D9" w14:paraId="5E812A3C" w14:textId="77777777" w:rsidTr="0061710D">
        <w:trPr>
          <w:trHeight w:val="278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FAD6E" w14:textId="77777777" w:rsidR="002035C6" w:rsidRPr="006147D9" w:rsidRDefault="002035C6" w:rsidP="001B33C3">
            <w:pPr>
              <w:widowControl/>
              <w:ind w:firstLineChars="100" w:firstLine="180"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Ticagrelor 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D0A28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6/1202(0.5)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B9F62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4/591(0.7)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E604D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0.738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11A75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0/443(0.0)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09BA0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3/443(0.7)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F078B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0.083</w:t>
            </w:r>
          </w:p>
        </w:tc>
      </w:tr>
      <w:tr w:rsidR="002035C6" w:rsidRPr="006147D9" w14:paraId="4F01E353" w14:textId="77777777" w:rsidTr="0061710D">
        <w:trPr>
          <w:trHeight w:val="278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E33FA" w14:textId="77777777" w:rsidR="002035C6" w:rsidRPr="006147D9" w:rsidRDefault="002035C6" w:rsidP="001B33C3">
            <w:pPr>
              <w:widowControl/>
              <w:ind w:firstLineChars="100" w:firstLine="180"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Cilostazol 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CB678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32/1202(2.7)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0D95C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8/591(1.4)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F6801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0.078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5B013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10/443(2.3)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0AE34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6/443(1.4)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7F0E9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0.313</w:t>
            </w:r>
          </w:p>
        </w:tc>
      </w:tr>
      <w:tr w:rsidR="002035C6" w:rsidRPr="006147D9" w14:paraId="03316E14" w14:textId="77777777" w:rsidTr="0061710D">
        <w:trPr>
          <w:trHeight w:val="278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AC856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Warfarin 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45545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15/1202(1.2)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82397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8/591(1.4)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A2481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0.852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76219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9/443(2.0)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B2EE1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5/443(1.1)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22063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0.281</w:t>
            </w:r>
          </w:p>
        </w:tc>
      </w:tr>
      <w:tr w:rsidR="002035C6" w:rsidRPr="006147D9" w14:paraId="213B7686" w14:textId="77777777" w:rsidTr="0061710D">
        <w:trPr>
          <w:trHeight w:val="278"/>
        </w:trPr>
        <w:tc>
          <w:tcPr>
            <w:tcW w:w="9191" w:type="dxa"/>
            <w:gridSpan w:val="7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C4A003" w14:textId="48C3B438" w:rsidR="002035C6" w:rsidRPr="006147D9" w:rsidRDefault="002035C6" w:rsidP="001B33C3">
            <w:pPr>
              <w:widowControl/>
              <w:rPr>
                <w:rFonts w:ascii="Cambria" w:eastAsia="Times New Roman" w:hAnsi="Cambria" w:cs="Times New Roman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Lipid-lowering drug</w:t>
            </w:r>
          </w:p>
        </w:tc>
      </w:tr>
      <w:tr w:rsidR="002035C6" w:rsidRPr="006147D9" w14:paraId="4DAA736C" w14:textId="77777777" w:rsidTr="0061710D">
        <w:trPr>
          <w:trHeight w:val="278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EA795" w14:textId="77777777" w:rsidR="002035C6" w:rsidRPr="006147D9" w:rsidRDefault="002035C6" w:rsidP="001B33C3">
            <w:pPr>
              <w:widowControl/>
              <w:ind w:firstLineChars="100" w:firstLine="180"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Statin 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FBBBF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1186/1202(98.7)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26633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582/591(98.5)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7B9B2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0.745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BD593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439/443(99.1)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D6887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437/443(98.6)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FF442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0.525</w:t>
            </w:r>
          </w:p>
        </w:tc>
      </w:tr>
      <w:tr w:rsidR="002035C6" w:rsidRPr="006147D9" w14:paraId="3B1336F7" w14:textId="77777777" w:rsidTr="0061710D">
        <w:trPr>
          <w:trHeight w:val="278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AE25C" w14:textId="77777777" w:rsidR="002035C6" w:rsidRPr="006147D9" w:rsidRDefault="002035C6" w:rsidP="001B33C3">
            <w:pPr>
              <w:widowControl/>
              <w:ind w:firstLineChars="100" w:firstLine="180"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Fibrates 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9B04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8/1202(0.7)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9E01D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2/591(0.3)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79572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0.382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D193E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4/443(0.9)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E4FD8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2/443(0.5)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9CFBD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0.413</w:t>
            </w:r>
          </w:p>
        </w:tc>
      </w:tr>
      <w:tr w:rsidR="002035C6" w:rsidRPr="006147D9" w14:paraId="24FC334D" w14:textId="77777777" w:rsidTr="0061710D">
        <w:trPr>
          <w:trHeight w:val="278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6923" w14:textId="77777777" w:rsidR="002035C6" w:rsidRPr="006147D9" w:rsidRDefault="002035C6" w:rsidP="001B33C3">
            <w:pPr>
              <w:widowControl/>
              <w:ind w:firstLineChars="100" w:firstLine="180"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Ezetimibe 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E4187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93/1202(7.7)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9B67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147/591(24.9)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AA392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&lt;0.001*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1FA1F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71/443(16.0)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5482F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79/443(17.8)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F1382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0.474</w:t>
            </w:r>
          </w:p>
        </w:tc>
      </w:tr>
      <w:tr w:rsidR="002035C6" w:rsidRPr="006147D9" w14:paraId="51CEDCC5" w14:textId="77777777" w:rsidTr="0061710D">
        <w:trPr>
          <w:trHeight w:val="278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8D8FA" w14:textId="62262382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ACE</w:t>
            </w:r>
            <w:r w:rsidR="001B33C3"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I</w:t>
            </w: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 or ARB 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8DE03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715/1202(59.5)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A0835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352/591(59.6)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C167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0.975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D78B0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249/443(56.2)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BE3D6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256/443(57.8)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051CC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0.635</w:t>
            </w:r>
          </w:p>
        </w:tc>
      </w:tr>
      <w:tr w:rsidR="002035C6" w:rsidRPr="006147D9" w14:paraId="1C2B04F1" w14:textId="77777777" w:rsidTr="0061710D">
        <w:trPr>
          <w:trHeight w:val="278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84D5B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Beta-blocker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C6317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671/1202(55.8)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24AAF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303/591(51.3)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819E7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0.069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69633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230/443(51.9)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CEFDB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219/443(49.4)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A696B" w14:textId="0B7F870E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0.460</w:t>
            </w:r>
          </w:p>
        </w:tc>
      </w:tr>
      <w:tr w:rsidR="002035C6" w:rsidRPr="006147D9" w14:paraId="2674F75E" w14:textId="77777777" w:rsidTr="0061710D">
        <w:trPr>
          <w:trHeight w:val="278"/>
        </w:trPr>
        <w:tc>
          <w:tcPr>
            <w:tcW w:w="1574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39694793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CCB 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16EBAAD2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302/1202(25.1)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6A04FAA6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151/591(25.5)</w:t>
            </w:r>
          </w:p>
        </w:tc>
        <w:tc>
          <w:tcPr>
            <w:tcW w:w="912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5C10B3A1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0.846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07C814F6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96/443(21.7)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21D8E34E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117/443(26.4)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1894FB2F" w14:textId="77777777" w:rsidR="002035C6" w:rsidRPr="006147D9" w:rsidRDefault="002035C6" w:rsidP="001B33C3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0.099</w:t>
            </w:r>
          </w:p>
        </w:tc>
      </w:tr>
    </w:tbl>
    <w:p w14:paraId="05C2AB83" w14:textId="11A4B182" w:rsidR="004A491B" w:rsidRPr="006147D9" w:rsidRDefault="00B10EE1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  <w:r>
        <w:rPr>
          <w:rStyle w:val="md-line"/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 xml:space="preserve">Abbreviations: </w:t>
      </w:r>
      <w:r w:rsidR="004A491B" w:rsidRPr="006147D9">
        <w:rPr>
          <w:rStyle w:val="md-expand"/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>ACE</w:t>
      </w:r>
      <w:r w:rsidR="001B33C3" w:rsidRPr="006147D9">
        <w:rPr>
          <w:rStyle w:val="md-expand"/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>I</w:t>
      </w:r>
      <w:r>
        <w:rPr>
          <w:rStyle w:val="md-expand"/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>,</w:t>
      </w:r>
      <w:r w:rsidR="004A491B" w:rsidRPr="006147D9">
        <w:rPr>
          <w:rStyle w:val="md-expand"/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 xml:space="preserve"> angiotensin</w:t>
      </w:r>
      <w:r w:rsidR="00F074BA" w:rsidRPr="006147D9">
        <w:rPr>
          <w:rStyle w:val="md-expand"/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>-</w:t>
      </w:r>
      <w:r w:rsidR="004A491B" w:rsidRPr="006147D9">
        <w:rPr>
          <w:rStyle w:val="md-expand"/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>converting enzyme</w:t>
      </w:r>
      <w:r w:rsidR="001B33C3" w:rsidRPr="006147D9">
        <w:rPr>
          <w:rStyle w:val="md-expand"/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 xml:space="preserve"> </w:t>
      </w:r>
      <w:r w:rsidR="001B33C3" w:rsidRPr="006147D9">
        <w:rPr>
          <w:rFonts w:ascii="Cambria" w:eastAsia="DengXian" w:hAnsi="Cambria" w:cs="Times New Roman"/>
          <w:color w:val="171717"/>
          <w:kern w:val="0"/>
          <w:szCs w:val="21"/>
        </w:rPr>
        <w:t>inhibitor</w:t>
      </w:r>
      <w:r>
        <w:rPr>
          <w:rStyle w:val="md-expand"/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>;</w:t>
      </w:r>
      <w:r w:rsidR="004A491B" w:rsidRPr="006147D9">
        <w:rPr>
          <w:rStyle w:val="md-expand"/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 xml:space="preserve"> ARB</w:t>
      </w:r>
      <w:r>
        <w:rPr>
          <w:rStyle w:val="md-expand"/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>,</w:t>
      </w:r>
      <w:r w:rsidR="004A491B" w:rsidRPr="006147D9">
        <w:rPr>
          <w:rStyle w:val="md-expand"/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 xml:space="preserve"> angiotensin-receptor blocker</w:t>
      </w:r>
      <w:r>
        <w:rPr>
          <w:rStyle w:val="md-expand"/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 xml:space="preserve">; </w:t>
      </w:r>
      <w:r w:rsidR="004A491B" w:rsidRPr="006147D9">
        <w:rPr>
          <w:rStyle w:val="md-line"/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>CCB</w:t>
      </w:r>
      <w:r>
        <w:rPr>
          <w:rStyle w:val="md-line"/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>,</w:t>
      </w:r>
      <w:r w:rsidR="004A491B" w:rsidRPr="006147D9">
        <w:rPr>
          <w:rStyle w:val="md-line"/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 xml:space="preserve"> Dihydropyridine calcium-channel blocker.</w:t>
      </w:r>
      <w:r w:rsidR="00F31E45" w:rsidRPr="006147D9">
        <w:rPr>
          <w:rStyle w:val="md-line"/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 xml:space="preserve"> </w:t>
      </w:r>
    </w:p>
    <w:p w14:paraId="58858712" w14:textId="2BD0CF5B" w:rsidR="00F430DA" w:rsidRPr="006147D9" w:rsidRDefault="00861378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  <w:r w:rsidRPr="006147D9"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>* the p &lt; 0.05</w:t>
      </w:r>
      <w:r w:rsidR="00233DDE" w:rsidRPr="006147D9"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>0</w:t>
      </w:r>
      <w:r w:rsidRPr="006147D9"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>.</w:t>
      </w:r>
    </w:p>
    <w:p w14:paraId="007E56ED" w14:textId="09D97A5F" w:rsidR="00DD586A" w:rsidRPr="006147D9" w:rsidRDefault="00DD586A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773851CC" w14:textId="46A6E8CC" w:rsidR="00DD586A" w:rsidRPr="006147D9" w:rsidRDefault="00DD586A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0C3DA8B6" w14:textId="347E1659" w:rsidR="00DD586A" w:rsidRPr="006147D9" w:rsidRDefault="00DD586A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642C3211" w14:textId="0E8998EF" w:rsidR="00DD586A" w:rsidRPr="006147D9" w:rsidRDefault="00DD586A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4FBCCBBC" w14:textId="18E0CD02" w:rsidR="00DD586A" w:rsidRPr="006147D9" w:rsidRDefault="00DD586A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032573D0" w14:textId="4ED89AE0" w:rsidR="00DD586A" w:rsidRPr="006147D9" w:rsidRDefault="00DD586A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66BA5293" w14:textId="14FEC206" w:rsidR="00DD586A" w:rsidRPr="006147D9" w:rsidRDefault="00DD586A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0C6613E2" w14:textId="43158551" w:rsidR="00DD586A" w:rsidRPr="006147D9" w:rsidRDefault="00DD586A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2BA84174" w14:textId="70E3CE7D" w:rsidR="00DD586A" w:rsidRPr="006147D9" w:rsidRDefault="00DD586A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6E7578F5" w14:textId="2BAE5068" w:rsidR="00DD586A" w:rsidRPr="006147D9" w:rsidRDefault="00DD586A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594F73EE" w14:textId="581F5C9B" w:rsidR="00DD586A" w:rsidRPr="006147D9" w:rsidRDefault="00DD586A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46309CC5" w14:textId="51FB1213" w:rsidR="00DD586A" w:rsidRPr="006147D9" w:rsidRDefault="00DD586A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186A8E66" w14:textId="2F13AE4F" w:rsidR="00DD586A" w:rsidRPr="006147D9" w:rsidRDefault="00DD586A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2112CF9D" w14:textId="69B37560" w:rsidR="000B5472" w:rsidRPr="006147D9" w:rsidRDefault="000B5472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24AADEAF" w14:textId="4A2DAE40" w:rsidR="000B5472" w:rsidRPr="006147D9" w:rsidRDefault="000B5472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55829C73" w14:textId="0EB8C165" w:rsidR="000B5472" w:rsidRPr="006147D9" w:rsidRDefault="000B5472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60DFFC75" w14:textId="0BE4FA43" w:rsidR="000B5472" w:rsidRPr="006147D9" w:rsidRDefault="000B5472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0AC87390" w14:textId="47061036" w:rsidR="000B5472" w:rsidRPr="006147D9" w:rsidRDefault="000B5472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4EA8CA99" w14:textId="3C712766" w:rsidR="000B5472" w:rsidRPr="006147D9" w:rsidRDefault="000B5472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5C014966" w14:textId="41AE1204" w:rsidR="000B5472" w:rsidRDefault="000B5472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4DF5F9D8" w14:textId="77777777" w:rsidR="002C4D3C" w:rsidRPr="006147D9" w:rsidRDefault="002C4D3C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49CAD975" w14:textId="108E381B" w:rsidR="00A05695" w:rsidRPr="006147D9" w:rsidRDefault="004A491B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  <w:r w:rsidRPr="006147D9">
        <w:rPr>
          <w:rFonts w:ascii="Cambria" w:hAnsi="Cambria" w:cs="Times New Roman"/>
          <w:b/>
          <w:color w:val="171717" w:themeColor="background2" w:themeShade="1A"/>
          <w:szCs w:val="21"/>
          <w:shd w:val="clear" w:color="auto" w:fill="FFFFFF"/>
        </w:rPr>
        <w:lastRenderedPageBreak/>
        <w:t>T</w:t>
      </w:r>
      <w:r w:rsidR="00B10EE1">
        <w:rPr>
          <w:rFonts w:ascii="Cambria" w:hAnsi="Cambria" w:cs="Times New Roman"/>
          <w:b/>
          <w:color w:val="171717" w:themeColor="background2" w:themeShade="1A"/>
          <w:szCs w:val="21"/>
          <w:shd w:val="clear" w:color="auto" w:fill="FFFFFF"/>
        </w:rPr>
        <w:t>ABLE</w:t>
      </w:r>
      <w:r w:rsidRPr="006147D9">
        <w:rPr>
          <w:rFonts w:ascii="Cambria" w:hAnsi="Cambria" w:cs="Times New Roman"/>
          <w:b/>
          <w:color w:val="171717" w:themeColor="background2" w:themeShade="1A"/>
          <w:szCs w:val="21"/>
          <w:shd w:val="clear" w:color="auto" w:fill="FFFFFF"/>
        </w:rPr>
        <w:t xml:space="preserve"> </w:t>
      </w:r>
      <w:proofErr w:type="gramStart"/>
      <w:r w:rsidR="00FA056C" w:rsidRPr="006147D9">
        <w:rPr>
          <w:rFonts w:ascii="Cambria" w:hAnsi="Cambria" w:cs="Times New Roman"/>
          <w:b/>
          <w:color w:val="171717" w:themeColor="background2" w:themeShade="1A"/>
          <w:szCs w:val="21"/>
          <w:shd w:val="clear" w:color="auto" w:fill="FFFFFF"/>
        </w:rPr>
        <w:t>5</w:t>
      </w:r>
      <w:r w:rsidR="00B10EE1">
        <w:rPr>
          <w:rFonts w:ascii="Cambria" w:hAnsi="Cambria" w:cs="Times New Roman"/>
          <w:b/>
          <w:color w:val="171717" w:themeColor="background2" w:themeShade="1A"/>
          <w:szCs w:val="21"/>
          <w:shd w:val="clear" w:color="auto" w:fill="FFFFFF"/>
        </w:rPr>
        <w:t xml:space="preserve"> </w:t>
      </w:r>
      <w:r w:rsidR="002C4D3C">
        <w:rPr>
          <w:rFonts w:ascii="Cambria" w:hAnsi="Cambria" w:cs="Times New Roman"/>
          <w:b/>
          <w:color w:val="171717" w:themeColor="background2" w:themeShade="1A"/>
          <w:szCs w:val="21"/>
          <w:shd w:val="clear" w:color="auto" w:fill="FFFFFF"/>
        </w:rPr>
        <w:t xml:space="preserve"> </w:t>
      </w:r>
      <w:r w:rsidRPr="006147D9"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>LDL</w:t>
      </w:r>
      <w:proofErr w:type="gramEnd"/>
      <w:r w:rsidR="005D028E" w:rsidRPr="006147D9"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>-C</w:t>
      </w:r>
      <w:r w:rsidRPr="006147D9"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 xml:space="preserve"> levels (mmol/L)</w:t>
      </w:r>
      <w:r w:rsidR="00421F17" w:rsidRPr="006147D9"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 xml:space="preserve"> at admission and follow-up</w:t>
      </w:r>
      <w:r w:rsidRPr="006147D9"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>.</w:t>
      </w:r>
    </w:p>
    <w:tbl>
      <w:tblPr>
        <w:tblW w:w="9464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79"/>
        <w:gridCol w:w="1517"/>
        <w:gridCol w:w="1420"/>
        <w:gridCol w:w="912"/>
        <w:gridCol w:w="1412"/>
        <w:gridCol w:w="1412"/>
        <w:gridCol w:w="912"/>
      </w:tblGrid>
      <w:tr w:rsidR="000F736E" w:rsidRPr="006147D9" w14:paraId="2F741492" w14:textId="77777777" w:rsidTr="0061710D">
        <w:trPr>
          <w:trHeight w:val="278"/>
        </w:trPr>
        <w:tc>
          <w:tcPr>
            <w:tcW w:w="1879" w:type="dxa"/>
            <w:vMerge w:val="restart"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7738FC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Variables</w:t>
            </w:r>
          </w:p>
        </w:tc>
        <w:tc>
          <w:tcPr>
            <w:tcW w:w="2937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D21890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Overall population</w:t>
            </w:r>
          </w:p>
        </w:tc>
        <w:tc>
          <w:tcPr>
            <w:tcW w:w="912" w:type="dxa"/>
            <w:tcBorders>
              <w:top w:val="single" w:sz="12" w:space="0" w:color="auto"/>
              <w:left w:val="nil"/>
              <w:bottom w:val="single" w:sz="6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56053C08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36" w:type="dxa"/>
            <w:gridSpan w:val="3"/>
            <w:tcBorders>
              <w:top w:val="single" w:sz="12" w:space="0" w:color="auto"/>
              <w:left w:val="single" w:sz="48" w:space="0" w:color="FFFFFF" w:themeColor="background1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CD214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Propensity-matched population</w:t>
            </w:r>
          </w:p>
        </w:tc>
      </w:tr>
      <w:tr w:rsidR="000F736E" w:rsidRPr="006147D9" w14:paraId="53F50A3C" w14:textId="77777777" w:rsidTr="0061710D">
        <w:trPr>
          <w:trHeight w:val="1248"/>
        </w:trPr>
        <w:tc>
          <w:tcPr>
            <w:tcW w:w="187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345ED93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</w:p>
        </w:tc>
        <w:tc>
          <w:tcPr>
            <w:tcW w:w="151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A50EB0" w14:textId="3E26D98E" w:rsidR="000F736E" w:rsidRPr="006147D9" w:rsidRDefault="006773EA" w:rsidP="00CA4B0B">
            <w:pPr>
              <w:widowControl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Low-LDL-C</w:t>
            </w:r>
          </w:p>
          <w:p w14:paraId="7CB7CD48" w14:textId="4331650E" w:rsidR="000F736E" w:rsidRPr="006147D9" w:rsidRDefault="000F736E" w:rsidP="00CA4B0B">
            <w:pPr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(N = 1202)</w:t>
            </w:r>
          </w:p>
        </w:tc>
        <w:tc>
          <w:tcPr>
            <w:tcW w:w="14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2367D1" w14:textId="0824DCE1" w:rsidR="000F736E" w:rsidRPr="006147D9" w:rsidRDefault="006773EA" w:rsidP="00CA4B0B">
            <w:pPr>
              <w:widowControl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High-LDL-C</w:t>
            </w:r>
            <w:r w:rsidR="000F736E"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324B3BCB" w14:textId="22526FCE" w:rsidR="000F736E" w:rsidRPr="006147D9" w:rsidRDefault="000F736E" w:rsidP="00CA4B0B">
            <w:pPr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(N = 593)</w:t>
            </w:r>
          </w:p>
        </w:tc>
        <w:tc>
          <w:tcPr>
            <w:tcW w:w="912" w:type="dxa"/>
            <w:tcBorders>
              <w:top w:val="single" w:sz="6" w:space="0" w:color="auto"/>
              <w:left w:val="nil"/>
              <w:bottom w:val="single" w:sz="6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0B419F4F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p value</w:t>
            </w:r>
          </w:p>
        </w:tc>
        <w:tc>
          <w:tcPr>
            <w:tcW w:w="1412" w:type="dxa"/>
            <w:tcBorders>
              <w:top w:val="single" w:sz="6" w:space="0" w:color="auto"/>
              <w:left w:val="single" w:sz="48" w:space="0" w:color="FFFFFF" w:themeColor="background1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B2B805" w14:textId="67E5335D" w:rsidR="000F736E" w:rsidRPr="006147D9" w:rsidRDefault="006773EA" w:rsidP="00CA4B0B">
            <w:pPr>
              <w:widowControl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Low-LDL-C</w:t>
            </w:r>
          </w:p>
          <w:p w14:paraId="6F8954E4" w14:textId="7A4A3ACE" w:rsidR="000F736E" w:rsidRPr="006147D9" w:rsidRDefault="000F736E" w:rsidP="00CA4B0B">
            <w:pPr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(N = 443)</w:t>
            </w:r>
          </w:p>
        </w:tc>
        <w:tc>
          <w:tcPr>
            <w:tcW w:w="14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99CC5" w14:textId="1E2DCAC9" w:rsidR="000F736E" w:rsidRPr="006147D9" w:rsidRDefault="006773EA" w:rsidP="00CA4B0B">
            <w:pPr>
              <w:widowControl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High-LDL-C</w:t>
            </w:r>
            <w:r w:rsidR="000F736E"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028A9BB4" w14:textId="626FE63D" w:rsidR="000F736E" w:rsidRPr="006147D9" w:rsidRDefault="000F736E" w:rsidP="00CA4B0B">
            <w:pPr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(N = 443)</w:t>
            </w:r>
          </w:p>
        </w:tc>
        <w:tc>
          <w:tcPr>
            <w:tcW w:w="9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3F906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p value</w:t>
            </w:r>
          </w:p>
        </w:tc>
      </w:tr>
      <w:tr w:rsidR="000F736E" w:rsidRPr="006147D9" w14:paraId="6D7FBC4B" w14:textId="77777777" w:rsidTr="0061710D">
        <w:trPr>
          <w:trHeight w:val="276"/>
        </w:trPr>
        <w:tc>
          <w:tcPr>
            <w:tcW w:w="9464" w:type="dxa"/>
            <w:gridSpan w:val="7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0442B3" w14:textId="3ED3BD83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LDL cholesterol — mmol/L</w:t>
            </w:r>
          </w:p>
        </w:tc>
      </w:tr>
      <w:tr w:rsidR="000F736E" w:rsidRPr="006147D9" w14:paraId="63392D4C" w14:textId="77777777" w:rsidTr="0061710D">
        <w:trPr>
          <w:trHeight w:val="278"/>
        </w:trPr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77F68" w14:textId="77777777" w:rsidR="000F736E" w:rsidRPr="006147D9" w:rsidRDefault="000F736E" w:rsidP="00CA4B0B">
            <w:pPr>
              <w:widowControl/>
              <w:ind w:firstLineChars="100" w:firstLine="180"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At admission† 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FA3DB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1.85 (1.49-2.21)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DD1B0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3.15(2.73-3.57)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23191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&lt;0.001*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45F58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1.84(1.57-2.12)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A7A5F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3.2(2.76-3.64)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592AF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&lt;0.001*</w:t>
            </w:r>
          </w:p>
        </w:tc>
      </w:tr>
      <w:tr w:rsidR="000F736E" w:rsidRPr="006147D9" w14:paraId="1F1CD529" w14:textId="77777777" w:rsidTr="0061710D">
        <w:trPr>
          <w:trHeight w:val="278"/>
        </w:trPr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BA1C4" w14:textId="77777777" w:rsidR="000F736E" w:rsidRPr="006147D9" w:rsidRDefault="000F736E" w:rsidP="00CA4B0B">
            <w:pPr>
              <w:widowControl/>
              <w:ind w:firstLineChars="100" w:firstLine="180"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Follow-up† 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997EC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1.46(1.14-1.79)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609A8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1.89(1.32-2.46)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D5276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&lt;0.001*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1704F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1.45(1.07-1.82)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E287D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1.78(1.15-2.41)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4408A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&lt;0.001*</w:t>
            </w:r>
          </w:p>
        </w:tc>
      </w:tr>
      <w:tr w:rsidR="000F736E" w:rsidRPr="006147D9" w14:paraId="01151595" w14:textId="77777777" w:rsidTr="0061710D">
        <w:trPr>
          <w:trHeight w:val="276"/>
        </w:trPr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A5672" w14:textId="77777777" w:rsidR="000F736E" w:rsidRPr="006147D9" w:rsidRDefault="000F736E" w:rsidP="00CA4B0B">
            <w:pPr>
              <w:widowControl/>
              <w:ind w:firstLineChars="100" w:firstLine="180"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Difference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31101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0.39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0390B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1.26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92122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8C96D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0.39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3DA7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1.42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E19EB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</w:p>
        </w:tc>
      </w:tr>
      <w:tr w:rsidR="000F736E" w:rsidRPr="006147D9" w14:paraId="0CD28777" w14:textId="77777777" w:rsidTr="0061710D">
        <w:trPr>
          <w:trHeight w:val="276"/>
        </w:trPr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99400" w14:textId="77777777" w:rsidR="000F736E" w:rsidRPr="006147D9" w:rsidRDefault="000F736E" w:rsidP="00CA4B0B">
            <w:pPr>
              <w:widowControl/>
              <w:ind w:firstLineChars="100" w:firstLine="180"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Reduction (%)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F978C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21.1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5A925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40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6B2FA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D060C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21.2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DE369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44.3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A0018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0F736E" w:rsidRPr="006147D9" w14:paraId="2F4953D8" w14:textId="77777777" w:rsidTr="0061710D">
        <w:trPr>
          <w:trHeight w:val="276"/>
        </w:trPr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3A58B" w14:textId="77777777" w:rsidR="000F736E" w:rsidRPr="006147D9" w:rsidRDefault="000F736E" w:rsidP="00CA4B0B">
            <w:pPr>
              <w:widowControl/>
              <w:ind w:firstLineChars="100" w:firstLine="180"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p-Value 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279A6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&lt;0.001*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198F7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&lt;0.001*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61664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5F249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&lt;0.001*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D362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&lt;0.001*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6098D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</w:p>
        </w:tc>
      </w:tr>
      <w:tr w:rsidR="000F736E" w:rsidRPr="006147D9" w14:paraId="43C05275" w14:textId="77777777" w:rsidTr="0061710D">
        <w:trPr>
          <w:trHeight w:val="276"/>
        </w:trPr>
        <w:tc>
          <w:tcPr>
            <w:tcW w:w="9464" w:type="dxa"/>
            <w:gridSpan w:val="7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8D0332" w14:textId="6E76B4B2" w:rsidR="000F736E" w:rsidRPr="006147D9" w:rsidRDefault="000F736E" w:rsidP="00CA4B0B">
            <w:pPr>
              <w:widowControl/>
              <w:rPr>
                <w:rFonts w:ascii="Cambria" w:eastAsia="Times New Roman" w:hAnsi="Cambria" w:cs="Times New Roman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Patients reach the treatment LDL-C goal (&lt; 1.8mmol/L)— no./total no (%)</w:t>
            </w:r>
          </w:p>
        </w:tc>
      </w:tr>
      <w:tr w:rsidR="000F736E" w:rsidRPr="006147D9" w14:paraId="4A16D4F9" w14:textId="77777777" w:rsidTr="0061710D">
        <w:trPr>
          <w:trHeight w:val="278"/>
        </w:trPr>
        <w:tc>
          <w:tcPr>
            <w:tcW w:w="187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281C4F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51D2D951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912/1202(75.9)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20E7D15E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 xml:space="preserve">275/591(46.5) </w:t>
            </w:r>
          </w:p>
        </w:tc>
        <w:tc>
          <w:tcPr>
            <w:tcW w:w="91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7857CDEC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&lt;0.001*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5B83E193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327/443(73.8)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6D71B491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219/442(49.5)</w:t>
            </w:r>
          </w:p>
        </w:tc>
        <w:tc>
          <w:tcPr>
            <w:tcW w:w="91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3E291BA8" w14:textId="77777777" w:rsidR="000F736E" w:rsidRPr="006147D9" w:rsidRDefault="000F736E" w:rsidP="00CA4B0B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&lt;0.001*</w:t>
            </w:r>
          </w:p>
        </w:tc>
      </w:tr>
    </w:tbl>
    <w:p w14:paraId="12E8C430" w14:textId="7F7C9664" w:rsidR="0039563B" w:rsidRPr="006147D9" w:rsidRDefault="00750933" w:rsidP="009332A8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  <w:r w:rsidRPr="006147D9"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  <w:t>†Median (Interquartile range)</w:t>
      </w:r>
      <w:r w:rsidR="009332A8" w:rsidRPr="006147D9"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  <w:t>.</w:t>
      </w:r>
    </w:p>
    <w:p w14:paraId="63810518" w14:textId="21329026" w:rsidR="00DD586A" w:rsidRPr="006147D9" w:rsidRDefault="00861378" w:rsidP="009332A8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  <w:r w:rsidRPr="006147D9"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>* the p &lt; 0.05</w:t>
      </w:r>
      <w:r w:rsidR="00233DDE" w:rsidRPr="006147D9"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>0</w:t>
      </w:r>
      <w:r w:rsidRPr="006147D9"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>.</w:t>
      </w:r>
    </w:p>
    <w:p w14:paraId="00BFEBB0" w14:textId="5DC17EDA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632C48B6" w14:textId="34EE596A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36E9158B" w14:textId="26EC4DC3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52700AA1" w14:textId="2F54A5B2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5D656405" w14:textId="15BB032A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42751296" w14:textId="2056E467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40850A13" w14:textId="4AE05FC1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1CC65BB0" w14:textId="00B829FC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342F611E" w14:textId="18AD9B10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572267A6" w14:textId="5DEF41A7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3EB68CDE" w14:textId="7C46FB62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4A26DD88" w14:textId="500D78DB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2FE24A38" w14:textId="174605F6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745F6A02" w14:textId="0B72BF0C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4C17EDA0" w14:textId="4D03EACA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2A533528" w14:textId="552AF6FA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6C51BE8B" w14:textId="1707BFA7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1F50258A" w14:textId="60BCD7A1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47A913AE" w14:textId="3C64CC08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01F4363D" w14:textId="10D161C8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4BA10229" w14:textId="7ADCBAD4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00F8525A" w14:textId="517BF992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1C223CB2" w14:textId="687F31C2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72A4C90C" w14:textId="36C1CEF1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442CB783" w14:textId="0288ECC4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7E95A897" w14:textId="4E71B233" w:rsidR="00DD586A" w:rsidRPr="006147D9" w:rsidRDefault="00DD586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5D0A22B6" w14:textId="4FFAEBA2" w:rsidR="00951B3A" w:rsidRDefault="00951B3A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682E7DAA" w14:textId="77777777" w:rsidR="002C4D3C" w:rsidRPr="006147D9" w:rsidRDefault="002C4D3C">
      <w:pPr>
        <w:rPr>
          <w:rFonts w:ascii="Cambria" w:eastAsia="DengXian" w:hAnsi="Cambria" w:cs="Times New Roman"/>
          <w:color w:val="171717" w:themeColor="background2" w:themeShade="1A"/>
          <w:kern w:val="0"/>
          <w:szCs w:val="21"/>
        </w:rPr>
      </w:pPr>
    </w:p>
    <w:p w14:paraId="11CA8DC6" w14:textId="1AA13585" w:rsidR="005D028E" w:rsidRPr="006147D9" w:rsidRDefault="005D028E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  <w:r w:rsidRPr="006147D9">
        <w:rPr>
          <w:rFonts w:ascii="Cambria" w:hAnsi="Cambria" w:cs="Times New Roman"/>
          <w:b/>
          <w:color w:val="171717" w:themeColor="background2" w:themeShade="1A"/>
          <w:szCs w:val="21"/>
          <w:shd w:val="clear" w:color="auto" w:fill="FFFFFF"/>
        </w:rPr>
        <w:lastRenderedPageBreak/>
        <w:t>T</w:t>
      </w:r>
      <w:r w:rsidR="00B10EE1">
        <w:rPr>
          <w:rFonts w:ascii="Cambria" w:hAnsi="Cambria" w:cs="Times New Roman"/>
          <w:b/>
          <w:color w:val="171717" w:themeColor="background2" w:themeShade="1A"/>
          <w:szCs w:val="21"/>
          <w:shd w:val="clear" w:color="auto" w:fill="FFFFFF"/>
        </w:rPr>
        <w:t>ABLE</w:t>
      </w:r>
      <w:r w:rsidRPr="006147D9">
        <w:rPr>
          <w:rFonts w:ascii="Cambria" w:hAnsi="Cambria" w:cs="Times New Roman"/>
          <w:b/>
          <w:color w:val="171717" w:themeColor="background2" w:themeShade="1A"/>
          <w:szCs w:val="21"/>
          <w:shd w:val="clear" w:color="auto" w:fill="FFFFFF"/>
        </w:rPr>
        <w:t xml:space="preserve"> </w:t>
      </w:r>
      <w:r w:rsidR="00FA056C" w:rsidRPr="006147D9">
        <w:rPr>
          <w:rFonts w:ascii="Cambria" w:hAnsi="Cambria" w:cs="Times New Roman"/>
          <w:b/>
          <w:color w:val="171717" w:themeColor="background2" w:themeShade="1A"/>
          <w:szCs w:val="21"/>
          <w:shd w:val="clear" w:color="auto" w:fill="FFFFFF"/>
        </w:rPr>
        <w:t>6</w:t>
      </w:r>
      <w:r w:rsidR="00B10EE1">
        <w:rPr>
          <w:rFonts w:ascii="Cambria" w:hAnsi="Cambria" w:cs="Times New Roman"/>
          <w:b/>
          <w:color w:val="171717" w:themeColor="background2" w:themeShade="1A"/>
          <w:szCs w:val="21"/>
          <w:shd w:val="clear" w:color="auto" w:fill="FFFFFF"/>
        </w:rPr>
        <w:t xml:space="preserve"> </w:t>
      </w:r>
      <w:bookmarkStart w:id="0" w:name="_GoBack"/>
      <w:bookmarkEnd w:id="0"/>
      <w:r w:rsidR="002C4D3C">
        <w:rPr>
          <w:rFonts w:ascii="Cambria" w:hAnsi="Cambria" w:cs="Times New Roman"/>
          <w:b/>
          <w:color w:val="171717" w:themeColor="background2" w:themeShade="1A"/>
          <w:szCs w:val="21"/>
          <w:shd w:val="clear" w:color="auto" w:fill="FFFFFF"/>
        </w:rPr>
        <w:t xml:space="preserve"> </w:t>
      </w:r>
      <w:r w:rsidR="002A3CEA" w:rsidRPr="006147D9"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>C</w:t>
      </w:r>
      <w:r w:rsidRPr="006147D9"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 xml:space="preserve">linical outcomes </w:t>
      </w:r>
      <w:r w:rsidR="00E95A17" w:rsidRPr="006147D9"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  <w:t>in the study, According to the different baseline LDL-C lever.</w:t>
      </w:r>
    </w:p>
    <w:tbl>
      <w:tblPr>
        <w:tblW w:w="5120" w:type="pct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41"/>
        <w:gridCol w:w="110"/>
        <w:gridCol w:w="1021"/>
        <w:gridCol w:w="1135"/>
        <w:gridCol w:w="1419"/>
        <w:gridCol w:w="849"/>
        <w:gridCol w:w="1417"/>
        <w:gridCol w:w="713"/>
      </w:tblGrid>
      <w:tr w:rsidR="00A976E2" w:rsidRPr="006147D9" w14:paraId="08E78CBD" w14:textId="77777777" w:rsidTr="00233DDE">
        <w:trPr>
          <w:trHeight w:val="278"/>
        </w:trPr>
        <w:tc>
          <w:tcPr>
            <w:tcW w:w="1082" w:type="pct"/>
            <w:vMerge w:val="restart"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FA7758" w14:textId="662D6C69" w:rsidR="001F1274" w:rsidRPr="006147D9" w:rsidRDefault="001F1274" w:rsidP="00641337">
            <w:pPr>
              <w:widowControl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5" w:type="pct"/>
            <w:gridSpan w:val="2"/>
            <w:vMerge w:val="restar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518A8" w14:textId="4856ED7F" w:rsidR="001F1274" w:rsidRPr="006147D9" w:rsidRDefault="006773EA" w:rsidP="00641337">
            <w:pPr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bookmarkStart w:id="1" w:name="OLE_LINK3"/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Low-LDL-C</w:t>
            </w:r>
          </w:p>
          <w:bookmarkEnd w:id="1"/>
          <w:p w14:paraId="29C146AF" w14:textId="5A1FA9E4" w:rsidR="001F1274" w:rsidRPr="006147D9" w:rsidRDefault="001F1274" w:rsidP="00641337">
            <w:pPr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(N = 1202)</w:t>
            </w:r>
          </w:p>
        </w:tc>
        <w:tc>
          <w:tcPr>
            <w:tcW w:w="667" w:type="pct"/>
            <w:vMerge w:val="restar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CFB55" w14:textId="0B7C977A" w:rsidR="00641337" w:rsidRPr="006147D9" w:rsidRDefault="006773EA" w:rsidP="00641337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High-LDL-C</w:t>
            </w:r>
            <w:r w:rsidR="00641337"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 xml:space="preserve"> </w:t>
            </w:r>
          </w:p>
          <w:p w14:paraId="76C167A3" w14:textId="0BE2E8A3" w:rsidR="001F1274" w:rsidRPr="006147D9" w:rsidRDefault="00641337" w:rsidP="00641337">
            <w:pPr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 xml:space="preserve"> </w:t>
            </w:r>
            <w:r w:rsidR="001F1274"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(N = 593)</w:t>
            </w:r>
          </w:p>
        </w:tc>
        <w:tc>
          <w:tcPr>
            <w:tcW w:w="1333" w:type="pct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FFFFFF"/>
            </w:tcBorders>
            <w:shd w:val="clear" w:color="auto" w:fill="auto"/>
            <w:noWrap/>
            <w:vAlign w:val="center"/>
            <w:hideMark/>
          </w:tcPr>
          <w:p w14:paraId="74B1BDAA" w14:textId="77777777" w:rsidR="001F1274" w:rsidRPr="006147D9" w:rsidRDefault="001F1274" w:rsidP="00641337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Unadjusted</w:t>
            </w:r>
          </w:p>
        </w:tc>
        <w:tc>
          <w:tcPr>
            <w:tcW w:w="1252" w:type="pct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C620DC" w14:textId="72E28CAA" w:rsidR="001F1274" w:rsidRPr="006147D9" w:rsidRDefault="001F1274" w:rsidP="00641337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Adjusted</w:t>
            </w:r>
            <w:r w:rsidR="001F0806"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 xml:space="preserve"> 1§</w:t>
            </w:r>
          </w:p>
        </w:tc>
      </w:tr>
      <w:tr w:rsidR="00641337" w:rsidRPr="006147D9" w14:paraId="3C03FF48" w14:textId="77777777" w:rsidTr="00233DDE">
        <w:trPr>
          <w:trHeight w:val="278"/>
        </w:trPr>
        <w:tc>
          <w:tcPr>
            <w:tcW w:w="1082" w:type="pct"/>
            <w:vMerge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60EE8F5" w14:textId="77777777" w:rsidR="001F1274" w:rsidRPr="006147D9" w:rsidRDefault="001F1274" w:rsidP="00641337">
            <w:pPr>
              <w:widowControl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5" w:type="pct"/>
            <w:gridSpan w:val="2"/>
            <w:vMerge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0BBE9D" w14:textId="128B9B64" w:rsidR="001F1274" w:rsidRPr="006147D9" w:rsidRDefault="001F1274" w:rsidP="00641337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Merge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9C9567" w14:textId="709200E6" w:rsidR="001F1274" w:rsidRPr="006147D9" w:rsidRDefault="001F1274" w:rsidP="00641337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FFFFFF"/>
            </w:tcBorders>
            <w:shd w:val="clear" w:color="auto" w:fill="auto"/>
            <w:noWrap/>
            <w:vAlign w:val="center"/>
            <w:hideMark/>
          </w:tcPr>
          <w:p w14:paraId="381C80BC" w14:textId="77777777" w:rsidR="001F1274" w:rsidRPr="006147D9" w:rsidRDefault="001F1274" w:rsidP="00641337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HR (95% CI)</w:t>
            </w:r>
          </w:p>
        </w:tc>
        <w:tc>
          <w:tcPr>
            <w:tcW w:w="499" w:type="pct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FFFFFF"/>
            </w:tcBorders>
            <w:shd w:val="clear" w:color="000000" w:fill="FFFFFF"/>
            <w:noWrap/>
            <w:vAlign w:val="center"/>
            <w:hideMark/>
          </w:tcPr>
          <w:p w14:paraId="388390DA" w14:textId="77777777" w:rsidR="001F1274" w:rsidRPr="006147D9" w:rsidRDefault="001F1274" w:rsidP="00641337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p</w:t>
            </w:r>
          </w:p>
        </w:tc>
        <w:tc>
          <w:tcPr>
            <w:tcW w:w="833" w:type="pct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FFFFFF"/>
            </w:tcBorders>
            <w:shd w:val="clear" w:color="000000" w:fill="FFFFFF"/>
            <w:noWrap/>
            <w:vAlign w:val="center"/>
            <w:hideMark/>
          </w:tcPr>
          <w:p w14:paraId="2A58CBE5" w14:textId="77777777" w:rsidR="001F1274" w:rsidRPr="006147D9" w:rsidRDefault="001F1274" w:rsidP="00641337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HR (95% CI)</w:t>
            </w:r>
          </w:p>
        </w:tc>
        <w:tc>
          <w:tcPr>
            <w:tcW w:w="419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92DBB8" w14:textId="77777777" w:rsidR="001F1274" w:rsidRPr="006147D9" w:rsidRDefault="001F1274" w:rsidP="00641337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p</w:t>
            </w:r>
          </w:p>
        </w:tc>
      </w:tr>
      <w:tr w:rsidR="001F1274" w:rsidRPr="006147D9" w14:paraId="43533EC2" w14:textId="77777777" w:rsidTr="004167ED">
        <w:trPr>
          <w:trHeight w:val="278"/>
        </w:trPr>
        <w:tc>
          <w:tcPr>
            <w:tcW w:w="4581" w:type="pct"/>
            <w:gridSpan w:val="7"/>
            <w:tcBorders>
              <w:top w:val="single" w:sz="6" w:space="0" w:color="auto"/>
              <w:left w:val="nil"/>
              <w:bottom w:val="single" w:sz="12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2D60A1AB" w14:textId="6E4D0AE3" w:rsidR="001F1274" w:rsidRPr="006147D9" w:rsidRDefault="001F1274" w:rsidP="00641337">
            <w:pPr>
              <w:pStyle w:val="ae"/>
              <w:widowControl/>
              <w:numPr>
                <w:ilvl w:val="0"/>
                <w:numId w:val="1"/>
              </w:numPr>
              <w:ind w:firstLineChars="0"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  <w:bookmarkStart w:id="2" w:name="OLE_LINK1"/>
            <w:r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Overall population</w:t>
            </w:r>
            <w:bookmarkEnd w:id="2"/>
            <w:r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(N=1795)</w:t>
            </w:r>
          </w:p>
        </w:tc>
        <w:tc>
          <w:tcPr>
            <w:tcW w:w="419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B1" w14:textId="77777777" w:rsidR="001F1274" w:rsidRPr="006147D9" w:rsidRDefault="001F1274" w:rsidP="00641337">
            <w:pPr>
              <w:widowControl/>
              <w:rPr>
                <w:rFonts w:ascii="Cambria" w:eastAsia="DengXian" w:hAnsi="Cambria" w:cs="Times New Roman"/>
                <w:b/>
                <w:bCs/>
                <w:color w:val="171717"/>
                <w:kern w:val="0"/>
                <w:sz w:val="18"/>
                <w:szCs w:val="18"/>
              </w:rPr>
            </w:pPr>
          </w:p>
        </w:tc>
      </w:tr>
      <w:tr w:rsidR="003C798F" w:rsidRPr="006147D9" w14:paraId="4CD24ADB" w14:textId="77777777" w:rsidTr="004167ED">
        <w:trPr>
          <w:trHeight w:val="278"/>
        </w:trPr>
        <w:tc>
          <w:tcPr>
            <w:tcW w:w="5000" w:type="pct"/>
            <w:gridSpan w:val="8"/>
            <w:tcBorders>
              <w:top w:val="single" w:sz="12" w:space="0" w:color="FFFFFF" w:themeColor="background1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5B1219" w14:textId="67FE5950" w:rsidR="003C798F" w:rsidRPr="006147D9" w:rsidRDefault="003C798F" w:rsidP="00641337">
            <w:pPr>
              <w:widowControl/>
              <w:rPr>
                <w:rFonts w:ascii="Cambria" w:eastAsia="Times New Roman" w:hAnsi="Cambria" w:cs="Times New Roman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Primary end point</w:t>
            </w:r>
          </w:p>
        </w:tc>
      </w:tr>
      <w:tr w:rsidR="00641337" w:rsidRPr="006147D9" w14:paraId="7D204D16" w14:textId="77777777" w:rsidTr="00233DDE">
        <w:trPr>
          <w:trHeight w:val="278"/>
        </w:trPr>
        <w:tc>
          <w:tcPr>
            <w:tcW w:w="11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EA47A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MACE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8ABE6" w14:textId="09F8B823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126(13.0)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74649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76(16.1)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02D0C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1.202(0.904-1.598)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CE6A0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0.205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439E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1.009(0.701-1.452)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6E6C8" w14:textId="04153018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0.96</w:t>
            </w:r>
            <w:r w:rsidR="00513FFD"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</w:t>
            </w:r>
          </w:p>
        </w:tc>
      </w:tr>
      <w:tr w:rsidR="003C798F" w:rsidRPr="006147D9" w14:paraId="096998A6" w14:textId="77777777" w:rsidTr="004167ED">
        <w:trPr>
          <w:trHeight w:val="278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11404" w14:textId="6040CBFD" w:rsidR="003C798F" w:rsidRPr="006147D9" w:rsidRDefault="003C798F" w:rsidP="00641337">
            <w:pPr>
              <w:widowControl/>
              <w:rPr>
                <w:rFonts w:ascii="Cambria" w:eastAsia="Times New Roman" w:hAnsi="Cambria" w:cs="Times New Roman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Secondary end points</w:t>
            </w:r>
          </w:p>
        </w:tc>
      </w:tr>
      <w:tr w:rsidR="00641337" w:rsidRPr="006147D9" w14:paraId="746ECFAF" w14:textId="77777777" w:rsidTr="00233DDE">
        <w:trPr>
          <w:trHeight w:val="278"/>
        </w:trPr>
        <w:tc>
          <w:tcPr>
            <w:tcW w:w="11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1DED0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Cardiac death, MI, or Revascularization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DA87B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111(11.8)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54522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71(15.2)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A0A02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1.281(0.951-1.725)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ED4DB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0.103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89F23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1.051(0.718-1.538)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DE9CA" w14:textId="28AFA708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0.8</w:t>
            </w:r>
            <w:r w:rsidR="00641337"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00</w:t>
            </w:r>
          </w:p>
        </w:tc>
      </w:tr>
      <w:tr w:rsidR="00641337" w:rsidRPr="006147D9" w14:paraId="53F10A3B" w14:textId="77777777" w:rsidTr="00233DDE">
        <w:trPr>
          <w:trHeight w:val="278"/>
        </w:trPr>
        <w:tc>
          <w:tcPr>
            <w:tcW w:w="11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25C97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Cardiac death or MI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6FBF9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4(0.4)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D679C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9(1.8)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C91BB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4.509(1.388-14.644)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F8668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0.012*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40498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10.300(1.046-101.461)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119A0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0.046*</w:t>
            </w:r>
          </w:p>
        </w:tc>
      </w:tr>
      <w:tr w:rsidR="00641337" w:rsidRPr="006147D9" w14:paraId="7A18127E" w14:textId="77777777" w:rsidTr="00233DDE">
        <w:trPr>
          <w:trHeight w:val="278"/>
        </w:trPr>
        <w:tc>
          <w:tcPr>
            <w:tcW w:w="11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2640E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All-cause death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55921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8(0.7)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94457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12(2.4)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FB976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3.019(1.234-7.387)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AC773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0.015*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2499E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4.030(1.088-14.934)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EE6C6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0.037*</w:t>
            </w:r>
          </w:p>
        </w:tc>
      </w:tr>
      <w:tr w:rsidR="00641337" w:rsidRPr="006147D9" w14:paraId="1F43E8EA" w14:textId="77777777" w:rsidTr="00233DDE">
        <w:trPr>
          <w:trHeight w:val="278"/>
        </w:trPr>
        <w:tc>
          <w:tcPr>
            <w:tcW w:w="11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A6071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Cardiac death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27B7C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3(0.3)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812DF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8(1.6)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8D226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5.347(1.418-20.156)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2CD2D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0.013*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61B3A" w14:textId="31C173DA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137.729(0.845-2.253</w:t>
            </w:r>
            <w:r w:rsidR="00754619"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×</w:t>
            </w: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10</w:t>
            </w: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  <w:vertAlign w:val="superscript"/>
              </w:rPr>
              <w:t>4</w:t>
            </w: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)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F5EC9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0.058</w:t>
            </w:r>
          </w:p>
        </w:tc>
      </w:tr>
      <w:tr w:rsidR="00641337" w:rsidRPr="006147D9" w14:paraId="6B217E58" w14:textId="77777777" w:rsidTr="00233DDE">
        <w:trPr>
          <w:trHeight w:val="278"/>
        </w:trPr>
        <w:tc>
          <w:tcPr>
            <w:tcW w:w="11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B0CB6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MI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36254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1(0.1)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023E8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1(0.2)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E4AA1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1.984(0.124-31.727)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1EA0B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0.628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C5C85" w14:textId="4C2FDCB5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0.279(0.000-8.350</w:t>
            </w:r>
            <w:r w:rsidR="00754619"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×</w:t>
            </w: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10</w:t>
            </w: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  <w:vertAlign w:val="superscript"/>
              </w:rPr>
              <w:t>45</w:t>
            </w: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)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640D1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0.981</w:t>
            </w:r>
          </w:p>
        </w:tc>
      </w:tr>
      <w:tr w:rsidR="00641337" w:rsidRPr="006147D9" w14:paraId="5CAA3889" w14:textId="77777777" w:rsidTr="00233DDE">
        <w:trPr>
          <w:trHeight w:val="278"/>
        </w:trPr>
        <w:tc>
          <w:tcPr>
            <w:tcW w:w="11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8EFE0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Revascularization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75299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108(11.6)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8728D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63(13.5)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F6331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1.158(0.800-1.580)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D0BB8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0.355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75F2C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0.975(0.659-1.443)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ADFD8" w14:textId="6818AE81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0.9</w:t>
            </w:r>
            <w:r w:rsidR="00513FFD"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00</w:t>
            </w:r>
          </w:p>
        </w:tc>
      </w:tr>
      <w:tr w:rsidR="00641337" w:rsidRPr="006147D9" w14:paraId="012E8298" w14:textId="77777777" w:rsidTr="00233DDE">
        <w:trPr>
          <w:trHeight w:val="278"/>
        </w:trPr>
        <w:tc>
          <w:tcPr>
            <w:tcW w:w="11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7BC29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Any nonfatal stroke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A22F3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12(1.2)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B84A4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3(0.5)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C628A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0.498(0.141-1.765)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D359B" w14:textId="3BE2B933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0.28</w:t>
            </w:r>
            <w:r w:rsidR="00513FFD"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E3D40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0.712(0.169-3.001)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06DBB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0.643</w:t>
            </w:r>
          </w:p>
        </w:tc>
      </w:tr>
      <w:tr w:rsidR="00641337" w:rsidRPr="006147D9" w14:paraId="338C83BE" w14:textId="77777777" w:rsidTr="00233DDE">
        <w:trPr>
          <w:trHeight w:val="278"/>
        </w:trPr>
        <w:tc>
          <w:tcPr>
            <w:tcW w:w="1148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4BBBC" w14:textId="77777777" w:rsidR="007D5C0D" w:rsidRPr="006147D9" w:rsidRDefault="007D5C0D" w:rsidP="00275025">
            <w:pPr>
              <w:widowControl/>
              <w:ind w:firstLineChars="100" w:firstLine="180"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Ischemic stroke</w:t>
            </w:r>
          </w:p>
        </w:tc>
        <w:tc>
          <w:tcPr>
            <w:tcW w:w="5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3162D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10(1.0)</w:t>
            </w:r>
          </w:p>
        </w:tc>
        <w:tc>
          <w:tcPr>
            <w:tcW w:w="66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6C3E4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3(0.5)</w:t>
            </w:r>
          </w:p>
        </w:tc>
        <w:tc>
          <w:tcPr>
            <w:tcW w:w="83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5F24C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0.597(0.164-2.169)</w:t>
            </w:r>
          </w:p>
        </w:tc>
        <w:tc>
          <w:tcPr>
            <w:tcW w:w="4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D19BC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0.433</w:t>
            </w:r>
          </w:p>
        </w:tc>
        <w:tc>
          <w:tcPr>
            <w:tcW w:w="8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1301E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0.756(0.172-3.311)</w:t>
            </w:r>
          </w:p>
        </w:tc>
        <w:tc>
          <w:tcPr>
            <w:tcW w:w="41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FBB2C" w14:textId="75A7A1CA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0.71</w:t>
            </w:r>
            <w:r w:rsidR="00641337"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</w:t>
            </w:r>
          </w:p>
        </w:tc>
      </w:tr>
      <w:tr w:rsidR="00641337" w:rsidRPr="006147D9" w14:paraId="5A7AFEE9" w14:textId="77777777" w:rsidTr="00233DDE">
        <w:trPr>
          <w:trHeight w:val="278"/>
        </w:trPr>
        <w:tc>
          <w:tcPr>
            <w:tcW w:w="1148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A6D40F" w14:textId="77777777" w:rsidR="007D5C0D" w:rsidRPr="006147D9" w:rsidRDefault="007D5C0D" w:rsidP="00275025">
            <w:pPr>
              <w:widowControl/>
              <w:ind w:firstLineChars="100" w:firstLine="180"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Hemorrhagic stroke</w:t>
            </w:r>
          </w:p>
        </w:tc>
        <w:tc>
          <w:tcPr>
            <w:tcW w:w="599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21A98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2(0.2)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62F636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0(0.0)</w:t>
            </w:r>
          </w:p>
        </w:tc>
        <w:tc>
          <w:tcPr>
            <w:tcW w:w="834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8C49EA" w14:textId="67DE57F4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0.026(0.000-5</w:t>
            </w:r>
            <w:r w:rsidR="00641337"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.988</w:t>
            </w:r>
            <w:r w:rsidR="00754619"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×</w:t>
            </w:r>
            <w:r w:rsidR="00641337"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10</w:t>
            </w:r>
            <w:r w:rsidR="00641337"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  <w:vertAlign w:val="superscript"/>
              </w:rPr>
              <w:t>3</w:t>
            </w: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)</w:t>
            </w:r>
          </w:p>
        </w:tc>
        <w:tc>
          <w:tcPr>
            <w:tcW w:w="499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FC56BF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0.563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98B4D4" w14:textId="0DF1217D" w:rsidR="007D5C0D" w:rsidRPr="006147D9" w:rsidRDefault="00AF29D7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0.000(0.000-5.533×</w:t>
            </w:r>
            <w:r w:rsidR="007D5C0D"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10</w:t>
            </w:r>
            <w:r w:rsidR="007D5C0D"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  <w:vertAlign w:val="superscript"/>
              </w:rPr>
              <w:t>237</w:t>
            </w:r>
            <w:r w:rsidR="007D5C0D"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)</w:t>
            </w:r>
          </w:p>
        </w:tc>
        <w:tc>
          <w:tcPr>
            <w:tcW w:w="419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5E01E2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0.978</w:t>
            </w:r>
          </w:p>
        </w:tc>
      </w:tr>
      <w:tr w:rsidR="00A976E2" w:rsidRPr="006147D9" w14:paraId="72C90A26" w14:textId="77777777" w:rsidTr="00233DDE">
        <w:trPr>
          <w:trHeight w:val="278"/>
        </w:trPr>
        <w:tc>
          <w:tcPr>
            <w:tcW w:w="1083" w:type="pct"/>
            <w:vMerge w:val="restart"/>
            <w:tcBorders>
              <w:top w:val="single" w:sz="6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B92193F" w14:textId="25BCBB35" w:rsidR="001F1274" w:rsidRPr="006147D9" w:rsidRDefault="001F1274" w:rsidP="00641337">
            <w:pPr>
              <w:widowControl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4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37954" w14:textId="362EA916" w:rsidR="00641337" w:rsidRPr="006147D9" w:rsidRDefault="006773EA" w:rsidP="00641337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Low-LDL-C</w:t>
            </w:r>
            <w:r w:rsidR="00641337"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 xml:space="preserve"> </w:t>
            </w:r>
          </w:p>
          <w:p w14:paraId="6EDF4F3D" w14:textId="6F524342" w:rsidR="001F1274" w:rsidRPr="006147D9" w:rsidRDefault="00641337" w:rsidP="00641337">
            <w:pPr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 xml:space="preserve"> </w:t>
            </w:r>
            <w:r w:rsidR="001F1274"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(N = 443)</w:t>
            </w:r>
          </w:p>
        </w:tc>
        <w:tc>
          <w:tcPr>
            <w:tcW w:w="667" w:type="pct"/>
            <w:vMerge w:val="restart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B4093" w14:textId="3666D404" w:rsidR="00641337" w:rsidRPr="006147D9" w:rsidRDefault="006773EA" w:rsidP="00641337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High-LDL-C</w:t>
            </w:r>
            <w:r w:rsidR="00641337"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 xml:space="preserve"> </w:t>
            </w:r>
          </w:p>
          <w:p w14:paraId="07EFD0B3" w14:textId="79191C25" w:rsidR="001F1274" w:rsidRPr="006147D9" w:rsidRDefault="00641337" w:rsidP="00641337">
            <w:pPr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 xml:space="preserve"> </w:t>
            </w:r>
            <w:r w:rsidR="001F1274"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(N = 443)</w:t>
            </w:r>
          </w:p>
        </w:tc>
        <w:tc>
          <w:tcPr>
            <w:tcW w:w="1333" w:type="pct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FFFFFF"/>
            </w:tcBorders>
            <w:shd w:val="clear" w:color="auto" w:fill="auto"/>
            <w:noWrap/>
            <w:vAlign w:val="center"/>
            <w:hideMark/>
          </w:tcPr>
          <w:p w14:paraId="1626081F" w14:textId="77777777" w:rsidR="001F1274" w:rsidRPr="006147D9" w:rsidRDefault="001F1274" w:rsidP="00641337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Unadjusted</w:t>
            </w:r>
          </w:p>
        </w:tc>
        <w:tc>
          <w:tcPr>
            <w:tcW w:w="1252" w:type="pct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123D5E" w14:textId="4B41D907" w:rsidR="001F1274" w:rsidRPr="006147D9" w:rsidRDefault="001F1274" w:rsidP="00641337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Adjusted</w:t>
            </w:r>
            <w:r w:rsidR="001F0806"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 xml:space="preserve"> 2</w:t>
            </w:r>
            <w:r w:rsidR="00492DE0"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 xml:space="preserve"> Φ</w:t>
            </w:r>
          </w:p>
        </w:tc>
      </w:tr>
      <w:tr w:rsidR="00561715" w:rsidRPr="006147D9" w14:paraId="46B43791" w14:textId="77777777" w:rsidTr="00233DDE">
        <w:trPr>
          <w:trHeight w:val="278"/>
        </w:trPr>
        <w:tc>
          <w:tcPr>
            <w:tcW w:w="1083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5974D31" w14:textId="77777777" w:rsidR="001F1274" w:rsidRPr="006147D9" w:rsidRDefault="001F1274" w:rsidP="00641337">
            <w:pPr>
              <w:widowControl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4" w:type="pct"/>
            <w:gridSpan w:val="2"/>
            <w:vMerge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90E2B" w14:textId="17D243F9" w:rsidR="001F1274" w:rsidRPr="006147D9" w:rsidRDefault="001F1274" w:rsidP="00641337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Merge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215866" w14:textId="4914C755" w:rsidR="001F1274" w:rsidRPr="006147D9" w:rsidRDefault="001F1274" w:rsidP="00641337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FFFFFF"/>
            </w:tcBorders>
            <w:shd w:val="clear" w:color="auto" w:fill="auto"/>
            <w:noWrap/>
            <w:vAlign w:val="center"/>
            <w:hideMark/>
          </w:tcPr>
          <w:p w14:paraId="7548ED2F" w14:textId="77777777" w:rsidR="001F1274" w:rsidRPr="006147D9" w:rsidRDefault="001F1274" w:rsidP="00641337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HR (95% CI)</w:t>
            </w:r>
          </w:p>
        </w:tc>
        <w:tc>
          <w:tcPr>
            <w:tcW w:w="499" w:type="pct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FFFFFF"/>
            </w:tcBorders>
            <w:shd w:val="clear" w:color="000000" w:fill="FFFFFF"/>
            <w:noWrap/>
            <w:vAlign w:val="center"/>
            <w:hideMark/>
          </w:tcPr>
          <w:p w14:paraId="09C023C1" w14:textId="77777777" w:rsidR="001F1274" w:rsidRPr="006147D9" w:rsidRDefault="001F1274" w:rsidP="00641337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p</w:t>
            </w:r>
          </w:p>
        </w:tc>
        <w:tc>
          <w:tcPr>
            <w:tcW w:w="833" w:type="pct"/>
            <w:tcBorders>
              <w:top w:val="nil"/>
              <w:left w:val="nil"/>
              <w:bottom w:val="single" w:sz="6" w:space="0" w:color="auto"/>
              <w:right w:val="single" w:sz="12" w:space="0" w:color="FFFFFF"/>
            </w:tcBorders>
            <w:shd w:val="clear" w:color="000000" w:fill="FFFFFF"/>
            <w:noWrap/>
            <w:vAlign w:val="center"/>
            <w:hideMark/>
          </w:tcPr>
          <w:p w14:paraId="2B286A5F" w14:textId="77777777" w:rsidR="001F1274" w:rsidRPr="006147D9" w:rsidRDefault="001F1274" w:rsidP="00641337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HR (95% CI)</w:t>
            </w:r>
          </w:p>
        </w:tc>
        <w:tc>
          <w:tcPr>
            <w:tcW w:w="419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858E63" w14:textId="77777777" w:rsidR="001F1274" w:rsidRPr="006147D9" w:rsidRDefault="001F1274" w:rsidP="00641337">
            <w:pPr>
              <w:widowControl/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bCs/>
                <w:color w:val="171717"/>
                <w:kern w:val="0"/>
                <w:sz w:val="18"/>
                <w:szCs w:val="18"/>
              </w:rPr>
              <w:t>p</w:t>
            </w:r>
          </w:p>
        </w:tc>
      </w:tr>
      <w:tr w:rsidR="001F1274" w:rsidRPr="006147D9" w14:paraId="1EC49C05" w14:textId="77777777" w:rsidTr="004167ED">
        <w:trPr>
          <w:trHeight w:val="278"/>
        </w:trPr>
        <w:tc>
          <w:tcPr>
            <w:tcW w:w="5000" w:type="pct"/>
            <w:gridSpan w:val="8"/>
            <w:tcBorders>
              <w:top w:val="single" w:sz="6" w:space="0" w:color="auto"/>
              <w:left w:val="nil"/>
              <w:bottom w:val="single" w:sz="12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39A2347E" w14:textId="4DAAF6AC" w:rsidR="001F1274" w:rsidRPr="006147D9" w:rsidRDefault="001F1274" w:rsidP="00641337">
            <w:pPr>
              <w:widowControl/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</w:pPr>
            <w:bookmarkStart w:id="3" w:name="OLE_LINK2"/>
            <w:r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B. Propensity-matched population</w:t>
            </w:r>
            <w:bookmarkEnd w:id="3"/>
            <w:r w:rsidRPr="006147D9">
              <w:rPr>
                <w:rFonts w:ascii="Cambria" w:eastAsia="DengXian" w:hAnsi="Cambria" w:cs="Times New Roman"/>
                <w:color w:val="000000"/>
                <w:kern w:val="0"/>
                <w:sz w:val="18"/>
                <w:szCs w:val="18"/>
              </w:rPr>
              <w:t>(N=886)</w:t>
            </w:r>
          </w:p>
        </w:tc>
      </w:tr>
      <w:tr w:rsidR="00641337" w:rsidRPr="006147D9" w14:paraId="7483237E" w14:textId="77777777" w:rsidTr="00233DDE">
        <w:trPr>
          <w:trHeight w:val="278"/>
        </w:trPr>
        <w:tc>
          <w:tcPr>
            <w:tcW w:w="1747" w:type="pct"/>
            <w:gridSpan w:val="3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221E9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Primary end point</w:t>
            </w:r>
          </w:p>
        </w:tc>
        <w:tc>
          <w:tcPr>
            <w:tcW w:w="667" w:type="pct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BED65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</w:p>
        </w:tc>
        <w:tc>
          <w:tcPr>
            <w:tcW w:w="834" w:type="pct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EF802" w14:textId="77777777" w:rsidR="007D5C0D" w:rsidRPr="006147D9" w:rsidRDefault="007D5C0D" w:rsidP="00641337">
            <w:pPr>
              <w:widowControl/>
              <w:rPr>
                <w:rFonts w:ascii="Cambria" w:eastAsia="Times New Roman" w:hAnsi="Cambria" w:cs="Times New Roman"/>
                <w:kern w:val="0"/>
                <w:sz w:val="18"/>
                <w:szCs w:val="18"/>
              </w:rPr>
            </w:pPr>
          </w:p>
        </w:tc>
        <w:tc>
          <w:tcPr>
            <w:tcW w:w="499" w:type="pct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D4709" w14:textId="77777777" w:rsidR="007D5C0D" w:rsidRPr="006147D9" w:rsidRDefault="007D5C0D" w:rsidP="00641337">
            <w:pPr>
              <w:widowControl/>
              <w:rPr>
                <w:rFonts w:ascii="Cambria" w:eastAsia="Times New Roman" w:hAnsi="Cambria" w:cs="Times New Roman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AE3BB" w14:textId="77777777" w:rsidR="007D5C0D" w:rsidRPr="006147D9" w:rsidRDefault="007D5C0D" w:rsidP="00641337">
            <w:pPr>
              <w:widowControl/>
              <w:rPr>
                <w:rFonts w:ascii="Cambria" w:eastAsia="Times New Roman" w:hAnsi="Cambria" w:cs="Times New Roman"/>
                <w:kern w:val="0"/>
                <w:sz w:val="18"/>
                <w:szCs w:val="18"/>
              </w:rPr>
            </w:pPr>
          </w:p>
        </w:tc>
        <w:tc>
          <w:tcPr>
            <w:tcW w:w="419" w:type="pct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F775D" w14:textId="77777777" w:rsidR="007D5C0D" w:rsidRPr="006147D9" w:rsidRDefault="007D5C0D" w:rsidP="00641337">
            <w:pPr>
              <w:widowControl/>
              <w:rPr>
                <w:rFonts w:ascii="Cambria" w:eastAsia="Times New Roman" w:hAnsi="Cambria" w:cs="Times New Roman"/>
                <w:kern w:val="0"/>
                <w:sz w:val="18"/>
                <w:szCs w:val="18"/>
              </w:rPr>
            </w:pPr>
          </w:p>
        </w:tc>
      </w:tr>
      <w:tr w:rsidR="00641337" w:rsidRPr="006147D9" w14:paraId="67A30210" w14:textId="77777777" w:rsidTr="00233DDE">
        <w:trPr>
          <w:trHeight w:val="278"/>
        </w:trPr>
        <w:tc>
          <w:tcPr>
            <w:tcW w:w="11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58A83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MACE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FB99B" w14:textId="6F97CE00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51(13.9)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02602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52(15.1)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EE521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1.032(0.702-1.519)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90AFD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0.872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76A40" w14:textId="6EF88D71" w:rsidR="007D5C0D" w:rsidRPr="006147D9" w:rsidRDefault="00462AAE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0.981(0.656-1.468</w:t>
            </w:r>
            <w:r w:rsidR="007D5C0D"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)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3C0AA" w14:textId="46D45939" w:rsidR="007D5C0D" w:rsidRPr="006147D9" w:rsidRDefault="00462AAE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0.926</w:t>
            </w:r>
          </w:p>
        </w:tc>
      </w:tr>
      <w:tr w:rsidR="00641337" w:rsidRPr="006147D9" w14:paraId="6529C751" w14:textId="77777777" w:rsidTr="00233DDE">
        <w:trPr>
          <w:trHeight w:val="278"/>
        </w:trPr>
        <w:tc>
          <w:tcPr>
            <w:tcW w:w="11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30483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Secondary end points</w:t>
            </w:r>
          </w:p>
        </w:tc>
        <w:tc>
          <w:tcPr>
            <w:tcW w:w="126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11A96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5D638" w14:textId="77777777" w:rsidR="007D5C0D" w:rsidRPr="006147D9" w:rsidRDefault="007D5C0D" w:rsidP="00641337">
            <w:pPr>
              <w:widowControl/>
              <w:rPr>
                <w:rFonts w:ascii="Cambria" w:eastAsia="Times New Roman" w:hAnsi="Cambria" w:cs="Times New Roman"/>
                <w:kern w:val="0"/>
                <w:sz w:val="18"/>
                <w:szCs w:val="18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7E122" w14:textId="77777777" w:rsidR="007D5C0D" w:rsidRPr="006147D9" w:rsidRDefault="007D5C0D" w:rsidP="00641337">
            <w:pPr>
              <w:widowControl/>
              <w:rPr>
                <w:rFonts w:ascii="Cambria" w:eastAsia="Times New Roman" w:hAnsi="Cambria" w:cs="Times New Roman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4B76E" w14:textId="77777777" w:rsidR="007D5C0D" w:rsidRPr="006147D9" w:rsidRDefault="007D5C0D" w:rsidP="00641337">
            <w:pPr>
              <w:widowControl/>
              <w:rPr>
                <w:rFonts w:ascii="Cambria" w:eastAsia="Times New Roman" w:hAnsi="Cambria" w:cs="Times New Roman"/>
                <w:kern w:val="0"/>
                <w:sz w:val="18"/>
                <w:szCs w:val="18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DEE3F" w14:textId="77777777" w:rsidR="007D5C0D" w:rsidRPr="006147D9" w:rsidRDefault="007D5C0D" w:rsidP="00641337">
            <w:pPr>
              <w:widowControl/>
              <w:rPr>
                <w:rFonts w:ascii="Cambria" w:eastAsia="Times New Roman" w:hAnsi="Cambria" w:cs="Times New Roman"/>
                <w:kern w:val="0"/>
                <w:sz w:val="18"/>
                <w:szCs w:val="18"/>
              </w:rPr>
            </w:pPr>
          </w:p>
        </w:tc>
      </w:tr>
      <w:tr w:rsidR="00641337" w:rsidRPr="006147D9" w14:paraId="2E82E79C" w14:textId="77777777" w:rsidTr="00233DDE">
        <w:trPr>
          <w:trHeight w:val="278"/>
        </w:trPr>
        <w:tc>
          <w:tcPr>
            <w:tcW w:w="11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065DD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Cardiac death, MI, or Revascularization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0974A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46(12.7)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8E114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48(14.1)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F8506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1.061(0.708-1.590)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EF8F7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0.775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20801" w14:textId="78850831" w:rsidR="007D5C0D" w:rsidRPr="006147D9" w:rsidRDefault="00462AAE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1.015</w:t>
            </w:r>
            <w:r w:rsidR="007D5C0D"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(0.</w:t>
            </w: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665-1.548</w:t>
            </w:r>
            <w:r w:rsidR="007D5C0D"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)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9D3E5" w14:textId="7090ADEF" w:rsidR="007D5C0D" w:rsidRPr="006147D9" w:rsidRDefault="00B72917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0.946</w:t>
            </w:r>
          </w:p>
        </w:tc>
      </w:tr>
      <w:tr w:rsidR="00641337" w:rsidRPr="006147D9" w14:paraId="50AE53F7" w14:textId="77777777" w:rsidTr="00233DDE">
        <w:trPr>
          <w:trHeight w:val="278"/>
        </w:trPr>
        <w:tc>
          <w:tcPr>
            <w:tcW w:w="11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C2968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Cardiac death or MI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D5D89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0(0)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A3A32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4(1.3)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5972" w14:textId="74B62F49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65.957(0.021-2.050</w:t>
            </w:r>
            <w:r w:rsidR="00754619"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×</w:t>
            </w: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10</w:t>
            </w:r>
            <w:r w:rsidR="0040621C" w:rsidRPr="006147D9">
              <w:rPr>
                <w:rFonts w:ascii="Cambria" w:eastAsia="DengXian" w:hAnsi="Cambria" w:cs="Times New Roman"/>
                <w:kern w:val="0"/>
                <w:sz w:val="18"/>
                <w:szCs w:val="18"/>
                <w:vertAlign w:val="superscript"/>
              </w:rPr>
              <w:t>5</w:t>
            </w: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F369E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0.045*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1AD3" w14:textId="339214E4" w:rsidR="007D5C0D" w:rsidRPr="006147D9" w:rsidRDefault="00B72917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3.836*10</w:t>
            </w: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  <w:vertAlign w:val="superscript"/>
              </w:rPr>
              <w:t>7</w:t>
            </w:r>
            <w:r w:rsidR="007D5C0D"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(</w:t>
            </w: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</w:t>
            </w:r>
            <w:r w:rsidR="007D5C0D"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-1</w:t>
            </w: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.734</w:t>
            </w:r>
            <w:r w:rsidR="00754619"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×</w:t>
            </w: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10</w:t>
            </w: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  <w:vertAlign w:val="superscript"/>
              </w:rPr>
              <w:t>132</w:t>
            </w:r>
            <w:r w:rsidR="007D5C0D"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)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4D8CF" w14:textId="3CFEDC00" w:rsidR="007D5C0D" w:rsidRPr="006147D9" w:rsidRDefault="00B72917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0.905</w:t>
            </w:r>
          </w:p>
        </w:tc>
      </w:tr>
      <w:tr w:rsidR="00641337" w:rsidRPr="006147D9" w14:paraId="56B92400" w14:textId="77777777" w:rsidTr="00233DDE">
        <w:trPr>
          <w:trHeight w:val="278"/>
        </w:trPr>
        <w:tc>
          <w:tcPr>
            <w:tcW w:w="11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8119B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All-cause death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85035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1(0.2)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9E67B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7(2.1)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BE5BB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7.156(0.880-58.180)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92A1A" w14:textId="77777777" w:rsidR="007D5C0D" w:rsidRPr="006147D9" w:rsidRDefault="007D5C0D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0.031*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0E1E4" w14:textId="66B28424" w:rsidR="007D5C0D" w:rsidRPr="006147D9" w:rsidRDefault="00275025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6.887</w:t>
            </w:r>
            <w:r w:rsidR="007D5C0D"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(</w:t>
            </w: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0.748-63.371</w:t>
            </w:r>
            <w:r w:rsidR="007D5C0D"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)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6B561" w14:textId="7A6614F5" w:rsidR="007D5C0D" w:rsidRPr="006147D9" w:rsidRDefault="00275025" w:rsidP="00641337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0.088</w:t>
            </w:r>
          </w:p>
        </w:tc>
      </w:tr>
      <w:tr w:rsidR="00275025" w:rsidRPr="006147D9" w14:paraId="14262672" w14:textId="77777777" w:rsidTr="00233DDE">
        <w:trPr>
          <w:trHeight w:val="278"/>
        </w:trPr>
        <w:tc>
          <w:tcPr>
            <w:tcW w:w="11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0512" w14:textId="77777777" w:rsidR="00275025" w:rsidRPr="006147D9" w:rsidRDefault="00275025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Cardiac death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A3AAF" w14:textId="77777777" w:rsidR="00275025" w:rsidRPr="006147D9" w:rsidRDefault="00275025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0(0)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A3FC9" w14:textId="77777777" w:rsidR="00275025" w:rsidRPr="006147D9" w:rsidRDefault="00275025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4(1.3)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DF7BB" w14:textId="423FE7CC" w:rsidR="00275025" w:rsidRPr="006147D9" w:rsidRDefault="00275025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65.957(0.021-2.050</w:t>
            </w:r>
            <w:r w:rsidR="00754619"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×</w:t>
            </w: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10</w:t>
            </w:r>
            <w:r w:rsidRPr="006147D9">
              <w:rPr>
                <w:rFonts w:ascii="Cambria" w:eastAsia="DengXian" w:hAnsi="Cambria" w:cs="Times New Roman"/>
                <w:kern w:val="0"/>
                <w:sz w:val="18"/>
                <w:szCs w:val="18"/>
                <w:vertAlign w:val="superscript"/>
              </w:rPr>
              <w:t>5</w:t>
            </w: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5A87B" w14:textId="77777777" w:rsidR="00275025" w:rsidRPr="006147D9" w:rsidRDefault="00275025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0.045*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D77F0" w14:textId="72A402ED" w:rsidR="00275025" w:rsidRPr="006147D9" w:rsidRDefault="00275025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3.836*10</w:t>
            </w: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  <w:vertAlign w:val="superscript"/>
              </w:rPr>
              <w:t>7</w:t>
            </w: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(0-1.734</w:t>
            </w:r>
            <w:r w:rsidR="00754619"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×</w:t>
            </w: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10</w:t>
            </w: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  <w:vertAlign w:val="superscript"/>
              </w:rPr>
              <w:t>132</w:t>
            </w: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)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EF268" w14:textId="342B5ABA" w:rsidR="00275025" w:rsidRPr="006147D9" w:rsidRDefault="00275025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0.905</w:t>
            </w:r>
          </w:p>
        </w:tc>
      </w:tr>
      <w:tr w:rsidR="00275025" w:rsidRPr="006147D9" w14:paraId="5F353180" w14:textId="77777777" w:rsidTr="00233DDE">
        <w:trPr>
          <w:trHeight w:val="278"/>
        </w:trPr>
        <w:tc>
          <w:tcPr>
            <w:tcW w:w="11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DB2C4" w14:textId="77777777" w:rsidR="00275025" w:rsidRPr="006147D9" w:rsidRDefault="00275025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MI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FCA64" w14:textId="77777777" w:rsidR="00275025" w:rsidRPr="006147D9" w:rsidRDefault="00275025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0(0)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43938" w14:textId="77777777" w:rsidR="00275025" w:rsidRPr="006147D9" w:rsidRDefault="00275025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0(0)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3D97C" w14:textId="77777777" w:rsidR="00275025" w:rsidRPr="006147D9" w:rsidRDefault="00275025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B301B" w14:textId="77777777" w:rsidR="00275025" w:rsidRPr="006147D9" w:rsidRDefault="00275025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14F48" w14:textId="77777777" w:rsidR="00275025" w:rsidRPr="006147D9" w:rsidRDefault="00275025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B3DF8" w14:textId="77777777" w:rsidR="00275025" w:rsidRPr="006147D9" w:rsidRDefault="00275025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</w:t>
            </w:r>
          </w:p>
        </w:tc>
      </w:tr>
      <w:tr w:rsidR="00275025" w:rsidRPr="006147D9" w14:paraId="0A9F7067" w14:textId="77777777" w:rsidTr="00233DDE">
        <w:trPr>
          <w:trHeight w:val="278"/>
        </w:trPr>
        <w:tc>
          <w:tcPr>
            <w:tcW w:w="11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8F69C" w14:textId="77777777" w:rsidR="00275025" w:rsidRPr="006147D9" w:rsidRDefault="00275025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Revascularization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982DB" w14:textId="77777777" w:rsidR="00275025" w:rsidRPr="006147D9" w:rsidRDefault="00275025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46(12.7)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DF0A3" w14:textId="77777777" w:rsidR="00275025" w:rsidRPr="006147D9" w:rsidRDefault="00275025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44(12.8)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57854" w14:textId="77777777" w:rsidR="00275025" w:rsidRPr="006147D9" w:rsidRDefault="00275025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0.967(0.640-1.462)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60390" w14:textId="77777777" w:rsidR="00275025" w:rsidRPr="006147D9" w:rsidRDefault="00275025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0.873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36502" w14:textId="12948953" w:rsidR="00275025" w:rsidRPr="006147D9" w:rsidRDefault="00275025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0.926(0.602-1.425)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6D252" w14:textId="7D282E89" w:rsidR="00275025" w:rsidRPr="006147D9" w:rsidRDefault="00275025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0.727</w:t>
            </w:r>
          </w:p>
        </w:tc>
      </w:tr>
      <w:tr w:rsidR="00275025" w:rsidRPr="006147D9" w14:paraId="4234C533" w14:textId="77777777" w:rsidTr="00233DDE">
        <w:trPr>
          <w:trHeight w:val="278"/>
        </w:trPr>
        <w:tc>
          <w:tcPr>
            <w:tcW w:w="11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7E661" w14:textId="77777777" w:rsidR="00275025" w:rsidRPr="006147D9" w:rsidRDefault="00275025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lastRenderedPageBreak/>
              <w:t>Any nonfatal stroke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DCB3D" w14:textId="77777777" w:rsidR="00275025" w:rsidRPr="006147D9" w:rsidRDefault="00275025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5(1.6)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BF3E" w14:textId="77777777" w:rsidR="00275025" w:rsidRPr="006147D9" w:rsidRDefault="00275025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3(0.7)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7B6CC" w14:textId="77777777" w:rsidR="00275025" w:rsidRPr="006147D9" w:rsidRDefault="00275025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0.597(0.143-2.499)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C5A99" w14:textId="4944584C" w:rsidR="00275025" w:rsidRPr="006147D9" w:rsidRDefault="00275025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0.480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C52AF" w14:textId="60100871" w:rsidR="00275025" w:rsidRPr="006147D9" w:rsidRDefault="00275025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</w:t>
            </w:r>
            <w:r w:rsidR="00267D0E"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520</w:t>
            </w: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(0.</w:t>
            </w:r>
            <w:r w:rsidR="00267D0E"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117-2.300</w:t>
            </w: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)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CD8C4" w14:textId="64778816" w:rsidR="00275025" w:rsidRPr="006147D9" w:rsidRDefault="00267D0E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0.389</w:t>
            </w:r>
          </w:p>
        </w:tc>
      </w:tr>
      <w:tr w:rsidR="00275025" w:rsidRPr="006147D9" w14:paraId="12CC61C6" w14:textId="77777777" w:rsidTr="00233DDE">
        <w:trPr>
          <w:trHeight w:val="278"/>
        </w:trPr>
        <w:tc>
          <w:tcPr>
            <w:tcW w:w="11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E01E0" w14:textId="77777777" w:rsidR="00275025" w:rsidRPr="006147D9" w:rsidRDefault="00275025" w:rsidP="00275025">
            <w:pPr>
              <w:widowControl/>
              <w:ind w:firstLineChars="100" w:firstLine="180"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Ischemic stroke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AF219" w14:textId="77777777" w:rsidR="00275025" w:rsidRPr="006147D9" w:rsidRDefault="00275025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5(1.6)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68F83" w14:textId="77777777" w:rsidR="00275025" w:rsidRPr="006147D9" w:rsidRDefault="00275025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3(0.7)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C53AF" w14:textId="77777777" w:rsidR="00275025" w:rsidRPr="006147D9" w:rsidRDefault="00275025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0.597(0.143-2.499)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311CD" w14:textId="5DFC2E07" w:rsidR="00275025" w:rsidRPr="006147D9" w:rsidRDefault="00275025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0.480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ECC47" w14:textId="4B62B0E4" w:rsidR="00275025" w:rsidRPr="006147D9" w:rsidRDefault="00267D0E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0.520(0.117-2.300)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F7B5C" w14:textId="4BA5ECBA" w:rsidR="00275025" w:rsidRPr="006147D9" w:rsidRDefault="00267D0E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0.389</w:t>
            </w:r>
          </w:p>
        </w:tc>
      </w:tr>
      <w:tr w:rsidR="00275025" w:rsidRPr="006147D9" w14:paraId="15F4791F" w14:textId="77777777" w:rsidTr="00233DDE">
        <w:trPr>
          <w:trHeight w:val="278"/>
        </w:trPr>
        <w:tc>
          <w:tcPr>
            <w:tcW w:w="1148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CFAB3E" w14:textId="77777777" w:rsidR="00275025" w:rsidRPr="006147D9" w:rsidRDefault="00275025" w:rsidP="00275025">
            <w:pPr>
              <w:widowControl/>
              <w:ind w:firstLineChars="100" w:firstLine="180"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Hemorrhagic stroke</w:t>
            </w:r>
          </w:p>
        </w:tc>
        <w:tc>
          <w:tcPr>
            <w:tcW w:w="59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E939D9" w14:textId="77777777" w:rsidR="00275025" w:rsidRPr="006147D9" w:rsidRDefault="00275025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0(0)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5D08E1" w14:textId="77777777" w:rsidR="00275025" w:rsidRPr="006147D9" w:rsidRDefault="00275025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0(0)</w:t>
            </w:r>
          </w:p>
        </w:tc>
        <w:tc>
          <w:tcPr>
            <w:tcW w:w="83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2A91C8" w14:textId="77777777" w:rsidR="00275025" w:rsidRPr="006147D9" w:rsidRDefault="00275025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</w:t>
            </w:r>
          </w:p>
        </w:tc>
        <w:tc>
          <w:tcPr>
            <w:tcW w:w="49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276AD1" w14:textId="77777777" w:rsidR="00275025" w:rsidRPr="006147D9" w:rsidRDefault="00275025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39A081" w14:textId="77777777" w:rsidR="00275025" w:rsidRPr="006147D9" w:rsidRDefault="00275025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CF40C4" w14:textId="77777777" w:rsidR="00275025" w:rsidRPr="006147D9" w:rsidRDefault="00275025" w:rsidP="00275025">
            <w:pPr>
              <w:widowControl/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</w:pPr>
            <w:r w:rsidRPr="006147D9">
              <w:rPr>
                <w:rFonts w:ascii="Cambria" w:eastAsia="DengXian" w:hAnsi="Cambria" w:cs="Times New Roman"/>
                <w:color w:val="171717"/>
                <w:kern w:val="0"/>
                <w:sz w:val="18"/>
                <w:szCs w:val="18"/>
              </w:rPr>
              <w:t>0</w:t>
            </w:r>
          </w:p>
        </w:tc>
      </w:tr>
    </w:tbl>
    <w:p w14:paraId="0D99B45F" w14:textId="0DD728D9" w:rsidR="00A976E2" w:rsidRPr="006147D9" w:rsidRDefault="00A976E2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6DE09126" w14:textId="77777777" w:rsidR="001F0806" w:rsidRPr="006147D9" w:rsidRDefault="00F31E45">
      <w:pPr>
        <w:rPr>
          <w:rFonts w:ascii="Cambria" w:hAnsi="Cambria" w:cs="Times New Roman"/>
          <w:color w:val="171717" w:themeColor="background2" w:themeShade="1A"/>
          <w:shd w:val="clear" w:color="auto" w:fill="FFFFFF"/>
        </w:rPr>
      </w:pPr>
      <w:r w:rsidRPr="006147D9">
        <w:rPr>
          <w:rFonts w:ascii="Cambria" w:hAnsi="Cambria" w:cs="Times New Roman"/>
          <w:color w:val="171717" w:themeColor="background2" w:themeShade="1A"/>
          <w:shd w:val="clear" w:color="auto" w:fill="FFFFFF"/>
        </w:rPr>
        <w:t>The cumulative incidences of clinical outcomes are presented as Kaplan-Meier estimates during the median follow-up of 20.2 months</w:t>
      </w:r>
      <w:r w:rsidR="006A1597" w:rsidRPr="006147D9">
        <w:rPr>
          <w:rFonts w:ascii="Cambria" w:hAnsi="Cambria" w:cs="Times New Roman"/>
          <w:color w:val="171717" w:themeColor="background2" w:themeShade="1A"/>
          <w:shd w:val="clear" w:color="auto" w:fill="FFFFFF"/>
        </w:rPr>
        <w:t xml:space="preserve"> </w:t>
      </w:r>
      <w:r w:rsidRPr="006147D9">
        <w:rPr>
          <w:rFonts w:ascii="Cambria" w:hAnsi="Cambria" w:cs="Times New Roman"/>
          <w:color w:val="171717" w:themeColor="background2" w:themeShade="1A"/>
          <w:shd w:val="clear" w:color="auto" w:fill="FFFFFF"/>
        </w:rPr>
        <w:t>(interquartile range: 14.2 to 26.4 months).</w:t>
      </w:r>
      <w:r w:rsidR="006A1597" w:rsidRPr="006147D9">
        <w:rPr>
          <w:rFonts w:ascii="Cambria" w:hAnsi="Cambria" w:cs="Times New Roman"/>
          <w:color w:val="171717" w:themeColor="background2" w:themeShade="1A"/>
          <w:shd w:val="clear" w:color="auto" w:fill="FFFFFF"/>
        </w:rPr>
        <w:t xml:space="preserve"> </w:t>
      </w:r>
      <w:r w:rsidRPr="006147D9">
        <w:rPr>
          <w:rFonts w:ascii="Cambria" w:hAnsi="Cambria" w:cs="Times New Roman"/>
          <w:color w:val="171717" w:themeColor="background2" w:themeShade="1A"/>
          <w:shd w:val="clear" w:color="auto" w:fill="FFFFFF"/>
        </w:rPr>
        <w:t xml:space="preserve">The number of patients with speciﬁc event is also presented; p values are for adjusted hazard ratio (HR) and 95% conﬁdence interval (CI). </w:t>
      </w:r>
      <w:r w:rsidR="004F6908" w:rsidRPr="006147D9">
        <w:rPr>
          <w:rFonts w:ascii="Cambria" w:hAnsi="Cambria" w:cs="Times New Roman"/>
          <w:color w:val="171717" w:themeColor="background2" w:themeShade="1A"/>
          <w:shd w:val="clear" w:color="auto" w:fill="FFFFFF"/>
        </w:rPr>
        <w:t xml:space="preserve">Multivariable-adjusted Cox proportional hazard model analysis was performed using covariates. </w:t>
      </w:r>
    </w:p>
    <w:p w14:paraId="67403BFF" w14:textId="77777777" w:rsidR="0023753A" w:rsidRPr="006147D9" w:rsidRDefault="001F0806" w:rsidP="0023753A">
      <w:pPr>
        <w:rPr>
          <w:rFonts w:ascii="Cambria" w:hAnsi="Cambria" w:cs="Times New Roman"/>
          <w:color w:val="171717" w:themeColor="background2" w:themeShade="1A"/>
          <w:shd w:val="clear" w:color="auto" w:fill="FFFFFF"/>
        </w:rPr>
      </w:pPr>
      <w:r w:rsidRPr="006147D9">
        <w:rPr>
          <w:rFonts w:ascii="Cambria" w:hAnsi="Cambria" w:cs="Times New Roman"/>
          <w:color w:val="171717" w:themeColor="background2" w:themeShade="1A"/>
          <w:shd w:val="clear" w:color="auto" w:fill="FFFFFF"/>
        </w:rPr>
        <w:t>§ Adjusted 1</w:t>
      </w:r>
      <w:r w:rsidR="00573050" w:rsidRPr="006147D9">
        <w:rPr>
          <w:rFonts w:ascii="Cambria" w:hAnsi="Cambria" w:cs="Times New Roman"/>
          <w:color w:val="171717" w:themeColor="background2" w:themeShade="1A"/>
          <w:shd w:val="clear" w:color="auto" w:fill="FFFFFF"/>
        </w:rPr>
        <w:t xml:space="preserve">: </w:t>
      </w:r>
      <w:r w:rsidR="004F6908" w:rsidRPr="006147D9">
        <w:rPr>
          <w:rFonts w:ascii="Cambria" w:hAnsi="Cambria" w:cs="Times New Roman"/>
          <w:color w:val="171717" w:themeColor="background2" w:themeShade="1A"/>
          <w:shd w:val="clear" w:color="auto" w:fill="FFFFFF"/>
        </w:rPr>
        <w:t>The models were included</w:t>
      </w:r>
      <w:r w:rsidR="00D82565" w:rsidRPr="006147D9">
        <w:rPr>
          <w:rFonts w:ascii="Cambria" w:hAnsi="Cambria" w:cs="Times New Roman"/>
          <w:color w:val="171717" w:themeColor="background2" w:themeShade="1A"/>
          <w:shd w:val="clear" w:color="auto" w:fill="FFFFFF"/>
        </w:rPr>
        <w:t xml:space="preserve"> age, gender, hypertension, current smoker, ACS, eGFR, left anterior descending, left circumﬂex, right coronary artery, stent length, primary PCI, coronary calcification, clopidogrel, warfarin, statin, fibrates, ezetimibe and LDL-C level during follow-up as covariates.</w:t>
      </w:r>
    </w:p>
    <w:p w14:paraId="32B96425" w14:textId="77777777" w:rsidR="0023753A" w:rsidRPr="006147D9" w:rsidRDefault="00492DE0" w:rsidP="0023753A">
      <w:pPr>
        <w:rPr>
          <w:rFonts w:ascii="Cambria" w:hAnsi="Cambria" w:cs="Times New Roman"/>
          <w:color w:val="171717" w:themeColor="background2" w:themeShade="1A"/>
          <w:shd w:val="clear" w:color="auto" w:fill="FFFFFF"/>
        </w:rPr>
      </w:pPr>
      <w:r w:rsidRPr="006147D9">
        <w:rPr>
          <w:rFonts w:ascii="Cambria" w:hAnsi="Cambria" w:cs="Times New Roman"/>
          <w:color w:val="171717" w:themeColor="background2" w:themeShade="1A"/>
          <w:shd w:val="clear" w:color="auto" w:fill="FFFFFF"/>
        </w:rPr>
        <w:t xml:space="preserve">Φ </w:t>
      </w:r>
      <w:r w:rsidR="00573050" w:rsidRPr="006147D9">
        <w:rPr>
          <w:rFonts w:ascii="Cambria" w:hAnsi="Cambria" w:cs="Times New Roman"/>
          <w:color w:val="171717" w:themeColor="background2" w:themeShade="1A"/>
          <w:shd w:val="clear" w:color="auto" w:fill="FFFFFF"/>
        </w:rPr>
        <w:t>Adjusted 2: The models were included</w:t>
      </w:r>
      <w:r w:rsidR="00C57BDD" w:rsidRPr="006147D9">
        <w:rPr>
          <w:rFonts w:ascii="Cambria" w:hAnsi="Cambria" w:cs="Times New Roman"/>
          <w:color w:val="171717" w:themeColor="background2" w:themeShade="1A"/>
          <w:shd w:val="clear" w:color="auto" w:fill="FFFFFF"/>
        </w:rPr>
        <w:t xml:space="preserve"> </w:t>
      </w:r>
      <w:r w:rsidR="0023753A" w:rsidRPr="006147D9">
        <w:rPr>
          <w:rFonts w:ascii="Cambria" w:hAnsi="Cambria" w:cs="Times New Roman"/>
          <w:color w:val="171717" w:themeColor="background2" w:themeShade="1A"/>
          <w:shd w:val="clear" w:color="auto" w:fill="FFFFFF"/>
        </w:rPr>
        <w:t>triglyceride, ACS, multivessel coronary disease, left anterior descending, right coronary artery, stent length, statin, fibrates, ezetimibe and LDL-C level during follow-up as covariates.</w:t>
      </w:r>
    </w:p>
    <w:p w14:paraId="2547CD1A" w14:textId="16115A14" w:rsidR="001A2781" w:rsidRPr="006147D9" w:rsidRDefault="00F31E45" w:rsidP="0023753A">
      <w:pPr>
        <w:rPr>
          <w:rFonts w:ascii="Cambria" w:hAnsi="Cambria" w:cs="Times New Roman"/>
          <w:color w:val="171717" w:themeColor="background2" w:themeShade="1A"/>
          <w:shd w:val="clear" w:color="auto" w:fill="FFFFFF"/>
        </w:rPr>
      </w:pPr>
      <w:r w:rsidRPr="006147D9">
        <w:rPr>
          <w:rFonts w:ascii="Cambria" w:hAnsi="Cambria" w:cs="Times New Roman"/>
          <w:color w:val="171717" w:themeColor="background2" w:themeShade="1A"/>
          <w:shd w:val="clear" w:color="auto" w:fill="FFFFFF"/>
        </w:rPr>
        <w:t xml:space="preserve">* the p </w:t>
      </w:r>
      <w:r w:rsidR="003C3883" w:rsidRPr="006147D9">
        <w:rPr>
          <w:rFonts w:ascii="Cambria" w:hAnsi="Cambria" w:cs="Times New Roman"/>
          <w:color w:val="171717" w:themeColor="background2" w:themeShade="1A"/>
          <w:shd w:val="clear" w:color="auto" w:fill="FFFFFF"/>
        </w:rPr>
        <w:t>&lt;</w:t>
      </w:r>
      <w:r w:rsidRPr="006147D9">
        <w:rPr>
          <w:rFonts w:ascii="Cambria" w:hAnsi="Cambria" w:cs="Times New Roman"/>
          <w:color w:val="171717" w:themeColor="background2" w:themeShade="1A"/>
          <w:shd w:val="clear" w:color="auto" w:fill="FFFFFF"/>
        </w:rPr>
        <w:t xml:space="preserve"> 0.05.</w:t>
      </w:r>
    </w:p>
    <w:p w14:paraId="47024A64" w14:textId="5F8C0914" w:rsidR="0005401D" w:rsidRPr="006147D9" w:rsidRDefault="0005401D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02F8AC13" w14:textId="6C7935BE" w:rsidR="00492DE0" w:rsidRPr="006147D9" w:rsidRDefault="00492DE0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0125A780" w14:textId="1C9785DC" w:rsidR="00492DE0" w:rsidRPr="006147D9" w:rsidRDefault="00492DE0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7BF710C7" w14:textId="504B8F0D" w:rsidR="00492DE0" w:rsidRPr="006147D9" w:rsidRDefault="00492DE0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7DBBC567" w14:textId="2790FEE6" w:rsidR="00492DE0" w:rsidRPr="006147D9" w:rsidRDefault="00492DE0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p w14:paraId="3BF44C25" w14:textId="2619EE40" w:rsidR="00041E1E" w:rsidRPr="006147D9" w:rsidRDefault="00041E1E">
      <w:pPr>
        <w:rPr>
          <w:rFonts w:ascii="Cambria" w:hAnsi="Cambria" w:cs="Times New Roman"/>
          <w:color w:val="171717" w:themeColor="background2" w:themeShade="1A"/>
          <w:szCs w:val="21"/>
          <w:shd w:val="clear" w:color="auto" w:fill="FFFFFF"/>
        </w:rPr>
      </w:pPr>
    </w:p>
    <w:sectPr w:rsidR="00041E1E" w:rsidRPr="006147D9" w:rsidSect="00353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A322E" w14:textId="77777777" w:rsidR="00AE5878" w:rsidRDefault="00AE5878" w:rsidP="00D712DD">
      <w:r>
        <w:separator/>
      </w:r>
    </w:p>
  </w:endnote>
  <w:endnote w:type="continuationSeparator" w:id="0">
    <w:p w14:paraId="287CA390" w14:textId="77777777" w:rsidR="00AE5878" w:rsidRDefault="00AE5878" w:rsidP="00D71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73941" w14:textId="77777777" w:rsidR="00AE5878" w:rsidRDefault="00AE5878" w:rsidP="00D712DD">
      <w:r>
        <w:separator/>
      </w:r>
    </w:p>
  </w:footnote>
  <w:footnote w:type="continuationSeparator" w:id="0">
    <w:p w14:paraId="59B3AA82" w14:textId="77777777" w:rsidR="00AE5878" w:rsidRDefault="00AE5878" w:rsidP="00D71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753AE"/>
    <w:multiLevelType w:val="hybridMultilevel"/>
    <w:tmpl w:val="1FD21D44"/>
    <w:lvl w:ilvl="0" w:tplc="10C6D51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DA4288"/>
    <w:multiLevelType w:val="hybridMultilevel"/>
    <w:tmpl w:val="DC6A7EBC"/>
    <w:lvl w:ilvl="0" w:tplc="FFC6DF1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270B17"/>
    <w:multiLevelType w:val="hybridMultilevel"/>
    <w:tmpl w:val="87182AD6"/>
    <w:lvl w:ilvl="0" w:tplc="1988C0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A33B56"/>
    <w:multiLevelType w:val="hybridMultilevel"/>
    <w:tmpl w:val="7BA0186A"/>
    <w:lvl w:ilvl="0" w:tplc="63A2C95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KY_MEDREF_DOCUID" w:val="{67803CB0-20F6-4ADD-A5D2-B06E028ED8C2}"/>
    <w:docVar w:name="KY_MEDREF_VERSION" w:val="3"/>
  </w:docVars>
  <w:rsids>
    <w:rsidRoot w:val="00A67002"/>
    <w:rsid w:val="00005949"/>
    <w:rsid w:val="00012AA0"/>
    <w:rsid w:val="00035150"/>
    <w:rsid w:val="00037031"/>
    <w:rsid w:val="000409F8"/>
    <w:rsid w:val="00041E1E"/>
    <w:rsid w:val="00042948"/>
    <w:rsid w:val="00045644"/>
    <w:rsid w:val="0004669B"/>
    <w:rsid w:val="0005009A"/>
    <w:rsid w:val="00052F57"/>
    <w:rsid w:val="00053163"/>
    <w:rsid w:val="0005401D"/>
    <w:rsid w:val="00054FC4"/>
    <w:rsid w:val="000722AB"/>
    <w:rsid w:val="00073840"/>
    <w:rsid w:val="0008109D"/>
    <w:rsid w:val="000A0527"/>
    <w:rsid w:val="000B5472"/>
    <w:rsid w:val="000C3993"/>
    <w:rsid w:val="000D1B3E"/>
    <w:rsid w:val="000D6A03"/>
    <w:rsid w:val="000E02AE"/>
    <w:rsid w:val="000E2BA9"/>
    <w:rsid w:val="000E7CB2"/>
    <w:rsid w:val="000F123F"/>
    <w:rsid w:val="000F12AB"/>
    <w:rsid w:val="000F4FA1"/>
    <w:rsid w:val="000F736E"/>
    <w:rsid w:val="001031B0"/>
    <w:rsid w:val="00107C0E"/>
    <w:rsid w:val="0011629A"/>
    <w:rsid w:val="0011647D"/>
    <w:rsid w:val="001230AF"/>
    <w:rsid w:val="00126EFE"/>
    <w:rsid w:val="00131724"/>
    <w:rsid w:val="0013341F"/>
    <w:rsid w:val="001355F3"/>
    <w:rsid w:val="00144A0E"/>
    <w:rsid w:val="001526E5"/>
    <w:rsid w:val="001636C2"/>
    <w:rsid w:val="00164C7F"/>
    <w:rsid w:val="00167A8B"/>
    <w:rsid w:val="0017437F"/>
    <w:rsid w:val="001762CE"/>
    <w:rsid w:val="0018594A"/>
    <w:rsid w:val="001862C3"/>
    <w:rsid w:val="00187878"/>
    <w:rsid w:val="00190272"/>
    <w:rsid w:val="001936AB"/>
    <w:rsid w:val="00193EDF"/>
    <w:rsid w:val="0019601F"/>
    <w:rsid w:val="00197234"/>
    <w:rsid w:val="001A1E68"/>
    <w:rsid w:val="001A2781"/>
    <w:rsid w:val="001B33C3"/>
    <w:rsid w:val="001B60A5"/>
    <w:rsid w:val="001C1B42"/>
    <w:rsid w:val="001D0B46"/>
    <w:rsid w:val="001D0B61"/>
    <w:rsid w:val="001E02E7"/>
    <w:rsid w:val="001E4A3C"/>
    <w:rsid w:val="001E519B"/>
    <w:rsid w:val="001E7B42"/>
    <w:rsid w:val="001F0806"/>
    <w:rsid w:val="001F1274"/>
    <w:rsid w:val="002035C6"/>
    <w:rsid w:val="00216FA1"/>
    <w:rsid w:val="00222230"/>
    <w:rsid w:val="002243C3"/>
    <w:rsid w:val="002264C2"/>
    <w:rsid w:val="00232D1E"/>
    <w:rsid w:val="00233DDE"/>
    <w:rsid w:val="002353F1"/>
    <w:rsid w:val="0023753A"/>
    <w:rsid w:val="00243727"/>
    <w:rsid w:val="00261FA0"/>
    <w:rsid w:val="00266D2E"/>
    <w:rsid w:val="00267D0E"/>
    <w:rsid w:val="002700BE"/>
    <w:rsid w:val="00271A07"/>
    <w:rsid w:val="00275025"/>
    <w:rsid w:val="0028050E"/>
    <w:rsid w:val="00281DD3"/>
    <w:rsid w:val="00281F4B"/>
    <w:rsid w:val="00284364"/>
    <w:rsid w:val="0028615C"/>
    <w:rsid w:val="00286856"/>
    <w:rsid w:val="00286ABA"/>
    <w:rsid w:val="00292A7B"/>
    <w:rsid w:val="002A3CEA"/>
    <w:rsid w:val="002A6880"/>
    <w:rsid w:val="002B30E6"/>
    <w:rsid w:val="002B7046"/>
    <w:rsid w:val="002C1204"/>
    <w:rsid w:val="002C372E"/>
    <w:rsid w:val="002C4D3C"/>
    <w:rsid w:val="002D1014"/>
    <w:rsid w:val="002D2810"/>
    <w:rsid w:val="002D40A3"/>
    <w:rsid w:val="002D7DE7"/>
    <w:rsid w:val="002E4036"/>
    <w:rsid w:val="002F1D62"/>
    <w:rsid w:val="0030100D"/>
    <w:rsid w:val="00303441"/>
    <w:rsid w:val="00314D38"/>
    <w:rsid w:val="003213D5"/>
    <w:rsid w:val="00321AC3"/>
    <w:rsid w:val="00323060"/>
    <w:rsid w:val="00324D70"/>
    <w:rsid w:val="00324FCC"/>
    <w:rsid w:val="00327A6A"/>
    <w:rsid w:val="00331DBE"/>
    <w:rsid w:val="00336F6E"/>
    <w:rsid w:val="00342BA9"/>
    <w:rsid w:val="00345BE1"/>
    <w:rsid w:val="003506A5"/>
    <w:rsid w:val="003506A7"/>
    <w:rsid w:val="00352215"/>
    <w:rsid w:val="00353B21"/>
    <w:rsid w:val="0035405D"/>
    <w:rsid w:val="00355561"/>
    <w:rsid w:val="00356319"/>
    <w:rsid w:val="0036005E"/>
    <w:rsid w:val="003600B4"/>
    <w:rsid w:val="00360DAA"/>
    <w:rsid w:val="00361DD4"/>
    <w:rsid w:val="00363AB4"/>
    <w:rsid w:val="00374D28"/>
    <w:rsid w:val="00377432"/>
    <w:rsid w:val="00383709"/>
    <w:rsid w:val="00387D9A"/>
    <w:rsid w:val="00392763"/>
    <w:rsid w:val="0039563B"/>
    <w:rsid w:val="00396309"/>
    <w:rsid w:val="003A6F5E"/>
    <w:rsid w:val="003A723E"/>
    <w:rsid w:val="003A7F1C"/>
    <w:rsid w:val="003B0E53"/>
    <w:rsid w:val="003B5241"/>
    <w:rsid w:val="003B5489"/>
    <w:rsid w:val="003C132C"/>
    <w:rsid w:val="003C3883"/>
    <w:rsid w:val="003C5127"/>
    <w:rsid w:val="003C6F0D"/>
    <w:rsid w:val="003C798F"/>
    <w:rsid w:val="003D08C7"/>
    <w:rsid w:val="003D47F0"/>
    <w:rsid w:val="003D6D55"/>
    <w:rsid w:val="003E17DE"/>
    <w:rsid w:val="003E35E3"/>
    <w:rsid w:val="003F6A5E"/>
    <w:rsid w:val="003F7111"/>
    <w:rsid w:val="0040621C"/>
    <w:rsid w:val="004167ED"/>
    <w:rsid w:val="004170E3"/>
    <w:rsid w:val="00421F17"/>
    <w:rsid w:val="0043184B"/>
    <w:rsid w:val="00432BB0"/>
    <w:rsid w:val="00434362"/>
    <w:rsid w:val="00434572"/>
    <w:rsid w:val="00436B5C"/>
    <w:rsid w:val="00453DDE"/>
    <w:rsid w:val="0045444F"/>
    <w:rsid w:val="00454475"/>
    <w:rsid w:val="004555C0"/>
    <w:rsid w:val="00462AAE"/>
    <w:rsid w:val="00465985"/>
    <w:rsid w:val="0046706F"/>
    <w:rsid w:val="00477BAE"/>
    <w:rsid w:val="0048793F"/>
    <w:rsid w:val="00491AC0"/>
    <w:rsid w:val="00492DE0"/>
    <w:rsid w:val="004963BB"/>
    <w:rsid w:val="004A13C9"/>
    <w:rsid w:val="004A3B50"/>
    <w:rsid w:val="004A3DD4"/>
    <w:rsid w:val="004A491B"/>
    <w:rsid w:val="004A502B"/>
    <w:rsid w:val="004A5673"/>
    <w:rsid w:val="004A6E8F"/>
    <w:rsid w:val="004B0A7C"/>
    <w:rsid w:val="004B2BDF"/>
    <w:rsid w:val="004B5D77"/>
    <w:rsid w:val="004C374A"/>
    <w:rsid w:val="004D06EA"/>
    <w:rsid w:val="004D4DF9"/>
    <w:rsid w:val="004D7DD7"/>
    <w:rsid w:val="004E2BD3"/>
    <w:rsid w:val="004E399D"/>
    <w:rsid w:val="004E5934"/>
    <w:rsid w:val="004F2497"/>
    <w:rsid w:val="004F6908"/>
    <w:rsid w:val="00502A27"/>
    <w:rsid w:val="00511964"/>
    <w:rsid w:val="005122B5"/>
    <w:rsid w:val="005129B6"/>
    <w:rsid w:val="00513FFD"/>
    <w:rsid w:val="00522AB0"/>
    <w:rsid w:val="0052371A"/>
    <w:rsid w:val="005239AE"/>
    <w:rsid w:val="00524024"/>
    <w:rsid w:val="005301CF"/>
    <w:rsid w:val="0053183E"/>
    <w:rsid w:val="00533850"/>
    <w:rsid w:val="00535A1C"/>
    <w:rsid w:val="005369B8"/>
    <w:rsid w:val="00543BB7"/>
    <w:rsid w:val="0055251A"/>
    <w:rsid w:val="005548D2"/>
    <w:rsid w:val="00560551"/>
    <w:rsid w:val="00561715"/>
    <w:rsid w:val="00562B10"/>
    <w:rsid w:val="00573050"/>
    <w:rsid w:val="00576CB7"/>
    <w:rsid w:val="00581448"/>
    <w:rsid w:val="005842AD"/>
    <w:rsid w:val="005863D6"/>
    <w:rsid w:val="00590D2A"/>
    <w:rsid w:val="00590ED2"/>
    <w:rsid w:val="0059518C"/>
    <w:rsid w:val="005A62D7"/>
    <w:rsid w:val="005A6497"/>
    <w:rsid w:val="005B5897"/>
    <w:rsid w:val="005C094B"/>
    <w:rsid w:val="005C322E"/>
    <w:rsid w:val="005C4810"/>
    <w:rsid w:val="005D028E"/>
    <w:rsid w:val="005E1A1E"/>
    <w:rsid w:val="005E2BD2"/>
    <w:rsid w:val="005E2E31"/>
    <w:rsid w:val="005F1414"/>
    <w:rsid w:val="005F3F95"/>
    <w:rsid w:val="00600050"/>
    <w:rsid w:val="00600D93"/>
    <w:rsid w:val="00605431"/>
    <w:rsid w:val="006147D9"/>
    <w:rsid w:val="0061710D"/>
    <w:rsid w:val="006171F6"/>
    <w:rsid w:val="0062344C"/>
    <w:rsid w:val="0062770D"/>
    <w:rsid w:val="006354A3"/>
    <w:rsid w:val="006405FB"/>
    <w:rsid w:val="00641337"/>
    <w:rsid w:val="00644EEA"/>
    <w:rsid w:val="006509BE"/>
    <w:rsid w:val="006604D7"/>
    <w:rsid w:val="0066163C"/>
    <w:rsid w:val="0066207A"/>
    <w:rsid w:val="00666F90"/>
    <w:rsid w:val="006773EA"/>
    <w:rsid w:val="006846EF"/>
    <w:rsid w:val="00691236"/>
    <w:rsid w:val="00694D82"/>
    <w:rsid w:val="006A060C"/>
    <w:rsid w:val="006A1597"/>
    <w:rsid w:val="006A4A98"/>
    <w:rsid w:val="006B24CA"/>
    <w:rsid w:val="006B4CC2"/>
    <w:rsid w:val="006B5D06"/>
    <w:rsid w:val="006B63C0"/>
    <w:rsid w:val="006C0918"/>
    <w:rsid w:val="006C2F22"/>
    <w:rsid w:val="006C4203"/>
    <w:rsid w:val="006D0483"/>
    <w:rsid w:val="006D21D2"/>
    <w:rsid w:val="006D2294"/>
    <w:rsid w:val="006D2B10"/>
    <w:rsid w:val="006E5452"/>
    <w:rsid w:val="006E5B52"/>
    <w:rsid w:val="006F2222"/>
    <w:rsid w:val="00704DFB"/>
    <w:rsid w:val="00714088"/>
    <w:rsid w:val="00720679"/>
    <w:rsid w:val="00722EE5"/>
    <w:rsid w:val="00726A14"/>
    <w:rsid w:val="00730AF8"/>
    <w:rsid w:val="007314F1"/>
    <w:rsid w:val="0073344E"/>
    <w:rsid w:val="007335A4"/>
    <w:rsid w:val="007460CD"/>
    <w:rsid w:val="007476DB"/>
    <w:rsid w:val="00750933"/>
    <w:rsid w:val="00752A61"/>
    <w:rsid w:val="00752DB1"/>
    <w:rsid w:val="00754619"/>
    <w:rsid w:val="007615A6"/>
    <w:rsid w:val="007728B9"/>
    <w:rsid w:val="00773DDC"/>
    <w:rsid w:val="00774643"/>
    <w:rsid w:val="00795A0B"/>
    <w:rsid w:val="007974DD"/>
    <w:rsid w:val="007A05CB"/>
    <w:rsid w:val="007A105D"/>
    <w:rsid w:val="007A2704"/>
    <w:rsid w:val="007A4AB8"/>
    <w:rsid w:val="007B2954"/>
    <w:rsid w:val="007B73CA"/>
    <w:rsid w:val="007C11C6"/>
    <w:rsid w:val="007C4D44"/>
    <w:rsid w:val="007D5C0D"/>
    <w:rsid w:val="007D6B2B"/>
    <w:rsid w:val="007E6FE3"/>
    <w:rsid w:val="007F1F7B"/>
    <w:rsid w:val="007F4C43"/>
    <w:rsid w:val="00802FB0"/>
    <w:rsid w:val="00810348"/>
    <w:rsid w:val="008156F8"/>
    <w:rsid w:val="00815740"/>
    <w:rsid w:val="008157B1"/>
    <w:rsid w:val="00816BE9"/>
    <w:rsid w:val="00816CEE"/>
    <w:rsid w:val="00822110"/>
    <w:rsid w:val="00823B38"/>
    <w:rsid w:val="00825BF2"/>
    <w:rsid w:val="00830068"/>
    <w:rsid w:val="00832153"/>
    <w:rsid w:val="00841A6A"/>
    <w:rsid w:val="00842118"/>
    <w:rsid w:val="008440B3"/>
    <w:rsid w:val="00845FF1"/>
    <w:rsid w:val="00847376"/>
    <w:rsid w:val="00853442"/>
    <w:rsid w:val="00857CFE"/>
    <w:rsid w:val="00861378"/>
    <w:rsid w:val="00865C43"/>
    <w:rsid w:val="00874115"/>
    <w:rsid w:val="00883298"/>
    <w:rsid w:val="008904D1"/>
    <w:rsid w:val="00893536"/>
    <w:rsid w:val="0089458A"/>
    <w:rsid w:val="0089646F"/>
    <w:rsid w:val="008B0D18"/>
    <w:rsid w:val="008B29BA"/>
    <w:rsid w:val="008B470D"/>
    <w:rsid w:val="008B5A56"/>
    <w:rsid w:val="008C1552"/>
    <w:rsid w:val="008C1DE2"/>
    <w:rsid w:val="008C7801"/>
    <w:rsid w:val="008D5613"/>
    <w:rsid w:val="008E1E25"/>
    <w:rsid w:val="008E2EE3"/>
    <w:rsid w:val="008F37AF"/>
    <w:rsid w:val="008F4044"/>
    <w:rsid w:val="009006F5"/>
    <w:rsid w:val="0090412E"/>
    <w:rsid w:val="00910D04"/>
    <w:rsid w:val="00911491"/>
    <w:rsid w:val="0091265F"/>
    <w:rsid w:val="009152A5"/>
    <w:rsid w:val="009155C3"/>
    <w:rsid w:val="009162CC"/>
    <w:rsid w:val="00931821"/>
    <w:rsid w:val="009332A8"/>
    <w:rsid w:val="00942ABD"/>
    <w:rsid w:val="00951B3A"/>
    <w:rsid w:val="00957145"/>
    <w:rsid w:val="00957F36"/>
    <w:rsid w:val="009609DC"/>
    <w:rsid w:val="00974D2E"/>
    <w:rsid w:val="00980ADF"/>
    <w:rsid w:val="00983BFC"/>
    <w:rsid w:val="009903F4"/>
    <w:rsid w:val="009A1D43"/>
    <w:rsid w:val="009A2422"/>
    <w:rsid w:val="009C32D9"/>
    <w:rsid w:val="009C6C08"/>
    <w:rsid w:val="009D1225"/>
    <w:rsid w:val="009D76F3"/>
    <w:rsid w:val="009E31CB"/>
    <w:rsid w:val="009E3528"/>
    <w:rsid w:val="009E579B"/>
    <w:rsid w:val="009F147B"/>
    <w:rsid w:val="009F452F"/>
    <w:rsid w:val="00A001AA"/>
    <w:rsid w:val="00A0269D"/>
    <w:rsid w:val="00A04DDC"/>
    <w:rsid w:val="00A05695"/>
    <w:rsid w:val="00A20F51"/>
    <w:rsid w:val="00A22E99"/>
    <w:rsid w:val="00A4006E"/>
    <w:rsid w:val="00A425AC"/>
    <w:rsid w:val="00A43AE7"/>
    <w:rsid w:val="00A45026"/>
    <w:rsid w:val="00A45CF0"/>
    <w:rsid w:val="00A46B3B"/>
    <w:rsid w:val="00A474F2"/>
    <w:rsid w:val="00A51428"/>
    <w:rsid w:val="00A54FF7"/>
    <w:rsid w:val="00A60E82"/>
    <w:rsid w:val="00A618BB"/>
    <w:rsid w:val="00A66C5D"/>
    <w:rsid w:val="00A67002"/>
    <w:rsid w:val="00A80A99"/>
    <w:rsid w:val="00A87873"/>
    <w:rsid w:val="00A96732"/>
    <w:rsid w:val="00A976E2"/>
    <w:rsid w:val="00AA0453"/>
    <w:rsid w:val="00AA0E81"/>
    <w:rsid w:val="00AA76DF"/>
    <w:rsid w:val="00AB6AEF"/>
    <w:rsid w:val="00AB76AD"/>
    <w:rsid w:val="00AC4FF7"/>
    <w:rsid w:val="00AC57B9"/>
    <w:rsid w:val="00AC7DE5"/>
    <w:rsid w:val="00AE059B"/>
    <w:rsid w:val="00AE1C1F"/>
    <w:rsid w:val="00AE1D67"/>
    <w:rsid w:val="00AE3F2A"/>
    <w:rsid w:val="00AE5878"/>
    <w:rsid w:val="00AF1E33"/>
    <w:rsid w:val="00AF29D7"/>
    <w:rsid w:val="00AF3E96"/>
    <w:rsid w:val="00AF5FCA"/>
    <w:rsid w:val="00B10EE1"/>
    <w:rsid w:val="00B214AE"/>
    <w:rsid w:val="00B249B1"/>
    <w:rsid w:val="00B3239E"/>
    <w:rsid w:val="00B417CF"/>
    <w:rsid w:val="00B5563C"/>
    <w:rsid w:val="00B61209"/>
    <w:rsid w:val="00B64EF6"/>
    <w:rsid w:val="00B71B88"/>
    <w:rsid w:val="00B72917"/>
    <w:rsid w:val="00B72977"/>
    <w:rsid w:val="00B7687B"/>
    <w:rsid w:val="00B81EED"/>
    <w:rsid w:val="00B83F88"/>
    <w:rsid w:val="00B90C51"/>
    <w:rsid w:val="00B94506"/>
    <w:rsid w:val="00BA1CAC"/>
    <w:rsid w:val="00BA33DA"/>
    <w:rsid w:val="00BA685B"/>
    <w:rsid w:val="00BC5364"/>
    <w:rsid w:val="00BD00CD"/>
    <w:rsid w:val="00BE1A4A"/>
    <w:rsid w:val="00BE30F2"/>
    <w:rsid w:val="00BF32EB"/>
    <w:rsid w:val="00BF3985"/>
    <w:rsid w:val="00BF3990"/>
    <w:rsid w:val="00BF5EBD"/>
    <w:rsid w:val="00C0495C"/>
    <w:rsid w:val="00C12FD5"/>
    <w:rsid w:val="00C1738D"/>
    <w:rsid w:val="00C2263E"/>
    <w:rsid w:val="00C250C1"/>
    <w:rsid w:val="00C52977"/>
    <w:rsid w:val="00C56A94"/>
    <w:rsid w:val="00C57BDD"/>
    <w:rsid w:val="00C603A4"/>
    <w:rsid w:val="00C660DA"/>
    <w:rsid w:val="00C742E6"/>
    <w:rsid w:val="00CA2043"/>
    <w:rsid w:val="00CA3F43"/>
    <w:rsid w:val="00CA4B0B"/>
    <w:rsid w:val="00CB0267"/>
    <w:rsid w:val="00CB561C"/>
    <w:rsid w:val="00CC0A21"/>
    <w:rsid w:val="00CC0A9B"/>
    <w:rsid w:val="00CC477D"/>
    <w:rsid w:val="00CC492C"/>
    <w:rsid w:val="00CC73B8"/>
    <w:rsid w:val="00CC76A6"/>
    <w:rsid w:val="00CD4C3F"/>
    <w:rsid w:val="00CD5EBE"/>
    <w:rsid w:val="00CE4479"/>
    <w:rsid w:val="00CE6F8B"/>
    <w:rsid w:val="00CF054B"/>
    <w:rsid w:val="00CF1606"/>
    <w:rsid w:val="00CF5E35"/>
    <w:rsid w:val="00D0217F"/>
    <w:rsid w:val="00D06C5A"/>
    <w:rsid w:val="00D10ACF"/>
    <w:rsid w:val="00D10C67"/>
    <w:rsid w:val="00D12354"/>
    <w:rsid w:val="00D22AA1"/>
    <w:rsid w:val="00D24B2C"/>
    <w:rsid w:val="00D30E8A"/>
    <w:rsid w:val="00D31930"/>
    <w:rsid w:val="00D32458"/>
    <w:rsid w:val="00D32BD8"/>
    <w:rsid w:val="00D32FB2"/>
    <w:rsid w:val="00D4029A"/>
    <w:rsid w:val="00D43424"/>
    <w:rsid w:val="00D4497C"/>
    <w:rsid w:val="00D52BCB"/>
    <w:rsid w:val="00D53330"/>
    <w:rsid w:val="00D56111"/>
    <w:rsid w:val="00D63372"/>
    <w:rsid w:val="00D712DD"/>
    <w:rsid w:val="00D723FA"/>
    <w:rsid w:val="00D743C5"/>
    <w:rsid w:val="00D82565"/>
    <w:rsid w:val="00D828CE"/>
    <w:rsid w:val="00D857F0"/>
    <w:rsid w:val="00D912A5"/>
    <w:rsid w:val="00D954A8"/>
    <w:rsid w:val="00DA059A"/>
    <w:rsid w:val="00DA1480"/>
    <w:rsid w:val="00DA1F81"/>
    <w:rsid w:val="00DA75DA"/>
    <w:rsid w:val="00DA7855"/>
    <w:rsid w:val="00DB070D"/>
    <w:rsid w:val="00DB166B"/>
    <w:rsid w:val="00DB21C0"/>
    <w:rsid w:val="00DD21E4"/>
    <w:rsid w:val="00DD26C1"/>
    <w:rsid w:val="00DD4461"/>
    <w:rsid w:val="00DD586A"/>
    <w:rsid w:val="00DE2568"/>
    <w:rsid w:val="00DE287C"/>
    <w:rsid w:val="00DE59AA"/>
    <w:rsid w:val="00DF6A29"/>
    <w:rsid w:val="00E00D66"/>
    <w:rsid w:val="00E037F9"/>
    <w:rsid w:val="00E04A6B"/>
    <w:rsid w:val="00E05BC7"/>
    <w:rsid w:val="00E07620"/>
    <w:rsid w:val="00E21678"/>
    <w:rsid w:val="00E264DA"/>
    <w:rsid w:val="00E331CC"/>
    <w:rsid w:val="00E3507A"/>
    <w:rsid w:val="00E35343"/>
    <w:rsid w:val="00E36D2B"/>
    <w:rsid w:val="00E41E5D"/>
    <w:rsid w:val="00E43159"/>
    <w:rsid w:val="00E539D9"/>
    <w:rsid w:val="00E5740B"/>
    <w:rsid w:val="00E60022"/>
    <w:rsid w:val="00E71745"/>
    <w:rsid w:val="00E75BEC"/>
    <w:rsid w:val="00E81AD2"/>
    <w:rsid w:val="00E83428"/>
    <w:rsid w:val="00E86F41"/>
    <w:rsid w:val="00E95A17"/>
    <w:rsid w:val="00E95B8B"/>
    <w:rsid w:val="00EA3B32"/>
    <w:rsid w:val="00EA459F"/>
    <w:rsid w:val="00EA7045"/>
    <w:rsid w:val="00EB11E9"/>
    <w:rsid w:val="00EC0352"/>
    <w:rsid w:val="00EC1B74"/>
    <w:rsid w:val="00EC529F"/>
    <w:rsid w:val="00EC6AD6"/>
    <w:rsid w:val="00ED48AC"/>
    <w:rsid w:val="00EE7AA1"/>
    <w:rsid w:val="00EF0BA0"/>
    <w:rsid w:val="00EF40D6"/>
    <w:rsid w:val="00EF4599"/>
    <w:rsid w:val="00EF5630"/>
    <w:rsid w:val="00EF6456"/>
    <w:rsid w:val="00F0208B"/>
    <w:rsid w:val="00F06516"/>
    <w:rsid w:val="00F073DF"/>
    <w:rsid w:val="00F074BA"/>
    <w:rsid w:val="00F07887"/>
    <w:rsid w:val="00F1439C"/>
    <w:rsid w:val="00F219C4"/>
    <w:rsid w:val="00F27C7E"/>
    <w:rsid w:val="00F31E45"/>
    <w:rsid w:val="00F325EB"/>
    <w:rsid w:val="00F36369"/>
    <w:rsid w:val="00F426E3"/>
    <w:rsid w:val="00F430DA"/>
    <w:rsid w:val="00F43F2D"/>
    <w:rsid w:val="00F50F76"/>
    <w:rsid w:val="00F62453"/>
    <w:rsid w:val="00F628DE"/>
    <w:rsid w:val="00F656B3"/>
    <w:rsid w:val="00F7000E"/>
    <w:rsid w:val="00F71F7F"/>
    <w:rsid w:val="00F72A09"/>
    <w:rsid w:val="00F77910"/>
    <w:rsid w:val="00F82F97"/>
    <w:rsid w:val="00F864C8"/>
    <w:rsid w:val="00F91D55"/>
    <w:rsid w:val="00F96542"/>
    <w:rsid w:val="00FA056C"/>
    <w:rsid w:val="00FA744D"/>
    <w:rsid w:val="00FB0933"/>
    <w:rsid w:val="00FD79D3"/>
    <w:rsid w:val="00FE43B9"/>
    <w:rsid w:val="00FF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3BDC5"/>
  <w15:chartTrackingRefBased/>
  <w15:docId w15:val="{D599C6AD-4FE9-4BDB-AD36-31A7E434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19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511964"/>
  </w:style>
  <w:style w:type="character" w:customStyle="1" w:styleId="md-expand">
    <w:name w:val="md-expand"/>
    <w:basedOn w:val="a0"/>
    <w:rsid w:val="00511964"/>
  </w:style>
  <w:style w:type="character" w:styleId="a4">
    <w:name w:val="Hyperlink"/>
    <w:basedOn w:val="a0"/>
    <w:uiPriority w:val="99"/>
    <w:semiHidden/>
    <w:unhideWhenUsed/>
    <w:rsid w:val="00726A14"/>
    <w:rPr>
      <w:color w:val="0563C1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D08C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D08C7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71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712D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71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712DD"/>
    <w:rPr>
      <w:sz w:val="18"/>
      <w:szCs w:val="18"/>
    </w:rPr>
  </w:style>
  <w:style w:type="character" w:customStyle="1" w:styleId="word1">
    <w:name w:val="word1"/>
    <w:basedOn w:val="a0"/>
    <w:rsid w:val="00454475"/>
    <w:rPr>
      <w:color w:val="000201"/>
      <w:sz w:val="30"/>
      <w:szCs w:val="30"/>
    </w:rPr>
  </w:style>
  <w:style w:type="character" w:styleId="ab">
    <w:name w:val="annotation reference"/>
    <w:basedOn w:val="a0"/>
    <w:uiPriority w:val="99"/>
    <w:semiHidden/>
    <w:unhideWhenUsed/>
    <w:rsid w:val="0048793F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48793F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48793F"/>
  </w:style>
  <w:style w:type="paragraph" w:styleId="ae">
    <w:name w:val="List Paragraph"/>
    <w:basedOn w:val="a"/>
    <w:uiPriority w:val="34"/>
    <w:qFormat/>
    <w:rsid w:val="001F1274"/>
    <w:pPr>
      <w:ind w:firstLineChars="200" w:firstLine="420"/>
    </w:pPr>
  </w:style>
  <w:style w:type="paragraph" w:styleId="af">
    <w:name w:val="Body Text"/>
    <w:basedOn w:val="a"/>
    <w:link w:val="af0"/>
    <w:qFormat/>
    <w:rsid w:val="0023753A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f0">
    <w:name w:val="正文文本 字符"/>
    <w:basedOn w:val="a0"/>
    <w:link w:val="af"/>
    <w:rsid w:val="0023753A"/>
    <w:rPr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16CD2-5EC4-1644-81E0-4B94381C1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3663</TotalTime>
  <Pages>7</Pages>
  <Words>1280</Words>
  <Characters>7298</Characters>
  <Application>Microsoft Office Word</Application>
  <DocSecurity>0</DocSecurity>
  <Lines>60</Lines>
  <Paragraphs>17</Paragraphs>
  <ScaleCrop>false</ScaleCrop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陈浩</dc:creator>
  <cp:keywords/>
  <dc:description/>
  <cp:lastModifiedBy>Microsoft Office User</cp:lastModifiedBy>
  <cp:revision>150</cp:revision>
  <dcterms:created xsi:type="dcterms:W3CDTF">2017-12-01T03:05:00Z</dcterms:created>
  <dcterms:modified xsi:type="dcterms:W3CDTF">2018-11-12T14:26:00Z</dcterms:modified>
</cp:coreProperties>
</file>