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9">
        <w:r>
          <w:rPr>
            <w:rStyle w:val="Hyperlink"/>
          </w:rPr>
          <w:t>A comprehensive benchmark on spectral GNNs: The impact on efficiency, memory, and effectiveness</w:t>
          <w:br/>
        </w:r>
      </w:hyperlink>
      <w:r>
        <w:rPr>
          <w:rFonts w:ascii="Arial" w:hAnsi="Arial"/>
          <w:color w:val="006621"/>
          <w:sz w:val="20"/>
        </w:rPr>
        <w:t>Ningyi Liao, Haoyu Liu, Zulun Zhu, Siqiang Luo, and Laks VS Lakshmanan - Proceedings of the ACM on Management of Data 3, no. 4 (2025): 1-29 - dl.acm.org</w:t>
        <w:br/>
      </w:r>
      <w:r>
        <w:rPr>
          <w:rFonts w:ascii="Arial" w:hAnsi="Arial"/>
          <w:color w:val="222222"/>
          <w:sz w:val="20"/>
        </w:rPr>
        <w:t>With recent advancements in graph neural networks (GNNs), spectral GNNs have received increasing popularity by virtue of their ability to retrieve graph signals in the spectral domain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0">
        <w:r>
          <w:rPr>
            <w:rStyle w:val="Hyperlink"/>
          </w:rPr>
          <w:t>Graph Classification by Converting Static Graphs into Dynamic Evolutionary Sequences</w:t>
          <w:br/>
        </w:r>
      </w:hyperlink>
      <w:r>
        <w:rPr>
          <w:rFonts w:ascii="Arial" w:hAnsi="Arial"/>
          <w:color w:val="006621"/>
          <w:sz w:val="20"/>
        </w:rPr>
        <w:t>Xue Liu, Dan Sun, and Wei Wei - Expert Systems with Applications (2025): 128690 - Elsevier</w:t>
        <w:br/>
      </w:r>
      <w:r>
        <w:rPr>
          <w:rFonts w:ascii="Arial" w:hAnsi="Arial"/>
          <w:color w:val="222222"/>
          <w:sz w:val="20"/>
        </w:rPr>
        <w:t>Graphs are widely used in various fields, including industry, bioinformatics, and social systems. In these systems, individuals create a structured graph through various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1">
        <w:r>
          <w:rPr>
            <w:rStyle w:val="Hyperlink"/>
          </w:rPr>
          <w:t>DTGBA: A stronger graph backdoor attack with dual triggers</w:t>
          <w:br/>
        </w:r>
      </w:hyperlink>
      <w:r>
        <w:rPr>
          <w:rFonts w:ascii="Arial" w:hAnsi="Arial"/>
          <w:color w:val="006621"/>
          <w:sz w:val="20"/>
        </w:rPr>
        <w:t>D. Li, Xia, H., Li, X., Zhang, R., &amp; Ma, M. (2025). DTGBA: A stronger graph backdoor attack with dual triggers. Neural Networks, 1077 - i, D., Xia, H., Li, X., Zhang, R., &amp; Ma, M. (2025). DTGBA: A stronger graph backdoor attack with dual triggers. Neural Networks, 107726 - Elsevier</w:t>
        <w:br/>
      </w:r>
      <w:r>
        <w:rPr>
          <w:rFonts w:ascii="Arial" w:hAnsi="Arial"/>
          <w:color w:val="222222"/>
          <w:sz w:val="20"/>
        </w:rPr>
        <w:t>Graph backdoor attacks can significantly degrade the performance of graph neural networks (GNNs). Specifically, during the training phase, graph backdoor attacks inject triggers and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2">
        <w:r>
          <w:rPr>
            <w:rStyle w:val="Hyperlink"/>
          </w:rPr>
          <w:t>Dynamic Sequential Neighbor Processing: A Liquid Neural Network-Inspired Framework for Enhanced Graph Neural Networks</w:t>
          <w:br/>
        </w:r>
      </w:hyperlink>
      <w:r>
        <w:rPr>
          <w:rFonts w:ascii="Arial" w:hAnsi="Arial"/>
          <w:color w:val="006621"/>
          <w:sz w:val="20"/>
        </w:rPr>
        <w:t>Kuijie Zhang, Shanchen Pang, Yuanyuan Zhang, Yun Bai, Luqi Wang, and Jerry Chun-Wei Lin - Information Sciences (2025): 122452 - Elsevier</w:t>
        <w:br/>
      </w:r>
      <w:r>
        <w:rPr>
          <w:rFonts w:ascii="Arial" w:hAnsi="Arial"/>
          <w:color w:val="222222"/>
          <w:sz w:val="20"/>
        </w:rPr>
        <w:t>Integrating information from multi-order neighborhoods is a fundamental strategy in Graph Neural Networks (GNNs) for capturing higher-order structural patterns and enhancing the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3">
        <w:r>
          <w:rPr>
            <w:rStyle w:val="Hyperlink"/>
          </w:rPr>
          <w:t>TAGDN: type-aligning graph diffusion network for capturing long-range dependencies in heterogeneous graphs without over-squashing and over-smoothing</w:t>
          <w:br/>
        </w:r>
      </w:hyperlink>
      <w:r>
        <w:rPr>
          <w:rFonts w:ascii="Arial" w:hAnsi="Arial"/>
          <w:color w:val="006621"/>
          <w:sz w:val="20"/>
        </w:rPr>
        <w:t>Seong Jin Ahn, Min-Soo Kim, and Myoung-Ho Kim - Neural Computing and Applications (2025): 1-31 - Springer</w:t>
        <w:br/>
      </w:r>
      <w:r>
        <w:rPr>
          <w:rFonts w:ascii="Arial" w:hAnsi="Arial"/>
          <w:color w:val="222222"/>
          <w:sz w:val="20"/>
        </w:rPr>
        <w:t>Graph neural networks (GNNs) have seen significant growth in analyzing heterogeneous graphs, which contain different types of nodes and connections. Recent studies have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4">
        <w:r>
          <w:rPr>
            <w:rStyle w:val="Hyperlink"/>
          </w:rPr>
          <w:t>EGNN: Exploring Structure-Level Neighborhoods in Graphs With Varying Homophily Ratios</w:t>
          <w:br/>
        </w:r>
      </w:hyperlink>
      <w:r>
        <w:rPr>
          <w:rFonts w:ascii="Arial" w:hAnsi="Arial"/>
          <w:color w:val="006621"/>
          <w:sz w:val="20"/>
        </w:rPr>
        <w:t>Songwei Zhao, Bo Yu, Sinuo Zhang, Zhejian Yang, Jifeng Hu, Philip S. Yu, and Hechang Chen - IEEE Transactions on Knowledge and Data Engineering 37, no. 10 (2025): 5852-5865 - ieeexplore.ieee.org</w:t>
        <w:br/>
      </w:r>
      <w:r>
        <w:rPr>
          <w:rFonts w:ascii="Arial" w:hAnsi="Arial"/>
          <w:color w:val="222222"/>
          <w:sz w:val="20"/>
        </w:rPr>
        <w:t>Graph neural networks (GNNs) have garnered significant attention for their competitive performance on graph-structured data. However, many existing methods are commonly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5">
        <w:r>
          <w:rPr>
            <w:rStyle w:val="Hyperlink"/>
          </w:rPr>
          <w:t>Parameter-Free Hypergraph Neural Network for Few-Shot Node Classification</w:t>
          <w:br/>
        </w:r>
      </w:hyperlink>
      <w:r>
        <w:rPr>
          <w:rFonts w:ascii="Arial" w:hAnsi="Arial"/>
          <w:color w:val="006621"/>
          <w:sz w:val="20"/>
        </w:rPr>
        <w:t>Chaewoon Bae, Doyun Choi, Jaehyun Lee, and Jaemin Yoo - arXiv preprint arXiv:2510.21462 (2025) - arxiv.org</w:t>
        <w:br/>
      </w:r>
      <w:r>
        <w:rPr>
          <w:rFonts w:ascii="Arial" w:hAnsi="Arial"/>
          <w:color w:val="222222"/>
          <w:sz w:val="20"/>
        </w:rPr>
        <w:t>Few-shot node classification on hypergraphs requires models that generalize from scarce labels while capturing high-order structures. Existing hypergraph neural networks (HNNs)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6">
        <w:r>
          <w:rPr>
            <w:rStyle w:val="Hyperlink"/>
          </w:rPr>
          <w:t>Tensor Convolutional Network for Higher-Order Interaction Prediction in Sparse Tensors</w:t>
          <w:br/>
        </w:r>
      </w:hyperlink>
      <w:r>
        <w:rPr>
          <w:rFonts w:ascii="Arial" w:hAnsi="Arial"/>
          <w:color w:val="006621"/>
          <w:sz w:val="20"/>
        </w:rPr>
        <w:t>Jun-Gi Jang, Jingrui He, Andrew Margenot, and Hanghang Tong - arXiv preprint arXiv:2503.11786 (2025) - arxiv.org</w:t>
        <w:br/>
      </w:r>
      <w:r>
        <w:rPr>
          <w:rFonts w:ascii="Arial" w:hAnsi="Arial"/>
          <w:color w:val="222222"/>
          <w:sz w:val="20"/>
        </w:rPr>
        <w:t>Many real-world data, such as recommendation data and temporal graphs, can be represented as incomplete sparse tensors where most entries are unobserved. For such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7">
        <w:r>
          <w:rPr>
            <w:rStyle w:val="Hyperlink"/>
          </w:rPr>
          <w:t>Measuring Over-smoothing beyond Dirichlet energy</w:t>
          <w:br/>
        </w:r>
      </w:hyperlink>
      <w:r>
        <w:rPr>
          <w:rFonts w:ascii="Arial" w:hAnsi="Arial"/>
          <w:color w:val="006621"/>
          <w:sz w:val="20"/>
        </w:rPr>
        <w:t>Weiqi Guan, and Zihao Shi - arXiv preprint arXiv:2512.06782 (2025) - arxiv.org</w:t>
        <w:br/>
      </w:r>
      <w:r>
        <w:rPr>
          <w:rFonts w:ascii="Arial" w:hAnsi="Arial"/>
          <w:color w:val="222222"/>
          <w:sz w:val="20"/>
        </w:rPr>
        <w:t>While Dirichlet energy serves as a prevalent metric for quantifying over-smoothing, it is inherently restricted to capturing first-order feature derivatives. To address this limitation, we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8">
        <w:r>
          <w:rPr>
            <w:rStyle w:val="Hyperlink"/>
          </w:rPr>
          <w:t>Scaling up graph neural networks</w:t>
          <w:br/>
        </w:r>
      </w:hyperlink>
      <w:r>
        <w:rPr>
          <w:rFonts w:ascii="Arial" w:hAnsi="Arial"/>
          <w:color w:val="006621"/>
          <w:sz w:val="20"/>
        </w:rPr>
        <w:t>Ningyi. Lia - PhD diss., Nanyang Technological University, 2025 - dr.ntu.edu.sg</w:t>
        <w:br/>
      </w:r>
      <w:r>
        <w:rPr>
          <w:rFonts w:ascii="Arial" w:hAnsi="Arial"/>
          <w:color w:val="222222"/>
          <w:sz w:val="20"/>
        </w:rPr>
        <w:t>Recent years have witnessed the burgeoning of services based on data represented by graphs, which leads to rapid increase in the amount and complexity of such graph data …</w:t>
      </w:r>
    </w:p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9">
        <w:r>
          <w:rPr>
            <w:rStyle w:val="Hyperlink"/>
          </w:rPr>
          <w:t>Explainable Mining of Graphs and Time Series: Algorithms and Applications</w:t>
          <w:br/>
        </w:r>
      </w:hyperlink>
      <w:r>
        <w:rPr>
          <w:rFonts w:ascii="Arial" w:hAnsi="Arial"/>
          <w:color w:val="006621"/>
          <w:sz w:val="20"/>
        </w:rPr>
        <w:t>Meng-Chieh. Le - PhD diss., Carnegie Mellon University, 2025 - reports-archive.adm.cs.cmu.edu</w:t>
        <w:br/>
      </w:r>
      <w:r>
        <w:rPr>
          <w:rFonts w:ascii="Arial" w:hAnsi="Arial"/>
          <w:color w:val="222222"/>
          <w:sz w:val="20"/>
        </w:rPr>
        <w:t>Given a social network graph, how can we predict connections between users and determine whether they are based on shared hobbies or common friends? Given a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rFonts w:ascii="Arial" w:hAnsi="Arial"/>
      <w:color w:val="0000FF"/>
      <w:sz w:val="2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l.acm.org/doi/abs/10.1145/3749156" TargetMode="External"/><Relationship Id="rId10" Type="http://schemas.openxmlformats.org/officeDocument/2006/relationships/hyperlink" Target="https://www.sciencedirect.com/science/article/pii/S0957417425023085" TargetMode="External"/><Relationship Id="rId11" Type="http://schemas.openxmlformats.org/officeDocument/2006/relationships/hyperlink" Target="https://www.sciencedirect.com/science/article/pii/S0893608025006069" TargetMode="External"/><Relationship Id="rId12" Type="http://schemas.openxmlformats.org/officeDocument/2006/relationships/hyperlink" Target="https://www.sciencedirect.com/science/article/pii/S0020025525005845" TargetMode="External"/><Relationship Id="rId13" Type="http://schemas.openxmlformats.org/officeDocument/2006/relationships/hyperlink" Target="https://link.springer.com/article/10.1007/s00521-025-11684-7" TargetMode="External"/><Relationship Id="rId14" Type="http://schemas.openxmlformats.org/officeDocument/2006/relationships/hyperlink" Target="https://ieeexplore.ieee.org/iel8/69/4358933/11091505.pdf" TargetMode="External"/><Relationship Id="rId15" Type="http://schemas.openxmlformats.org/officeDocument/2006/relationships/hyperlink" Target="https://arxiv.org/abs/2510.21462" TargetMode="External"/><Relationship Id="rId16" Type="http://schemas.openxmlformats.org/officeDocument/2006/relationships/hyperlink" Target="https://arxiv.org/abs/2503.11786" TargetMode="External"/><Relationship Id="rId17" Type="http://schemas.openxmlformats.org/officeDocument/2006/relationships/hyperlink" Target="https://arxiv.org/abs/2512.06782" TargetMode="External"/><Relationship Id="rId18" Type="http://schemas.openxmlformats.org/officeDocument/2006/relationships/hyperlink" Target="https://dr.ntu.edu.sg/entities/publication/519516f6-4930-4869-a57d-6da81755c027" TargetMode="External"/><Relationship Id="rId19" Type="http://schemas.openxmlformats.org/officeDocument/2006/relationships/hyperlink" Target="http://reports-archive.adm.cs.cmu.edu/anon/anon/usr0/ftp/usr/ftp/2025/CMU-CS-25-1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