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4"/>
      </w:pPr>
      <w:r>
        <w:t>开源依赖管理</w:t>
      </w:r>
    </w:p>
    <w:p>
      <w:pPr>
        <w:pStyle w:val="169"/>
      </w:pPr>
      <w:r>
        <w:t>作者：Tomas Gustavsson（PrimeKey公司）</w:t>
      </w:r>
    </w:p>
    <w:p>
      <w:pPr>
        <w:pStyle w:val="169"/>
      </w:pPr>
      <w:r>
        <w:t>译者：豆包</w:t>
      </w:r>
    </w:p>
    <w:p>
      <w:pPr>
        <w:pStyle w:val="169"/>
      </w:pPr>
      <w:r>
        <w:t>发表于：IEEE Computer 2020年2月刊</w:t>
      </w:r>
    </w:p>
    <w:p>
      <w:pPr>
        <w:pStyle w:val="165"/>
      </w:pPr>
      <w:r>
        <w:t>编辑寄语</w:t>
      </w:r>
    </w:p>
    <w:p>
      <w:pPr>
        <w:pStyle w:val="167"/>
      </w:pPr>
      <w:r>
        <w:t>欢迎回来！在本专栏系列文章中，我们从软件开发人员的视角探讨了在产品中使用开源软件的问题。在上一期专栏中，我们学习了如何根据需求选择合适的组件，本期我们将聚焦于如何管理由此产生的依赖关系。专家Tomas Gustavsson将带领我们分析依赖管理的各个方面以及对应的管理方法。与往常一样，安全问题至关重要，除了安全保障之外，他还探讨了如何更积极地参与开源组件的开发社区，也就是通常所说的向上游社区贡献代码。将开源社区视为产品的供应商是一种很有帮助的视角，我们将在未来的专栏中进一步探讨。祝大家开发愉快！—— Dirk Riehle</w:t>
      </w:r>
    </w:p>
    <w:p>
      <w:pPr>
        <w:pStyle w:val="165"/>
      </w:pPr>
      <w:r>
        <w:t>摘要</w:t>
      </w:r>
    </w:p>
    <w:p>
      <w:pPr>
        <w:pStyle w:val="167"/>
      </w:pPr>
      <w:r>
        <w:t>各类组织在绝大多数计算机应用程序中都使用了开源软件。本文阐述了开源软件依赖管理面临的技术挑战，并就如何管理开源软件依赖、避免在决策制定、自动化扫描、版本升级和战略贡献等环节可能遇到的常见陷阱提供建议。</w:t>
      </w:r>
    </w:p>
    <w:p>
      <w:pPr>
        <w:pStyle w:val="165"/>
      </w:pPr>
      <w:r>
        <w:t>引言</w:t>
      </w:r>
    </w:p>
    <w:p>
      <w:pPr>
        <w:pStyle w:val="167"/>
      </w:pPr>
      <w:r>
        <w:t>本专栏此前的文章已介绍，当前生产的大多数软件（包括专有许可代码）都使用了开源软件。开源软件既可作为独立组件使用，也可作为软件内部的子组件使用，是软件开发生命周期的重要组成部分。管理这些依赖关系对于产品的长期维护至关重要。我们此前已从许可合规角度探讨过依赖管理，本文将从技术角度研究依赖管理。</w:t>
      </w:r>
    </w:p>
    <w:p>
      <w:pPr>
        <w:pStyle w:val="167"/>
      </w:pPr>
      <w:r>
        <w:t>显然，软件依赖管理并非开源软件特有，始终是需要重点考虑的问题。与专有许可依赖相比，开源依赖具有诸多优势，例如易于获取、可直接从开发团队获取新版本、使用不受限制等。尽管开源依赖使用便捷，但在软件长期生命周期中，仍有一些特定事项需要重点管理。</w:t>
      </w:r>
    </w:p>
    <w:p>
      <w:pPr>
        <w:pStyle w:val="165"/>
      </w:pPr>
      <w:r>
        <w:t>一、什么是开源依赖？</w:t>
      </w:r>
    </w:p>
    <w:p>
      <w:pPr>
        <w:pStyle w:val="167"/>
      </w:pPr>
      <w:r>
        <w:t>讨论开源依赖时，首先需要明确其定义。尽管这看似简单，但不同人有不同解读，深入探究后会发现其含义并非表面那般简单。</w:t>
      </w:r>
    </w:p>
    <w:p>
      <w:pPr>
        <w:pStyle w:val="167"/>
      </w:pPr>
      <w:r>
        <w:t>开源依赖与其他依赖有何不同？人们对开源软件常见的误解是：免费软件没有配套支持服务。若开源依赖与供应商存在商业关系（如支持订阅服务），除可能的退出成本外（这或许是另一篇文章的主题），其管理方式与其他依赖管理并无太大差异。因此，本文重点关注的开源依赖，是指使用开源许可子组件，且与供应商无合同关系、无担保、无服务等级协议的依赖形式。</w:t>
      </w:r>
    </w:p>
    <w:p>
      <w:pPr>
        <w:pStyle w:val="165"/>
      </w:pPr>
      <w:r>
        <w:t>二、开源依赖的部署形式</w:t>
      </w:r>
    </w:p>
    <w:p>
      <w:pPr>
        <w:pStyle w:val="167"/>
      </w:pPr>
      <w:r>
        <w:t>开源依赖可通过不同形式部署：</w:t>
      </w:r>
    </w:p>
    <w:p>
      <w:pPr>
        <w:pStyle w:val="168"/>
      </w:pPr>
      <w:r>
        <w:t>1. 开源库形式：开发另一款应用程序（专有或开源许可）时使用开源库（如Apache Commons Java库），开源库会打包在新应用程序内。</w:t>
      </w:r>
    </w:p>
    <w:p>
      <w:pPr>
        <w:pStyle w:val="168"/>
      </w:pPr>
      <w:r>
        <w:t>2. 集成组件形式：将开源组件作为更大解决方案的一部分，组件原样使用并打包在完整解决方案中。例如使用MariaDB开源数据库运行应用程序，数据库会打包在更大的解决方案安装包中。</w:t>
      </w:r>
    </w:p>
    <w:p>
      <w:pPr>
        <w:pStyle w:val="168"/>
      </w:pPr>
      <w:r>
        <w:t>3. 独立安装形式：将开源组件作为更大解决方案的一部分独立安装。例如使用Nginx开源Web服务器运行Web应用程序，应用程序需要先单独安装Nginx作为前提条件。</w:t>
      </w:r>
    </w:p>
    <w:p>
      <w:pPr>
        <w:pStyle w:val="167"/>
      </w:pPr>
      <w:r>
        <w:t>这三种场景下的依赖管理有相似之处，但第三种场景中，依赖关系超出开发人员控制范围，由最终用户掌控。此时，开源应用程序依赖的生命周期管理责任由用户承担，因此不在本文讨论范围内。</w:t>
      </w:r>
    </w:p>
    <w:p>
      <w:pPr>
        <w:pStyle w:val="165"/>
      </w:pPr>
      <w:r>
        <w:t>三、依赖管理的常见陷阱</w:t>
      </w:r>
    </w:p>
    <w:p>
      <w:pPr>
        <w:pStyle w:val="167"/>
      </w:pPr>
      <w:r>
        <w:t>依赖管理需遵循多项最佳实践以规避陷阱，常见陷阱包括：</w:t>
      </w:r>
    </w:p>
    <w:p>
      <w:pPr>
        <w:pStyle w:val="168"/>
      </w:pPr>
      <w:r>
        <w:t>• 安全漏洞：子组件中的漏洞（多因使用过时版本导致）可能引发交付解决方案的安全问题与数据泄露。Equifax数据泄露事件已多次证明这一点，“使用存在已知漏洞的组件”现已列入OWASP十大最关键Web应用程序安全风险清单。</w:t>
      </w:r>
    </w:p>
    <w:p>
      <w:pPr>
        <w:pStyle w:val="168"/>
      </w:pPr>
      <w:r>
        <w:t>• 升级周期延迟且成本高昂：依赖长期不升级（有时长达数年），最终需要升级时会消耗大量资源。持续或适度频率维护依赖可避免此类问题。</w:t>
      </w:r>
    </w:p>
    <w:p>
      <w:pPr>
        <w:pStyle w:val="168"/>
      </w:pPr>
      <w:r>
        <w:t>• 互操作性问题：复杂解决方案通常包含多个交互组件，集成时同一开源依赖的不同版本可能导致互操作性问题，需在部署阶段而非更早阶段解决。</w:t>
      </w:r>
    </w:p>
    <w:p>
      <w:pPr>
        <w:pStyle w:val="168"/>
      </w:pPr>
      <w:r>
        <w:t>• 功能失效：开源组件常作为底层抽象层（如网络通信、加密）的构建模块使用。互联网基础设施的原则和算法可能发生变化，若依赖不升级，关键功能可能停止工作。简单例子包括不安全的传输层安全协议版本被弃用。</w:t>
      </w:r>
    </w:p>
    <w:p>
      <w:pPr>
        <w:pStyle w:val="165"/>
      </w:pPr>
      <w:r>
        <w:t>四、依赖维护的最佳实践</w:t>
      </w:r>
    </w:p>
    <w:p>
      <w:pPr>
        <w:pStyle w:val="167"/>
      </w:pPr>
      <w:r>
        <w:t>由于开源组件的开放性，开发人员在快速完成工作的压力下，容易在代码中引入开源依赖。并非每个引入的依赖都经过严格审核。无论是开源还是专有许可依赖，维护都需要资源并增加软件技术债务，因此依赖管理是开发过程的重要组成部分。遵循几项可轻松融入现代开发流程的最佳实践，即可轻松管理大多数依赖问题。</w:t>
      </w:r>
    </w:p>
    <w:p>
      <w:pPr>
        <w:pStyle w:val="167"/>
      </w:pPr>
      <w:r>
        <w:t>实用最佳实践总结：</w:t>
      </w:r>
    </w:p>
    <w:p>
      <w:pPr>
        <w:pStyle w:val="168"/>
      </w:pPr>
      <w:r>
        <w:t>• 建立开源依赖审慎决策机制</w:t>
      </w:r>
    </w:p>
    <w:p>
      <w:pPr>
        <w:pStyle w:val="168"/>
      </w:pPr>
      <w:r>
        <w:t>• 维护依赖清单</w:t>
      </w:r>
    </w:p>
    <w:p>
      <w:pPr>
        <w:pStyle w:val="168"/>
      </w:pPr>
      <w:r>
        <w:t>• 安全问题扫描</w:t>
      </w:r>
    </w:p>
    <w:p>
      <w:pPr>
        <w:pStyle w:val="168"/>
      </w:pPr>
      <w:r>
        <w:t>• 验证下载完整性</w:t>
      </w:r>
    </w:p>
    <w:p>
      <w:pPr>
        <w:pStyle w:val="168"/>
      </w:pPr>
      <w:r>
        <w:t>• 持续升级</w:t>
      </w:r>
    </w:p>
    <w:p>
      <w:pPr>
        <w:pStyle w:val="168"/>
      </w:pPr>
      <w:r>
        <w:t>• 向上游社区贡献</w:t>
      </w:r>
    </w:p>
    <w:p>
      <w:pPr>
        <w:pStyle w:val="168"/>
      </w:pPr>
      <w:r>
        <w:t>• 支持开源项目</w:t>
      </w:r>
    </w:p>
    <w:p>
      <w:pPr>
        <w:pStyle w:val="168"/>
      </w:pPr>
      <w:r>
        <w:t>• 流程文档化</w:t>
      </w:r>
    </w:p>
    <w:p>
      <w:pPr>
        <w:pStyle w:val="167"/>
      </w:pPr>
      <w:r>
        <w:t>根据组织的开发成熟度、规模和流程，可对所有实践应用不同程度的自动化。若用三个词总结这些实践，那就是：审慎、安全、自动化。</w:t>
      </w:r>
    </w:p>
    <w:p>
      <w:pPr>
        <w:pStyle w:val="166"/>
      </w:pPr>
      <w:r>
        <w:t>（一）审慎决策</w:t>
      </w:r>
    </w:p>
    <w:p>
      <w:pPr>
        <w:pStyle w:val="167"/>
      </w:pPr>
      <w:r>
        <w:t>使用开源组件可大幅节省成本，但也存在维护成本。有些依赖是为短期收益引入，长期却会造成巨大成本。谨慎审慎的决策是成功的关键。</w:t>
      </w:r>
    </w:p>
    <w:p>
      <w:pPr>
        <w:pStyle w:val="167"/>
      </w:pPr>
      <w:r>
        <w:t>开源依赖引入必须基于审慎决策。并非有开源实现就必须使用。若仅使用库中的单个函数，维护该依赖的成本可能高于自行实现该方法；反之，若使用库中的多个方法，自行实现的维护成本通常远高于直接使用该库。凡事皆需平衡。</w:t>
      </w:r>
    </w:p>
    <w:p>
      <w:pPr>
        <w:pStyle w:val="167"/>
      </w:pPr>
      <w:r>
        <w:t>引入依赖时需考虑的重要因素是项目是否活跃开发。许多流行开源项目非常活跃，发现漏洞时会发布新版本；而有些开源项目既无活跃用户也无活跃开发人员，甚至已被废弃。应避免使用非活跃项目，因为其维护成本实际上与自行开发代码相当。</w:t>
      </w:r>
    </w:p>
    <w:p>
      <w:pPr>
        <w:pStyle w:val="167"/>
      </w:pPr>
      <w:r>
        <w:t>决定引入依赖的三个良好流程：</w:t>
      </w:r>
    </w:p>
    <w:p>
      <w:pPr>
        <w:pStyle w:val="168"/>
      </w:pPr>
      <w:r>
        <w:t>• 成立跨产品和项目的通用依赖决策小组，成员来自不同产品团队，了解组织的开源依赖战略</w:t>
      </w:r>
    </w:p>
    <w:p>
      <w:pPr>
        <w:pStyle w:val="168"/>
      </w:pPr>
      <w:r>
        <w:t>• 制定开源项目评估标准，辅助引入决策</w:t>
      </w:r>
    </w:p>
    <w:p>
      <w:pPr>
        <w:pStyle w:val="168"/>
      </w:pPr>
      <w:r>
        <w:t>• 自动化检测开源依赖</w:t>
      </w:r>
    </w:p>
    <w:p>
      <w:pPr>
        <w:pStyle w:val="166"/>
      </w:pPr>
      <w:r>
        <w:t>（二）维护依赖清单</w:t>
      </w:r>
    </w:p>
    <w:p>
      <w:pPr>
        <w:pStyle w:val="167"/>
      </w:pPr>
      <w:r>
        <w:t>维护依赖清单有多重好处。此前文章已介绍其在许可合规方面的优势，依赖清单在技术依赖维护中也很实用。清单可帮助开发人员了解特定依赖的功能，这在大型产品中并非显而易见。</w:t>
      </w:r>
    </w:p>
    <w:p>
      <w:pPr>
        <w:pStyle w:val="167"/>
      </w:pPr>
      <w:r>
        <w:t>结构清晰的清单应包含指向软件最新版本获取地址的链接和URL，使开发人员能从官方来源获取依赖新版本，避免使用未经验证的代码，并使质量保证部门能在依赖升级后确定需测试的功能。</w:t>
      </w:r>
    </w:p>
    <w:p>
      <w:pPr>
        <w:pStyle w:val="167"/>
      </w:pPr>
      <w:r>
        <w:t>技术依赖维护可借鉴此前文章的成果，如开源组件物料清单。依赖维护反思应成为物料清单维护的一部分。组织内有多个解决方案时，查看构成完整解决方案的所有组件物料清单，可解决互操作性问题。</w:t>
      </w:r>
    </w:p>
    <w:p>
      <w:pPr>
        <w:pStyle w:val="167"/>
      </w:pPr>
      <w:r>
        <w:t>维护依赖清单的工作量因组织和产品规模而异。小型产品团队可手动开始，大型产品团队则需要高度自动化才能确定依赖关系。</w:t>
      </w:r>
    </w:p>
    <w:p>
      <w:pPr>
        <w:pStyle w:val="166"/>
      </w:pPr>
      <w:r>
        <w:t>（三）安全问题扫描</w:t>
      </w:r>
    </w:p>
    <w:p>
      <w:pPr>
        <w:pStyle w:val="167"/>
      </w:pPr>
      <w:r>
        <w:t>使用存在已知漏洞的子组件已列入OWASP十大最关键Web应用程序安全风险清单，这表明安全问题必须得到处理。几乎所有软件（无论是开源还是专有许可）都会出现安全问题。大型软件组件（开源和专有）发现安全问题时会提交通用漏洞披露（CVE）信息。</w:t>
      </w:r>
    </w:p>
    <w:p>
      <w:pPr>
        <w:pStyle w:val="167"/>
      </w:pPr>
      <w:r>
        <w:t>有工具可帮助自动扫描所依赖子组件中的已知漏洞，将这些工具集成到开发流程中，可大幅简化风险管控。</w:t>
      </w:r>
    </w:p>
    <w:p>
      <w:pPr>
        <w:pStyle w:val="166"/>
      </w:pPr>
      <w:r>
        <w:t>（四）验证完整性</w:t>
      </w:r>
    </w:p>
    <w:p>
      <w:pPr>
        <w:pStyle w:val="167"/>
      </w:pPr>
      <w:r>
        <w:t>从互联网获取软件时，验证完整性至关重要。恶意版本软件有时会被放置在下载站点，危及安装这些版本的系统。此外，下载服务器有时会被入侵，导致正确版本软件被恶意版本替换。开源软件和非开源软件都会遇到此类问题；根据本文定义，开源依赖始终从互联网下载，与供应商无特定联系，因此完整性验证尤为重要。</w:t>
      </w:r>
    </w:p>
    <w:p>
      <w:pPr>
        <w:pStyle w:val="167"/>
      </w:pPr>
      <w:r>
        <w:t>验证开源依赖完整性的两种最常见方法：</w:t>
      </w:r>
    </w:p>
    <w:p>
      <w:pPr>
        <w:pStyle w:val="168"/>
      </w:pPr>
      <w:r>
        <w:t>• 将下载软件的哈希值（校验和）与从可信（或至少其他）来源获取的哈希值进行比对</w:t>
      </w:r>
    </w:p>
    <w:p>
      <w:pPr>
        <w:pStyle w:val="168"/>
      </w:pPr>
      <w:r>
        <w:t>• 验证下载软件的数字签名，验证密钥从可信（或至少其他）来源获取</w:t>
      </w:r>
    </w:p>
    <w:p>
      <w:pPr>
        <w:pStyle w:val="167"/>
      </w:pPr>
      <w:r>
        <w:t>流程可手动或自动化执行，取决于组织的依赖管理和获取方式。最重要的是清楚是否以及如何执行完整性验证。</w:t>
      </w:r>
    </w:p>
    <w:p>
      <w:pPr>
        <w:pStyle w:val="166"/>
      </w:pPr>
      <w:r>
        <w:t>（五）持续升级</w:t>
      </w:r>
    </w:p>
    <w:p>
      <w:pPr>
        <w:pStyle w:val="167"/>
      </w:pPr>
      <w:r>
        <w:t>为避免诸多常见陷阱，应定期升级依赖。短期来看这是维护负担，但长期可节省大量成本。若开发流程设计时考虑依赖维护，可降低成本并避免诸多高成本陷阱。</w:t>
      </w:r>
    </w:p>
    <w:p>
      <w:pPr>
        <w:pStyle w:val="167"/>
      </w:pPr>
      <w:r>
        <w:t>要实现无需花费过多时间的持续升级，需具备一些基本开发规范：一是主要使用自动化测试验证升级是否按预期工作，如今这已成为持续集成流程的常规实践，产品源代码一旦变更就执行自动化测试；二是在产品每次重大功能发布时设置验证和升级外部依赖的流程步骤。</w:t>
      </w:r>
    </w:p>
    <w:p>
      <w:pPr>
        <w:pStyle w:val="167"/>
      </w:pPr>
      <w:r>
        <w:t>近期出现了应对依赖维护复杂性的工具，可协助自动化完成从早期检测已报告的安全漏洞到自动化升级依赖等所有工作。</w:t>
      </w:r>
    </w:p>
    <w:p>
      <w:pPr>
        <w:pStyle w:val="166"/>
      </w:pPr>
      <w:r>
        <w:t>（六）向上游社区贡献</w:t>
      </w:r>
    </w:p>
    <w:p>
      <w:pPr>
        <w:pStyle w:val="167"/>
      </w:pPr>
      <w:r>
        <w:t>使用开源依赖的一个不同之处在于，用户有能力向上游开发社区贡献内容。上游指解决方案所依赖的开源项目。无需以代码形式贡献开源依赖，贡献可通过多种方式实现：</w:t>
      </w:r>
    </w:p>
    <w:p>
      <w:pPr>
        <w:pStyle w:val="168"/>
      </w:pPr>
      <w:r>
        <w:t>• 提交错误报告和修复代码</w:t>
      </w:r>
    </w:p>
    <w:p>
      <w:pPr>
        <w:pStyle w:val="168"/>
      </w:pPr>
      <w:r>
        <w:t>• 提出功能需求和提交功能代码</w:t>
      </w:r>
    </w:p>
    <w:p>
      <w:pPr>
        <w:pStyle w:val="168"/>
      </w:pPr>
      <w:r>
        <w:t>• 为其他用户提供支持并参与论坛讨论</w:t>
      </w:r>
    </w:p>
    <w:p>
      <w:pPr>
        <w:pStyle w:val="168"/>
      </w:pPr>
      <w:r>
        <w:t>• 提供文档和翻译</w:t>
      </w:r>
    </w:p>
    <w:p>
      <w:pPr>
        <w:pStyle w:val="167"/>
      </w:pPr>
      <w:r>
        <w:t>对战略开源项目进行投资可为组织带来巨大收益，不同组织的投资原因各不相同。除战略优势外，还有诸多实际维护优势：</w:t>
      </w:r>
    </w:p>
    <w:p>
      <w:pPr>
        <w:pStyle w:val="168"/>
      </w:pPr>
      <w:r>
        <w:t>• 无需单独维护与主项目分离的代码变更</w:t>
      </w:r>
    </w:p>
    <w:p>
      <w:pPr>
        <w:pStyle w:val="168"/>
      </w:pPr>
      <w:r>
        <w:t>• 使升级更轻松，因为变更已纳入主项目</w:t>
      </w:r>
    </w:p>
    <w:p>
      <w:pPr>
        <w:pStyle w:val="168"/>
      </w:pPr>
      <w:r>
        <w:t>• 获得社区支持，帮助他人会让他们愿意帮助你</w:t>
      </w:r>
    </w:p>
    <w:p>
      <w:pPr>
        <w:pStyle w:val="168"/>
      </w:pPr>
      <w:r>
        <w:t>• 减少对组织内特定人员的依赖</w:t>
      </w:r>
    </w:p>
    <w:p>
      <w:pPr>
        <w:pStyle w:val="168"/>
      </w:pPr>
      <w:r>
        <w:t>• 有机会获得贡献功能的改进和额外测试（如不同规模的测试）</w:t>
      </w:r>
    </w:p>
    <w:p>
      <w:pPr>
        <w:pStyle w:val="168"/>
      </w:pPr>
      <w:r>
        <w:t>• 组织内知识共享</w:t>
      </w:r>
    </w:p>
    <w:p>
      <w:pPr>
        <w:pStyle w:val="167"/>
      </w:pPr>
      <w:r>
        <w:t>从长期来看，向上游社区贡献可为组织节省大量时间，即使短期存在感知成本。</w:t>
      </w:r>
    </w:p>
    <w:p>
      <w:pPr>
        <w:pStyle w:val="167"/>
      </w:pPr>
      <w:r>
        <w:t>实际操作中，向上游社区贡献包括查找项目网站并了解可用的沟通机制。大多数情况下有邮件列表和网络论坛，通常还有错误报告和功能需求的问题跟踪器。对于托管在流行开源协作平台（如GitHub）上的项目，所有项目都使用标准工具，熟悉平台后即可轻松融入新项目。</w:t>
      </w:r>
    </w:p>
    <w:p>
      <w:pPr>
        <w:pStyle w:val="166"/>
      </w:pPr>
      <w:r>
        <w:t>（七）支持开源项目</w:t>
      </w:r>
    </w:p>
    <w:p>
      <w:pPr>
        <w:pStyle w:val="167"/>
      </w:pPr>
      <w:r>
        <w:t>根据依赖的重要性，需降低依赖被废弃的风险。有些开源项目由商业组织运营，有些由个人志愿者运营。无论开源项目如何运营，若中长期依赖某子组件，该组件必须具备可持续性。可持续性应成为选择开源子组件的标准之一。</w:t>
      </w:r>
    </w:p>
    <w:p>
      <w:pPr>
        <w:pStyle w:val="167"/>
      </w:pPr>
      <w:r>
        <w:t>有多种方式提升开源项目的可持续性，确保有开发人员愿意参与项目。若项目有商业支持，可购买支持合同；若项目由基金会管理，可提供资金支持；若无法提供资金支持，可考虑其他形式贡献，如基础设施赞助（如测试服务器）。请记住，不可持续的子组件最终可能需要自行长期维护，从一开始就正确处理比简单假设开源无成本更具成本效益。</w:t>
      </w:r>
    </w:p>
    <w:p>
      <w:pPr>
        <w:pStyle w:val="166"/>
      </w:pPr>
      <w:r>
        <w:t>（八）流程文档化</w:t>
      </w:r>
    </w:p>
    <w:p>
      <w:pPr>
        <w:pStyle w:val="167"/>
      </w:pPr>
      <w:r>
        <w:t>在组织内工作时，与开源项目交互和管理开源依赖的流程应文档化，并成为开发流程的一部分。若文档不完善，依赖管理可能依赖特定个人，而这些人可能离开组织。</w:t>
      </w:r>
    </w:p>
    <w:p>
      <w:pPr>
        <w:pStyle w:val="165"/>
      </w:pPr>
      <w:r>
        <w:t>结论</w:t>
      </w:r>
    </w:p>
    <w:p>
      <w:pPr>
        <w:pStyle w:val="167"/>
      </w:pPr>
      <w:r>
        <w:t>上述实践可视为掌握开源依赖管理的基础水平。随着流程的完善，你会发现许多可算作高级最佳实践的额外方法。有些经验总是需要通过艰难的方式学习，但应用一些最佳实践可帮助你避免过早陷入困境。若审慎执行这些实践，在迈向开源应用熟练程度的过程中，你将收获开源软件依赖的巨大优势。</w:t>
      </w:r>
    </w:p>
    <w:p>
      <w:pPr>
        <w:pStyle w:val="165"/>
      </w:pPr>
      <w:r>
        <w:t>参考文献</w:t>
      </w:r>
    </w:p>
    <w:p>
      <w:pPr>
        <w:pStyle w:val="168"/>
      </w:pPr>
      <w:r>
        <w:t>1. M. Ballhausen, “Free and open source software licenses explained,” Bird &amp; Bird LLP, Hamburg, Germany, June 17, 2019.</w:t>
      </w:r>
    </w:p>
    <w:p>
      <w:pPr>
        <w:pStyle w:val="168"/>
      </w:pPr>
      <w:r>
        <w:t>2. H. Schöttle, “Open source license compliance-Why and how?” Osborne Clarke, Munich, Germany, Aug. 8, 2019.</w:t>
      </w:r>
    </w:p>
    <w:p>
      <w:pPr>
        <w:pStyle w:val="168"/>
      </w:pPr>
      <w:r>
        <w:t>3. J. McAffer, “Getting started with open source governance,” GitHub, Oct. 8, 2019.</w:t>
      </w:r>
    </w:p>
    <w:p>
      <w:pPr>
        <w:pStyle w:val="168"/>
      </w:pPr>
      <w:r>
        <w:t>4. M. Varmazis, “Equifax felled by a months-old Apache Struts vulnerability,” Sophos, Abingdon, UK, Sept. 14, 2017.</w:t>
      </w:r>
    </w:p>
    <w:p>
      <w:pPr>
        <w:pStyle w:val="168"/>
      </w:pPr>
      <w:r>
        <w:t>5. OWASP, “OWASP Top 10-2017: The ten most critical web application security risks.” Accessed on: Jan. 8, 2020.</w:t>
      </w:r>
    </w:p>
    <w:p>
      <w:pPr>
        <w:pStyle w:val="168"/>
      </w:pPr>
      <w:r>
        <w:t>6. S. Butler et al., “On company contributions to community open source software projects,” IEEE Trans. Softw. Eng., to be published.</w:t>
      </w:r>
    </w:p>
    <w:p>
      <w:pPr>
        <w:pStyle w:val="168"/>
      </w:pPr>
      <w:r>
        <w:t>7. S. Butler et al., “Maintaining interoperability in open source software: A case study of the Apache PDFBox project,” J. Syst. Softw., vol. 159, p. 110,452, Jan. 2020.</w:t>
      </w:r>
    </w:p>
    <w:p>
      <w:pPr>
        <w:pStyle w:val="168"/>
      </w:pPr>
    </w:p>
    <w:p>
      <w:pPr>
        <w:pStyle w:val="168"/>
        <w:rPr>
          <w:rFonts w:hint="default" w:eastAsia="宋体"/>
          <w:lang w:val="en-US" w:eastAsia="zh-CN"/>
        </w:rPr>
      </w:pPr>
      <w:r>
        <w:rPr>
          <w:rFonts w:hint="eastAsia"/>
          <w:lang w:val="en-US" w:eastAsia="zh-CN"/>
        </w:rPr>
        <w:t>核心观点：</w:t>
      </w:r>
      <w:r>
        <w:rPr>
          <w:rFonts w:ascii="宋体" w:hAnsi="宋体" w:eastAsia="宋体" w:cs="宋体"/>
          <w:sz w:val="24"/>
          <w:szCs w:val="24"/>
        </w:rPr>
        <w:t>本文聚焦开源依赖的技术管理，指出开源依赖是无商业合约、无担保的开源组件引用，存在安全漏洞、升级成本高、互操作冲突等风险。提出以</w:t>
      </w:r>
      <w:r>
        <w:rPr>
          <w:rStyle w:val="133"/>
          <w:rFonts w:ascii="宋体" w:hAnsi="宋体" w:eastAsia="宋体" w:cs="宋体"/>
          <w:b w:val="0"/>
          <w:bCs w:val="0"/>
          <w:color w:val="000000"/>
          <w:sz w:val="21"/>
          <w:szCs w:val="21"/>
          <w:bdr w:val="none" w:color="auto" w:sz="0" w:space="0"/>
        </w:rPr>
        <w:t>意识、安全、自动化</w:t>
      </w:r>
      <w:r>
        <w:rPr>
          <w:rFonts w:ascii="宋体" w:hAnsi="宋体" w:eastAsia="宋体" w:cs="宋体"/>
          <w:sz w:val="24"/>
          <w:szCs w:val="24"/>
        </w:rPr>
        <w:t>为核心的管理实践：建立依赖决策机制、维护依赖清单、自动化扫描安全漏洞、校验软件完整性、持续升级组件、向上游社区贡献、支持项目可持续性并完整文档化。强调主动管理开源依赖可降低技术债务，保障产品长期维</w:t>
      </w:r>
      <w:bookmarkStart w:id="0" w:name="_GoBack"/>
      <w:bookmarkEnd w:id="0"/>
      <w:r>
        <w:rPr>
          <w:rFonts w:ascii="宋体" w:hAnsi="宋体" w:eastAsia="宋体" w:cs="宋体"/>
          <w:sz w:val="24"/>
          <w:szCs w:val="24"/>
        </w:rPr>
        <w:t>护，是企业软件开发的关键环节。</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c2Y2I4ZTQ1YjAxMzBjM2UzZDZjMGJkY2U3OTQ2NjAifQ=="/>
  </w:docVars>
  <w:rsids>
    <w:rsidRoot w:val="00B47730"/>
    <w:rsid w:val="00034616"/>
    <w:rsid w:val="0006063C"/>
    <w:rsid w:val="0015074B"/>
    <w:rsid w:val="0029639D"/>
    <w:rsid w:val="00326F90"/>
    <w:rsid w:val="00AA1D8D"/>
    <w:rsid w:val="00B47730"/>
    <w:rsid w:val="00CB0664"/>
    <w:rsid w:val="00FC693F"/>
    <w:rsid w:val="109A0C2E"/>
    <w:rsid w:val="3BE457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Title Style"/>
    <w:qFormat/>
    <w:uiPriority w:val="0"/>
    <w:pPr>
      <w:spacing w:after="360" w:line="276" w:lineRule="auto"/>
      <w:jc w:val="center"/>
    </w:pPr>
    <w:rPr>
      <w:rFonts w:ascii="黑体" w:hAnsi="黑体" w:eastAsia="黑体" w:cstheme="minorBidi"/>
      <w:b/>
      <w:sz w:val="36"/>
      <w:szCs w:val="22"/>
      <w:lang w:val="en-US" w:eastAsia="en-US" w:bidi="ar-SA"/>
    </w:rPr>
  </w:style>
  <w:style w:type="paragraph" w:customStyle="1" w:styleId="165">
    <w:name w:val="Heading 1 Style"/>
    <w:qFormat/>
    <w:uiPriority w:val="0"/>
    <w:pPr>
      <w:spacing w:before="240" w:after="120" w:line="276" w:lineRule="auto"/>
    </w:pPr>
    <w:rPr>
      <w:rFonts w:ascii="黑体" w:hAnsi="黑体" w:eastAsia="黑体" w:cstheme="minorBidi"/>
      <w:b/>
      <w:sz w:val="28"/>
      <w:szCs w:val="22"/>
      <w:lang w:val="en-US" w:eastAsia="en-US" w:bidi="ar-SA"/>
    </w:rPr>
  </w:style>
  <w:style w:type="paragraph" w:customStyle="1" w:styleId="166">
    <w:name w:val="Heading 2 Style"/>
    <w:qFormat/>
    <w:uiPriority w:val="0"/>
    <w:pPr>
      <w:spacing w:before="160" w:after="80" w:line="276" w:lineRule="auto"/>
    </w:pPr>
    <w:rPr>
      <w:rFonts w:ascii="黑体" w:hAnsi="黑体" w:eastAsia="黑体" w:cstheme="minorBidi"/>
      <w:b/>
      <w:sz w:val="26"/>
      <w:szCs w:val="22"/>
      <w:lang w:val="en-US" w:eastAsia="en-US" w:bidi="ar-SA"/>
    </w:rPr>
  </w:style>
  <w:style w:type="paragraph" w:customStyle="1" w:styleId="167">
    <w:name w:val="Body Style"/>
    <w:qFormat/>
    <w:uiPriority w:val="0"/>
    <w:pPr>
      <w:spacing w:after="60" w:line="300" w:lineRule="auto"/>
      <w:ind w:firstLine="480"/>
    </w:pPr>
    <w:rPr>
      <w:rFonts w:ascii="宋体" w:hAnsi="宋体" w:eastAsia="宋体" w:cstheme="minorBidi"/>
      <w:sz w:val="22"/>
      <w:szCs w:val="22"/>
      <w:lang w:val="en-US" w:eastAsia="en-US" w:bidi="ar-SA"/>
    </w:rPr>
  </w:style>
  <w:style w:type="paragraph" w:customStyle="1" w:styleId="168">
    <w:name w:val="List Style"/>
    <w:qFormat/>
    <w:uiPriority w:val="0"/>
    <w:pPr>
      <w:spacing w:after="40" w:line="276" w:lineRule="auto"/>
      <w:ind w:left="480"/>
    </w:pPr>
    <w:rPr>
      <w:rFonts w:ascii="宋体" w:hAnsi="宋体" w:eastAsia="宋体" w:cstheme="minorBidi"/>
      <w:sz w:val="22"/>
      <w:szCs w:val="22"/>
      <w:lang w:val="en-US" w:eastAsia="en-US" w:bidi="ar-SA"/>
    </w:rPr>
  </w:style>
  <w:style w:type="paragraph" w:customStyle="1" w:styleId="169">
    <w:name w:val="Author Style"/>
    <w:qFormat/>
    <w:uiPriority w:val="0"/>
    <w:pPr>
      <w:spacing w:after="240" w:line="276" w:lineRule="auto"/>
      <w:jc w:val="center"/>
    </w:pPr>
    <w:rPr>
      <w:rFonts w:ascii="宋体" w:hAnsi="宋体" w:eastAsia="宋体" w:cstheme="minorBidi"/>
      <w:i/>
      <w:sz w:val="20"/>
      <w:szCs w:val="22"/>
      <w:lang w:val="en-US" w:eastAsia="en-US" w:bidi="ar-SA"/>
    </w:rPr>
  </w:style>
  <w:style w:type="paragraph" w:customStyle="1" w:styleId="170">
    <w:name w:val="Quote Style"/>
    <w:qFormat/>
    <w:uiPriority w:val="0"/>
    <w:pPr>
      <w:spacing w:after="120" w:line="276" w:lineRule="auto"/>
      <w:ind w:left="720" w:right="720"/>
    </w:pPr>
    <w:rPr>
      <w:rFonts w:ascii="宋体" w:hAnsi="宋体" w:eastAsia="宋体" w:cstheme="minorBidi"/>
      <w:i/>
      <w:sz w:val="20"/>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4287</Words>
  <Characters>4973</Characters>
  <Lines>0</Lines>
  <Paragraphs>0</Paragraphs>
  <TotalTime>0</TotalTime>
  <ScaleCrop>false</ScaleCrop>
  <LinksUpToDate>false</LinksUpToDate>
  <CharactersWithSpaces>5136</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chongxiann</cp:lastModifiedBy>
  <dcterms:modified xsi:type="dcterms:W3CDTF">2026-04-24T03:11:49Z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99462A3E3CD2468E962F078E81997BFF</vt:lpwstr>
  </property>
</Properties>
</file>