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111" w:rsidRDefault="006A0111" w:rsidP="006A0111">
      <w:pPr>
        <w:pStyle w:val="a6"/>
      </w:pPr>
      <w:r>
        <w:rPr>
          <w:rFonts w:ascii="Garamond" w:hAnsi="Garamond"/>
          <w:b/>
          <w:bCs/>
          <w:sz w:val="36"/>
          <w:szCs w:val="36"/>
        </w:rPr>
        <w:t>Options, Futures, and Other Derivatives, Ninth Edition</w:t>
      </w:r>
      <w:r>
        <w:rPr>
          <w:rFonts w:ascii="Garamond" w:hAnsi="Garamond"/>
          <w:b/>
          <w:bCs/>
          <w:sz w:val="27"/>
          <w:szCs w:val="27"/>
        </w:rPr>
        <w:t xml:space="preserve"> (ISBN: 978-0-13-345631-8)</w:t>
      </w:r>
    </w:p>
    <w:p w:rsidR="006A0111" w:rsidRDefault="006A0111" w:rsidP="006A0111">
      <w:pPr>
        <w:pStyle w:val="a6"/>
      </w:pPr>
      <w:r>
        <w:rPr>
          <w:rFonts w:ascii="Garamond" w:hAnsi="Garamond"/>
        </w:rPr>
        <w:t xml:space="preserve">The Solutions Manual for the ninth edition (ISBN 978-0-13-345741-4) is available. This contains answers to all end-of-chapter questions and problems (but not assignment questions). Please choose one of the following options: </w:t>
      </w:r>
    </w:p>
    <w:p w:rsidR="006A0111" w:rsidRDefault="007B4D14" w:rsidP="009E7CBB">
      <w:pPr>
        <w:pStyle w:val="a6"/>
        <w:outlineLvl w:val="0"/>
      </w:pPr>
      <w:hyperlink r:id="rId7" w:history="1">
        <w:r w:rsidR="006A0111">
          <w:rPr>
            <w:rStyle w:val="a5"/>
          </w:rPr>
          <w:t>Chapter Outline for Ninth Edition</w:t>
        </w:r>
      </w:hyperlink>
    </w:p>
    <w:p w:rsidR="006A0111" w:rsidRDefault="007B4D14" w:rsidP="009E7CBB">
      <w:pPr>
        <w:pStyle w:val="a6"/>
        <w:outlineLvl w:val="0"/>
      </w:pPr>
      <w:hyperlink r:id="rId8" w:history="1">
        <w:r w:rsidR="006A0111">
          <w:rPr>
            <w:rStyle w:val="a5"/>
          </w:rPr>
          <w:t>What's New in the Ninth Edition?</w:t>
        </w:r>
      </w:hyperlink>
    </w:p>
    <w:p w:rsidR="006A0111" w:rsidRDefault="007B4D14" w:rsidP="009E7CBB">
      <w:pPr>
        <w:pStyle w:val="a6"/>
        <w:outlineLvl w:val="0"/>
      </w:pPr>
      <w:hyperlink r:id="rId9" w:history="1">
        <w:r w:rsidR="006A0111">
          <w:rPr>
            <w:rStyle w:val="a5"/>
          </w:rPr>
          <w:t>Download PowerPoint Slides</w:t>
        </w:r>
      </w:hyperlink>
    </w:p>
    <w:p w:rsidR="006A0111" w:rsidRDefault="007B4D14" w:rsidP="009E7CBB">
      <w:pPr>
        <w:pStyle w:val="a6"/>
        <w:outlineLvl w:val="0"/>
      </w:pPr>
      <w:hyperlink r:id="rId10" w:history="1">
        <w:r w:rsidR="006A0111">
          <w:rPr>
            <w:rStyle w:val="a5"/>
          </w:rPr>
          <w:t>Course Design</w:t>
        </w:r>
      </w:hyperlink>
    </w:p>
    <w:p w:rsidR="006A0111" w:rsidRDefault="007B4D14" w:rsidP="009E7CBB">
      <w:pPr>
        <w:pStyle w:val="a6"/>
        <w:outlineLvl w:val="0"/>
      </w:pPr>
      <w:hyperlink r:id="rId11" w:history="1">
        <w:r w:rsidR="006A0111">
          <w:rPr>
            <w:rStyle w:val="a5"/>
          </w:rPr>
          <w:t xml:space="preserve">Download </w:t>
        </w:r>
        <w:r w:rsidR="006A0111">
          <w:rPr>
            <w:rStyle w:val="spelle"/>
            <w:color w:val="0000FF"/>
            <w:u w:val="single"/>
          </w:rPr>
          <w:t>DerivaGem</w:t>
        </w:r>
        <w:r w:rsidR="006A0111">
          <w:rPr>
            <w:rStyle w:val="a5"/>
          </w:rPr>
          <w:t xml:space="preserve"> Software</w:t>
        </w:r>
      </w:hyperlink>
    </w:p>
    <w:p w:rsidR="006A0111" w:rsidRDefault="007B4D14" w:rsidP="009E7CBB">
      <w:pPr>
        <w:pStyle w:val="a6"/>
        <w:outlineLvl w:val="0"/>
      </w:pPr>
      <w:hyperlink r:id="rId12" w:history="1">
        <w:r w:rsidR="006A0111">
          <w:rPr>
            <w:rStyle w:val="a5"/>
          </w:rPr>
          <w:t>Order book or solutions manual from amazon.com</w:t>
        </w:r>
      </w:hyperlink>
    </w:p>
    <w:p w:rsidR="006A0111" w:rsidRDefault="007B4D14" w:rsidP="009E7CBB">
      <w:pPr>
        <w:pStyle w:val="a6"/>
        <w:outlineLvl w:val="0"/>
      </w:pPr>
      <w:hyperlink r:id="rId13" w:history="1">
        <w:r w:rsidR="006A0111">
          <w:rPr>
            <w:rStyle w:val="a5"/>
          </w:rPr>
          <w:t>Worksheets for Value at Risk Example</w:t>
        </w:r>
      </w:hyperlink>
    </w:p>
    <w:p w:rsidR="006A0111" w:rsidRDefault="007B4D14" w:rsidP="009E7CBB">
      <w:pPr>
        <w:pStyle w:val="a6"/>
        <w:outlineLvl w:val="0"/>
      </w:pPr>
      <w:hyperlink r:id="rId14" w:history="1">
        <w:r w:rsidR="006A0111">
          <w:rPr>
            <w:rStyle w:val="a5"/>
          </w:rPr>
          <w:t>GARCH Example</w:t>
        </w:r>
      </w:hyperlink>
    </w:p>
    <w:p w:rsidR="006A0111" w:rsidRDefault="007B4D14" w:rsidP="009E7CBB">
      <w:pPr>
        <w:pStyle w:val="a6"/>
        <w:outlineLvl w:val="0"/>
      </w:pPr>
      <w:hyperlink r:id="rId15" w:history="1">
        <w:r w:rsidR="006A0111">
          <w:rPr>
            <w:rStyle w:val="a5"/>
          </w:rPr>
          <w:t>Data for end-of-chapter questions and examples</w:t>
        </w:r>
      </w:hyperlink>
    </w:p>
    <w:p w:rsidR="006A0111" w:rsidRDefault="007B4D14" w:rsidP="009E7CBB">
      <w:pPr>
        <w:pStyle w:val="a6"/>
        <w:outlineLvl w:val="0"/>
      </w:pPr>
      <w:hyperlink r:id="rId16" w:history="1">
        <w:r w:rsidR="006A0111">
          <w:rPr>
            <w:rStyle w:val="spelle"/>
            <w:color w:val="0000FF"/>
            <w:u w:val="single"/>
          </w:rPr>
          <w:t>Vasicek</w:t>
        </w:r>
        <w:r w:rsidR="006A0111">
          <w:rPr>
            <w:rStyle w:val="a5"/>
          </w:rPr>
          <w:t xml:space="preserve"> and CIR worksheets</w:t>
        </w:r>
      </w:hyperlink>
    </w:p>
    <w:p w:rsidR="006A0111" w:rsidRDefault="007B4D14" w:rsidP="009E7CBB">
      <w:pPr>
        <w:pStyle w:val="a6"/>
        <w:outlineLvl w:val="0"/>
      </w:pPr>
      <w:hyperlink r:id="rId17" w:history="1">
        <w:r w:rsidR="006A0111">
          <w:rPr>
            <w:rStyle w:val="a5"/>
          </w:rPr>
          <w:t>Example 24.2</w:t>
        </w:r>
      </w:hyperlink>
    </w:p>
    <w:p w:rsidR="006A0111" w:rsidRDefault="007B4D14" w:rsidP="009E7CBB">
      <w:pPr>
        <w:pStyle w:val="a6"/>
        <w:outlineLvl w:val="0"/>
      </w:pPr>
      <w:hyperlink r:id="rId18" w:history="1">
        <w:r w:rsidR="006A0111">
          <w:rPr>
            <w:rStyle w:val="a5"/>
          </w:rPr>
          <w:t>Errata (ninth Edition)</w:t>
        </w:r>
      </w:hyperlink>
    </w:p>
    <w:p w:rsidR="006A0111" w:rsidRDefault="007B4D14" w:rsidP="009E7CBB">
      <w:pPr>
        <w:pStyle w:val="a6"/>
        <w:outlineLvl w:val="0"/>
      </w:pPr>
      <w:hyperlink r:id="rId19" w:history="1">
        <w:r w:rsidR="006A0111">
          <w:rPr>
            <w:rStyle w:val="a5"/>
          </w:rPr>
          <w:t>Errata (old editions)</w:t>
        </w:r>
      </w:hyperlink>
    </w:p>
    <w:p w:rsidR="006A0111" w:rsidRDefault="007B4D14" w:rsidP="009E7CBB">
      <w:pPr>
        <w:pStyle w:val="a6"/>
        <w:outlineLvl w:val="0"/>
      </w:pPr>
      <w:hyperlink r:id="rId20" w:history="1">
        <w:r w:rsidR="006A0111">
          <w:rPr>
            <w:rStyle w:val="a5"/>
          </w:rPr>
          <w:t>Technical Notes</w:t>
        </w:r>
      </w:hyperlink>
    </w:p>
    <w:p w:rsidR="006A0111" w:rsidRDefault="007B4D14" w:rsidP="009E7CBB">
      <w:pPr>
        <w:pStyle w:val="a6"/>
        <w:outlineLvl w:val="0"/>
      </w:pPr>
      <w:hyperlink r:id="rId21" w:history="1">
        <w:r w:rsidR="006A0111">
          <w:rPr>
            <w:rStyle w:val="a5"/>
          </w:rPr>
          <w:t>Cumulative Bivariate Normal Distribution Function</w:t>
        </w:r>
      </w:hyperlink>
    </w:p>
    <w:p w:rsidR="006A0111" w:rsidRDefault="007B4D14" w:rsidP="009E7CBB">
      <w:pPr>
        <w:pStyle w:val="a6"/>
        <w:outlineLvl w:val="0"/>
      </w:pPr>
      <w:hyperlink r:id="rId22" w:history="1">
        <w:r w:rsidR="006A0111">
          <w:rPr>
            <w:rStyle w:val="a5"/>
          </w:rPr>
          <w:t>Gaussian Quadrature Weights and Values</w:t>
        </w:r>
      </w:hyperlink>
    </w:p>
    <w:p w:rsidR="006A0111" w:rsidRDefault="007B4D14" w:rsidP="009E7CBB">
      <w:pPr>
        <w:pStyle w:val="a6"/>
        <w:outlineLvl w:val="0"/>
      </w:pPr>
      <w:hyperlink r:id="rId23" w:history="1">
        <w:r w:rsidR="006A0111">
          <w:rPr>
            <w:rStyle w:val="a5"/>
          </w:rPr>
          <w:t>Principal Components Analysis</w:t>
        </w:r>
      </w:hyperlink>
    </w:p>
    <w:p w:rsidR="006A0111" w:rsidRDefault="007B4D14" w:rsidP="009E7CBB">
      <w:pPr>
        <w:pStyle w:val="a6"/>
        <w:outlineLvl w:val="0"/>
      </w:pPr>
      <w:hyperlink r:id="rId24" w:history="1">
        <w:r w:rsidR="006A0111">
          <w:rPr>
            <w:rStyle w:val="a5"/>
          </w:rPr>
          <w:t>Employee Stock Option Software</w:t>
        </w:r>
      </w:hyperlink>
    </w:p>
    <w:p w:rsidR="006A0111" w:rsidRDefault="006A0111" w:rsidP="008F1E5C">
      <w:pPr>
        <w:widowControl/>
        <w:spacing w:before="100" w:beforeAutospacing="1" w:after="100" w:afterAutospacing="1"/>
        <w:jc w:val="left"/>
        <w:rPr>
          <w:rFonts w:ascii="Garamond" w:eastAsia="宋体" w:hAnsi="Garamond" w:cs="宋体"/>
          <w:b/>
          <w:bCs/>
          <w:kern w:val="0"/>
          <w:sz w:val="27"/>
          <w:szCs w:val="27"/>
        </w:rPr>
      </w:pPr>
    </w:p>
    <w:p w:rsidR="008F1E5C" w:rsidRPr="008F1E5C" w:rsidRDefault="008F1E5C" w:rsidP="009E7CBB">
      <w:pPr>
        <w:widowControl/>
        <w:spacing w:before="100" w:beforeAutospacing="1" w:after="100" w:afterAutospacing="1"/>
        <w:jc w:val="left"/>
        <w:outlineLvl w:val="0"/>
        <w:rPr>
          <w:rFonts w:ascii="宋体" w:eastAsia="宋体" w:hAnsi="宋体" w:cs="宋体"/>
          <w:kern w:val="0"/>
          <w:sz w:val="24"/>
          <w:szCs w:val="24"/>
        </w:rPr>
      </w:pPr>
      <w:r w:rsidRPr="008F1E5C">
        <w:rPr>
          <w:rFonts w:ascii="Garamond" w:eastAsia="宋体" w:hAnsi="Garamond" w:cs="宋体"/>
          <w:b/>
          <w:bCs/>
          <w:kern w:val="0"/>
          <w:sz w:val="27"/>
          <w:szCs w:val="27"/>
        </w:rPr>
        <w:lastRenderedPageBreak/>
        <w:t>Course Design:</w:t>
      </w:r>
    </w:p>
    <w:p w:rsidR="008F1E5C" w:rsidRPr="008F1E5C" w:rsidRDefault="008F1E5C" w:rsidP="008F1E5C">
      <w:pPr>
        <w:widowControl/>
        <w:spacing w:before="100" w:beforeAutospacing="1" w:after="100" w:afterAutospacing="1"/>
        <w:jc w:val="left"/>
        <w:rPr>
          <w:rFonts w:ascii="宋体" w:eastAsia="宋体" w:hAnsi="宋体" w:cs="宋体"/>
          <w:kern w:val="0"/>
          <w:sz w:val="24"/>
          <w:szCs w:val="24"/>
        </w:rPr>
      </w:pPr>
      <w:r w:rsidRPr="008F1E5C">
        <w:rPr>
          <w:rFonts w:ascii="宋体" w:eastAsia="宋体" w:hAnsi="宋体" w:cs="宋体"/>
          <w:kern w:val="0"/>
          <w:sz w:val="24"/>
          <w:szCs w:val="24"/>
        </w:rPr>
        <w:t xml:space="preserve">Each instructor is likely to have his or her own preferences for the way in which a course based on </w:t>
      </w:r>
      <w:r w:rsidRPr="008F1E5C">
        <w:rPr>
          <w:rFonts w:ascii="宋体" w:eastAsia="宋体" w:hAnsi="宋体" w:cs="宋体"/>
          <w:i/>
          <w:kern w:val="0"/>
          <w:sz w:val="24"/>
          <w:szCs w:val="24"/>
        </w:rPr>
        <w:t xml:space="preserve">Options, Futures, and Other Derivatives, 7e </w:t>
      </w:r>
      <w:r w:rsidRPr="008F1E5C">
        <w:rPr>
          <w:rFonts w:ascii="宋体" w:eastAsia="宋体" w:hAnsi="宋体" w:cs="宋体"/>
          <w:kern w:val="0"/>
          <w:sz w:val="24"/>
          <w:szCs w:val="24"/>
        </w:rPr>
        <w:t>is structured.  Click here to see three alternative (abbreviated) course outlines.</w:t>
      </w:r>
    </w:p>
    <w:p w:rsidR="008F1E5C" w:rsidRPr="008F1E5C" w:rsidRDefault="008F1E5C" w:rsidP="009E7CBB">
      <w:pPr>
        <w:widowControl/>
        <w:spacing w:before="100" w:beforeAutospacing="1" w:after="100" w:afterAutospacing="1"/>
        <w:jc w:val="left"/>
        <w:outlineLvl w:val="0"/>
        <w:rPr>
          <w:rFonts w:ascii="宋体" w:eastAsia="宋体" w:hAnsi="宋体" w:cs="宋体"/>
          <w:kern w:val="0"/>
          <w:sz w:val="24"/>
          <w:szCs w:val="24"/>
        </w:rPr>
      </w:pPr>
      <w:r w:rsidRPr="008F1E5C">
        <w:rPr>
          <w:rFonts w:ascii="宋体" w:eastAsia="宋体" w:hAnsi="宋体" w:cs="宋体"/>
          <w:kern w:val="0"/>
          <w:sz w:val="24"/>
          <w:szCs w:val="24"/>
        </w:rPr>
        <w:t> </w:t>
      </w:r>
      <w:hyperlink r:id="rId25" w:history="1">
        <w:r w:rsidRPr="008F1E5C">
          <w:rPr>
            <w:rFonts w:ascii="宋体" w:eastAsia="宋体" w:hAnsi="宋体" w:cs="宋体"/>
            <w:color w:val="0000FF"/>
            <w:kern w:val="0"/>
            <w:sz w:val="24"/>
            <w:szCs w:val="24"/>
            <w:u w:val="single"/>
          </w:rPr>
          <w:t>Options and Futures Markets</w:t>
        </w:r>
      </w:hyperlink>
    </w:p>
    <w:p w:rsidR="008F1E5C" w:rsidRPr="008F1E5C" w:rsidRDefault="008F1E5C" w:rsidP="009E7CBB">
      <w:pPr>
        <w:widowControl/>
        <w:spacing w:before="100" w:beforeAutospacing="1" w:after="100" w:afterAutospacing="1"/>
        <w:jc w:val="left"/>
        <w:outlineLvl w:val="0"/>
        <w:rPr>
          <w:rFonts w:ascii="宋体" w:eastAsia="宋体" w:hAnsi="宋体" w:cs="宋体"/>
          <w:kern w:val="0"/>
          <w:sz w:val="24"/>
          <w:szCs w:val="24"/>
        </w:rPr>
      </w:pPr>
      <w:r w:rsidRPr="008F1E5C">
        <w:rPr>
          <w:rFonts w:ascii="宋体" w:eastAsia="宋体" w:hAnsi="宋体" w:cs="宋体"/>
          <w:kern w:val="0"/>
          <w:sz w:val="24"/>
          <w:szCs w:val="24"/>
        </w:rPr>
        <w:t> </w:t>
      </w:r>
      <w:hyperlink r:id="rId26" w:history="1">
        <w:r w:rsidRPr="008F1E5C">
          <w:rPr>
            <w:rFonts w:ascii="宋体" w:eastAsia="宋体" w:hAnsi="宋体" w:cs="宋体"/>
            <w:color w:val="0000FF"/>
            <w:kern w:val="0"/>
            <w:sz w:val="24"/>
            <w:szCs w:val="24"/>
            <w:u w:val="single"/>
          </w:rPr>
          <w:t>Derivative Products and Risk Management</w:t>
        </w:r>
      </w:hyperlink>
    </w:p>
    <w:p w:rsidR="008F1E5C" w:rsidRPr="008F1E5C" w:rsidRDefault="008F1E5C" w:rsidP="009E7CBB">
      <w:pPr>
        <w:widowControl/>
        <w:spacing w:before="100" w:beforeAutospacing="1" w:after="100" w:afterAutospacing="1"/>
        <w:jc w:val="left"/>
        <w:outlineLvl w:val="0"/>
        <w:rPr>
          <w:rFonts w:ascii="宋体" w:eastAsia="宋体" w:hAnsi="宋体" w:cs="宋体"/>
          <w:kern w:val="0"/>
          <w:sz w:val="24"/>
          <w:szCs w:val="24"/>
        </w:rPr>
      </w:pPr>
      <w:r w:rsidRPr="008F1E5C">
        <w:rPr>
          <w:rFonts w:ascii="宋体" w:eastAsia="宋体" w:hAnsi="宋体" w:cs="宋体"/>
          <w:kern w:val="0"/>
          <w:sz w:val="24"/>
          <w:szCs w:val="24"/>
        </w:rPr>
        <w:t> </w:t>
      </w:r>
      <w:hyperlink r:id="rId27" w:history="1">
        <w:r w:rsidRPr="008F1E5C">
          <w:rPr>
            <w:rFonts w:ascii="宋体" w:eastAsia="宋体" w:hAnsi="宋体" w:cs="宋体"/>
            <w:color w:val="0000FF"/>
            <w:kern w:val="0"/>
            <w:sz w:val="24"/>
            <w:szCs w:val="24"/>
            <w:u w:val="single"/>
          </w:rPr>
          <w:t>Advanced Derivatives</w:t>
        </w:r>
      </w:hyperlink>
    </w:p>
    <w:p w:rsidR="008F1E5C" w:rsidRDefault="008F1E5C" w:rsidP="008F1E5C">
      <w:pPr>
        <w:widowControl/>
        <w:spacing w:before="100" w:beforeAutospacing="1" w:after="100" w:afterAutospacing="1"/>
        <w:jc w:val="left"/>
        <w:rPr>
          <w:rFonts w:ascii="宋体" w:eastAsia="宋体" w:hAnsi="宋体" w:cs="宋体"/>
          <w:bCs/>
          <w:kern w:val="0"/>
          <w:sz w:val="24"/>
          <w:szCs w:val="24"/>
        </w:rPr>
      </w:pPr>
      <w:r w:rsidRPr="008F1E5C">
        <w:rPr>
          <w:rFonts w:ascii="宋体" w:eastAsia="宋体" w:hAnsi="宋体" w:cs="宋体"/>
          <w:bCs/>
          <w:kern w:val="0"/>
          <w:sz w:val="24"/>
          <w:szCs w:val="24"/>
        </w:rPr>
        <w:t>For more details on alternative outlines, see the Instructors Manual.</w:t>
      </w:r>
    </w:p>
    <w:p w:rsidR="00B42FD2" w:rsidRPr="008F1E5C" w:rsidRDefault="007B4D14" w:rsidP="008F1E5C">
      <w:pPr>
        <w:widowControl/>
        <w:spacing w:before="100" w:beforeAutospacing="1" w:after="100" w:afterAutospacing="1"/>
        <w:jc w:val="left"/>
        <w:rPr>
          <w:rFonts w:ascii="宋体" w:eastAsia="宋体" w:hAnsi="宋体" w:cs="宋体"/>
          <w:kern w:val="0"/>
          <w:sz w:val="24"/>
          <w:szCs w:val="24"/>
        </w:rPr>
      </w:pPr>
      <w:hyperlink r:id="rId28" w:anchor="/ref=nb_sb_noss?url=search-alias%3Dstripbooks&amp;field-keywords=9780133457414&amp;rh=n%3A283155%2Ck%3A9780133457414" w:history="1">
        <w:r w:rsidR="00B42FD2">
          <w:rPr>
            <w:rStyle w:val="a5"/>
            <w:rFonts w:ascii="Garamond" w:hAnsi="Garamond"/>
            <w:bCs/>
            <w:sz w:val="28"/>
            <w:szCs w:val="28"/>
          </w:rPr>
          <w:t xml:space="preserve">Options, Futures and Other Derivatives, 9th Edition, Solutions Manual ISBN 978-0-13-345741-4 </w:t>
        </w:r>
      </w:hyperlink>
    </w:p>
    <w:p w:rsidR="007B4D14" w:rsidRPr="007C4A57" w:rsidRDefault="008A435D" w:rsidP="009E7CBB">
      <w:pPr>
        <w:widowControl/>
        <w:spacing w:before="100" w:beforeAutospacing="1" w:after="100" w:afterAutospacing="1"/>
        <w:jc w:val="left"/>
        <w:outlineLvl w:val="0"/>
        <w:rPr>
          <w:rFonts w:ascii="Garamond" w:eastAsia="宋体" w:hAnsi="Garamond" w:cs="宋体"/>
          <w:b/>
          <w:bCs/>
          <w:kern w:val="0"/>
          <w:sz w:val="27"/>
          <w:szCs w:val="27"/>
        </w:rPr>
      </w:pPr>
      <w:r w:rsidRPr="007C4A57">
        <w:rPr>
          <w:rFonts w:ascii="Garamond" w:eastAsia="宋体" w:hAnsi="Garamond" w:cs="宋体"/>
          <w:b/>
          <w:bCs/>
          <w:kern w:val="0"/>
          <w:sz w:val="27"/>
          <w:szCs w:val="27"/>
        </w:rPr>
        <w:t>Software</w:t>
      </w:r>
      <w:r w:rsidRPr="007C4A57">
        <w:rPr>
          <w:rFonts w:ascii="Garamond" w:eastAsia="宋体" w:hAnsi="Garamond" w:cs="宋体" w:hint="eastAsia"/>
          <w:b/>
          <w:bCs/>
          <w:kern w:val="0"/>
          <w:sz w:val="27"/>
          <w:szCs w:val="27"/>
        </w:rPr>
        <w:t xml:space="preserve"> </w:t>
      </w:r>
      <w:r w:rsidRPr="007C4A57">
        <w:rPr>
          <w:rFonts w:ascii="Garamond" w:eastAsia="宋体" w:hAnsi="Garamond" w:cs="宋体"/>
          <w:b/>
          <w:bCs/>
          <w:kern w:val="0"/>
          <w:sz w:val="27"/>
          <w:szCs w:val="27"/>
        </w:rPr>
        <w:t>DerivaGem</w:t>
      </w:r>
    </w:p>
    <w:p w:rsidR="007C4A57" w:rsidRPr="007C4A57" w:rsidRDefault="007C4A57" w:rsidP="009E7CBB">
      <w:pPr>
        <w:widowControl/>
        <w:spacing w:before="100" w:beforeAutospacing="1" w:after="100" w:afterAutospacing="1"/>
        <w:jc w:val="left"/>
        <w:outlineLvl w:val="0"/>
        <w:rPr>
          <w:rFonts w:ascii="宋体" w:eastAsia="宋体" w:hAnsi="宋体" w:cs="宋体"/>
          <w:kern w:val="0"/>
          <w:sz w:val="24"/>
          <w:szCs w:val="24"/>
        </w:rPr>
      </w:pPr>
      <w:r w:rsidRPr="007C4A57">
        <w:rPr>
          <w:rFonts w:ascii="Garamond" w:eastAsia="宋体" w:hAnsi="Garamond" w:cs="宋体"/>
          <w:b/>
          <w:bCs/>
          <w:kern w:val="0"/>
          <w:sz w:val="36"/>
          <w:szCs w:val="24"/>
        </w:rPr>
        <w:t>The Options Calculator and Applications Builder</w:t>
      </w:r>
    </w:p>
    <w:p w:rsidR="007C4A57" w:rsidRPr="007C4A57" w:rsidRDefault="007C4A57" w:rsidP="007C4A57">
      <w:pPr>
        <w:widowControl/>
        <w:spacing w:before="100" w:beforeAutospacing="1" w:after="100" w:afterAutospacing="1"/>
        <w:jc w:val="left"/>
        <w:rPr>
          <w:rFonts w:ascii="宋体" w:eastAsia="宋体" w:hAnsi="宋体" w:cs="宋体"/>
          <w:kern w:val="0"/>
          <w:sz w:val="24"/>
          <w:szCs w:val="24"/>
        </w:rPr>
      </w:pPr>
      <w:r w:rsidRPr="007C4A57">
        <w:rPr>
          <w:rFonts w:ascii="Garamond" w:eastAsia="宋体" w:hAnsi="Garamond" w:cs="宋体"/>
          <w:bCs/>
          <w:kern w:val="0"/>
          <w:sz w:val="24"/>
          <w:szCs w:val="24"/>
        </w:rPr>
        <w:t xml:space="preserve">DerivaGem 3.00 is available with Options, Futures and Other Derivatives, 9e. This includes implementation of the CEV, Merton mixed jump diffusion, and variance gamma models. Monte Carlo experiments can be carried out and either LIBOR or OIS discounting can be used for valuing swaps, caps and swaptions. </w:t>
      </w:r>
    </w:p>
    <w:p w:rsidR="007C4A57" w:rsidRPr="007C4A57" w:rsidRDefault="007C4A57" w:rsidP="007C4A57">
      <w:pPr>
        <w:widowControl/>
        <w:spacing w:before="100" w:beforeAutospacing="1" w:after="100" w:afterAutospacing="1"/>
        <w:jc w:val="left"/>
        <w:rPr>
          <w:rFonts w:ascii="宋体" w:eastAsia="宋体" w:hAnsi="宋体" w:cs="宋体"/>
          <w:kern w:val="0"/>
          <w:sz w:val="24"/>
          <w:szCs w:val="24"/>
        </w:rPr>
      </w:pPr>
      <w:r w:rsidRPr="007C4A57">
        <w:rPr>
          <w:rFonts w:ascii="Garamond" w:eastAsia="宋体" w:hAnsi="Garamond" w:cs="宋体"/>
          <w:kern w:val="0"/>
          <w:sz w:val="24"/>
          <w:szCs w:val="24"/>
        </w:rPr>
        <w:t>DerivaGem 2.01 can be downloaded here.  One *.xls file is now needed to run the software. Features of the software include the following</w:t>
      </w:r>
    </w:p>
    <w:p w:rsidR="007C4A57" w:rsidRPr="007C4A57" w:rsidRDefault="007C4A57" w:rsidP="007C4A57">
      <w:pPr>
        <w:widowControl/>
        <w:numPr>
          <w:ilvl w:val="0"/>
          <w:numId w:val="1"/>
        </w:numPr>
        <w:spacing w:before="100" w:beforeAutospacing="1" w:after="100" w:afterAutospacing="1"/>
        <w:jc w:val="left"/>
        <w:rPr>
          <w:rFonts w:ascii="宋体" w:eastAsia="宋体" w:hAnsi="宋体" w:cs="宋体"/>
          <w:kern w:val="0"/>
          <w:sz w:val="24"/>
          <w:szCs w:val="24"/>
        </w:rPr>
      </w:pPr>
      <w:r w:rsidRPr="007C4A57">
        <w:rPr>
          <w:rFonts w:ascii="Garamond" w:eastAsia="宋体" w:hAnsi="Garamond" w:cs="宋体"/>
          <w:kern w:val="0"/>
          <w:sz w:val="24"/>
          <w:szCs w:val="24"/>
        </w:rPr>
        <w:t xml:space="preserve">It is Excel-based </w:t>
      </w:r>
    </w:p>
    <w:p w:rsidR="007C4A57" w:rsidRPr="007C4A57" w:rsidRDefault="007C4A57" w:rsidP="007C4A57">
      <w:pPr>
        <w:widowControl/>
        <w:numPr>
          <w:ilvl w:val="0"/>
          <w:numId w:val="1"/>
        </w:numPr>
        <w:spacing w:before="100" w:beforeAutospacing="1" w:after="100" w:afterAutospacing="1"/>
        <w:jc w:val="left"/>
        <w:rPr>
          <w:rFonts w:ascii="宋体" w:eastAsia="宋体" w:hAnsi="宋体" w:cs="宋体"/>
          <w:kern w:val="0"/>
          <w:sz w:val="24"/>
          <w:szCs w:val="24"/>
        </w:rPr>
      </w:pPr>
      <w:r w:rsidRPr="007C4A57">
        <w:rPr>
          <w:rFonts w:ascii="Garamond" w:eastAsia="宋体" w:hAnsi="Garamond" w:cs="宋体"/>
          <w:kern w:val="0"/>
          <w:sz w:val="24"/>
          <w:szCs w:val="24"/>
        </w:rPr>
        <w:t xml:space="preserve">It now carries out calculations for credit derivatives and interest rate derivatives, as well as for options on stocks, indices, currencies, and futures </w:t>
      </w:r>
    </w:p>
    <w:p w:rsidR="007C4A57" w:rsidRPr="007C4A57" w:rsidRDefault="007C4A57" w:rsidP="007C4A57">
      <w:pPr>
        <w:widowControl/>
        <w:numPr>
          <w:ilvl w:val="0"/>
          <w:numId w:val="1"/>
        </w:numPr>
        <w:spacing w:before="100" w:beforeAutospacing="1" w:after="100" w:afterAutospacing="1"/>
        <w:jc w:val="left"/>
        <w:rPr>
          <w:rFonts w:ascii="宋体" w:eastAsia="宋体" w:hAnsi="宋体" w:cs="宋体"/>
          <w:kern w:val="0"/>
          <w:sz w:val="24"/>
          <w:szCs w:val="24"/>
        </w:rPr>
      </w:pPr>
      <w:r w:rsidRPr="007C4A57">
        <w:rPr>
          <w:rFonts w:ascii="Garamond" w:eastAsia="宋体" w:hAnsi="Garamond" w:cs="宋体"/>
          <w:kern w:val="0"/>
          <w:sz w:val="24"/>
          <w:szCs w:val="24"/>
        </w:rPr>
        <w:t xml:space="preserve">It calculates prices, implied volatilities, and the Greeks </w:t>
      </w:r>
    </w:p>
    <w:p w:rsidR="007C4A57" w:rsidRPr="007C4A57" w:rsidRDefault="007C4A57" w:rsidP="007C4A57">
      <w:pPr>
        <w:widowControl/>
        <w:numPr>
          <w:ilvl w:val="0"/>
          <w:numId w:val="1"/>
        </w:numPr>
        <w:spacing w:before="100" w:beforeAutospacing="1" w:after="100" w:afterAutospacing="1"/>
        <w:jc w:val="left"/>
        <w:rPr>
          <w:rFonts w:ascii="宋体" w:eastAsia="宋体" w:hAnsi="宋体" w:cs="宋体"/>
          <w:kern w:val="0"/>
          <w:sz w:val="24"/>
          <w:szCs w:val="24"/>
        </w:rPr>
      </w:pPr>
      <w:r w:rsidRPr="007C4A57">
        <w:rPr>
          <w:rFonts w:ascii="Garamond" w:eastAsia="宋体" w:hAnsi="Garamond" w:cs="宋体"/>
          <w:kern w:val="0"/>
          <w:sz w:val="24"/>
          <w:szCs w:val="24"/>
        </w:rPr>
        <w:t xml:space="preserve">It implements normal and lognormal interest rate models to value American-style interest rate options </w:t>
      </w:r>
    </w:p>
    <w:p w:rsidR="007C4A57" w:rsidRPr="007C4A57" w:rsidRDefault="007C4A57" w:rsidP="007C4A57">
      <w:pPr>
        <w:widowControl/>
        <w:numPr>
          <w:ilvl w:val="0"/>
          <w:numId w:val="1"/>
        </w:numPr>
        <w:spacing w:before="100" w:beforeAutospacing="1" w:after="100" w:afterAutospacing="1"/>
        <w:jc w:val="left"/>
        <w:rPr>
          <w:rFonts w:ascii="宋体" w:eastAsia="宋体" w:hAnsi="宋体" w:cs="宋体"/>
          <w:kern w:val="0"/>
          <w:sz w:val="24"/>
          <w:szCs w:val="24"/>
        </w:rPr>
      </w:pPr>
      <w:r w:rsidRPr="007C4A57">
        <w:rPr>
          <w:rFonts w:ascii="Garamond" w:eastAsia="宋体" w:hAnsi="Garamond" w:cs="宋体"/>
          <w:kern w:val="0"/>
          <w:sz w:val="24"/>
          <w:szCs w:val="24"/>
        </w:rPr>
        <w:t xml:space="preserve">It displays charts showing the relationships between variables </w:t>
      </w:r>
    </w:p>
    <w:p w:rsidR="007C4A57" w:rsidRPr="007C4A57" w:rsidRDefault="007C4A57" w:rsidP="007C4A57">
      <w:pPr>
        <w:widowControl/>
        <w:numPr>
          <w:ilvl w:val="0"/>
          <w:numId w:val="1"/>
        </w:numPr>
        <w:spacing w:before="100" w:beforeAutospacing="1" w:after="100" w:afterAutospacing="1"/>
        <w:jc w:val="left"/>
        <w:rPr>
          <w:rFonts w:ascii="宋体" w:eastAsia="宋体" w:hAnsi="宋体" w:cs="宋体"/>
          <w:kern w:val="0"/>
          <w:sz w:val="24"/>
          <w:szCs w:val="24"/>
        </w:rPr>
      </w:pPr>
      <w:r w:rsidRPr="007C4A57">
        <w:rPr>
          <w:rFonts w:ascii="宋体" w:eastAsia="宋体" w:hAnsi="宋体" w:cs="宋体"/>
          <w:kern w:val="0"/>
          <w:sz w:val="24"/>
          <w:szCs w:val="24"/>
        </w:rPr>
        <w:t>It displays the binomial/trinomial trees used for valuation</w:t>
      </w:r>
    </w:p>
    <w:p w:rsidR="007C4A57" w:rsidRPr="007C4A57" w:rsidRDefault="007C4A57" w:rsidP="007C4A57">
      <w:pPr>
        <w:widowControl/>
        <w:spacing w:before="100" w:beforeAutospacing="1" w:after="100" w:afterAutospacing="1"/>
        <w:jc w:val="left"/>
        <w:rPr>
          <w:rFonts w:ascii="宋体" w:eastAsia="宋体" w:hAnsi="宋体" w:cs="宋体"/>
          <w:kern w:val="0"/>
          <w:sz w:val="24"/>
          <w:szCs w:val="24"/>
        </w:rPr>
      </w:pPr>
      <w:r w:rsidRPr="007C4A57">
        <w:rPr>
          <w:rFonts w:ascii="宋体" w:eastAsia="宋体" w:hAnsi="宋体" w:cs="宋体"/>
          <w:kern w:val="0"/>
          <w:sz w:val="24"/>
          <w:szCs w:val="24"/>
        </w:rPr>
        <w:t>Version 2.01 corrects a small error that sometimes occurred in Version 2.00 in the calculation of implied volatilities from binomial trees.</w:t>
      </w:r>
    </w:p>
    <w:p w:rsidR="007C4A57" w:rsidRPr="007C4A57" w:rsidRDefault="007B4D14" w:rsidP="009E7CBB">
      <w:pPr>
        <w:widowControl/>
        <w:spacing w:before="100" w:beforeAutospacing="1" w:after="100" w:afterAutospacing="1"/>
        <w:jc w:val="left"/>
        <w:outlineLvl w:val="0"/>
        <w:rPr>
          <w:rFonts w:ascii="宋体" w:eastAsia="宋体" w:hAnsi="宋体" w:cs="宋体"/>
          <w:kern w:val="0"/>
          <w:sz w:val="24"/>
          <w:szCs w:val="24"/>
        </w:rPr>
      </w:pPr>
      <w:hyperlink r:id="rId29" w:history="1">
        <w:r w:rsidR="007C4A57" w:rsidRPr="007C4A57">
          <w:rPr>
            <w:rFonts w:ascii="宋体" w:eastAsia="宋体" w:hAnsi="宋体" w:cs="宋体"/>
            <w:color w:val="0000FF"/>
            <w:kern w:val="0"/>
            <w:sz w:val="24"/>
            <w:szCs w:val="24"/>
            <w:u w:val="single"/>
          </w:rPr>
          <w:t>Download Version 2.01</w:t>
        </w:r>
      </w:hyperlink>
    </w:p>
    <w:p w:rsidR="007C4A57" w:rsidRPr="007C4A57" w:rsidRDefault="007C4A57" w:rsidP="009E7CBB">
      <w:pPr>
        <w:widowControl/>
        <w:spacing w:before="100" w:beforeAutospacing="1" w:after="100" w:afterAutospacing="1"/>
        <w:jc w:val="left"/>
        <w:outlineLvl w:val="0"/>
        <w:rPr>
          <w:rFonts w:ascii="宋体" w:eastAsia="宋体" w:hAnsi="宋体" w:cs="宋体"/>
          <w:kern w:val="0"/>
          <w:sz w:val="24"/>
          <w:szCs w:val="24"/>
        </w:rPr>
      </w:pPr>
      <w:r w:rsidRPr="007C4A57">
        <w:rPr>
          <w:rFonts w:ascii="宋体" w:eastAsia="宋体" w:hAnsi="宋体" w:cs="宋体"/>
          <w:kern w:val="0"/>
          <w:sz w:val="24"/>
          <w:szCs w:val="24"/>
        </w:rPr>
        <w:lastRenderedPageBreak/>
        <w:t>For a short video introducing the software click here</w:t>
      </w:r>
    </w:p>
    <w:p w:rsidR="007C4A57" w:rsidRPr="007C4A57" w:rsidRDefault="007B4D14" w:rsidP="009E7CBB">
      <w:pPr>
        <w:widowControl/>
        <w:spacing w:before="100" w:beforeAutospacing="1" w:after="100" w:afterAutospacing="1"/>
        <w:jc w:val="left"/>
        <w:outlineLvl w:val="0"/>
        <w:rPr>
          <w:rFonts w:ascii="宋体" w:eastAsia="宋体" w:hAnsi="宋体" w:cs="宋体"/>
          <w:kern w:val="0"/>
          <w:sz w:val="24"/>
          <w:szCs w:val="24"/>
        </w:rPr>
      </w:pPr>
      <w:hyperlink r:id="rId30" w:history="1">
        <w:r w:rsidR="007C4A57" w:rsidRPr="007C4A57">
          <w:rPr>
            <w:rFonts w:ascii="宋体" w:eastAsia="宋体" w:hAnsi="宋体" w:cs="宋体"/>
            <w:color w:val="0000FF"/>
            <w:kern w:val="0"/>
            <w:sz w:val="24"/>
            <w:szCs w:val="24"/>
            <w:u w:val="single"/>
          </w:rPr>
          <w:t>Video</w:t>
        </w:r>
      </w:hyperlink>
    </w:p>
    <w:p w:rsidR="007C4A57" w:rsidRPr="007C4A57" w:rsidRDefault="007C4A57" w:rsidP="007C4A57">
      <w:pPr>
        <w:widowControl/>
        <w:spacing w:before="100" w:beforeAutospacing="1" w:after="100" w:afterAutospacing="1"/>
        <w:jc w:val="left"/>
        <w:rPr>
          <w:rFonts w:ascii="宋体" w:eastAsia="宋体" w:hAnsi="宋体" w:cs="宋体"/>
          <w:kern w:val="0"/>
          <w:sz w:val="24"/>
          <w:szCs w:val="24"/>
        </w:rPr>
      </w:pPr>
      <w:r w:rsidRPr="007C4A57">
        <w:rPr>
          <w:rFonts w:ascii="宋体" w:eastAsia="宋体" w:hAnsi="宋体" w:cs="宋体"/>
          <w:kern w:val="0"/>
          <w:sz w:val="24"/>
          <w:szCs w:val="24"/>
        </w:rPr>
        <w:t>Documentation for the software is at the end of each of the three books.</w:t>
      </w:r>
    </w:p>
    <w:p w:rsidR="007C4A57" w:rsidRPr="007C4A57" w:rsidRDefault="007C4A57" w:rsidP="009E7CBB">
      <w:pPr>
        <w:widowControl/>
        <w:spacing w:before="100" w:beforeAutospacing="1" w:after="100" w:afterAutospacing="1"/>
        <w:jc w:val="left"/>
        <w:outlineLvl w:val="0"/>
        <w:rPr>
          <w:rFonts w:ascii="宋体" w:eastAsia="宋体" w:hAnsi="宋体" w:cs="宋体"/>
          <w:kern w:val="0"/>
          <w:sz w:val="24"/>
          <w:szCs w:val="24"/>
        </w:rPr>
      </w:pPr>
      <w:r w:rsidRPr="007C4A57">
        <w:rPr>
          <w:rFonts w:ascii="宋体" w:eastAsia="宋体" w:hAnsi="宋体" w:cs="宋体"/>
          <w:b/>
          <w:color w:val="FF0000"/>
          <w:kern w:val="0"/>
          <w:sz w:val="32"/>
          <w:szCs w:val="32"/>
        </w:rPr>
        <w:t>For Users of Microsoft Office 2007</w:t>
      </w:r>
      <w:r w:rsidRPr="007C4A57">
        <w:rPr>
          <w:rFonts w:ascii="宋体" w:eastAsia="宋体" w:hAnsi="宋体" w:cs="宋体"/>
          <w:color w:val="FF0000"/>
          <w:kern w:val="0"/>
          <w:sz w:val="32"/>
          <w:szCs w:val="32"/>
        </w:rPr>
        <w:t>:</w:t>
      </w:r>
    </w:p>
    <w:p w:rsidR="007C4A57" w:rsidRPr="007C4A57" w:rsidRDefault="007C4A57" w:rsidP="007C4A57">
      <w:pPr>
        <w:widowControl/>
        <w:spacing w:before="100" w:beforeAutospacing="1" w:after="100" w:afterAutospacing="1"/>
        <w:jc w:val="left"/>
        <w:rPr>
          <w:rFonts w:ascii="宋体" w:eastAsia="宋体" w:hAnsi="宋体" w:cs="宋体"/>
          <w:kern w:val="0"/>
          <w:sz w:val="24"/>
          <w:szCs w:val="24"/>
        </w:rPr>
      </w:pPr>
      <w:r w:rsidRPr="007C4A57">
        <w:rPr>
          <w:rFonts w:ascii="宋体" w:eastAsia="宋体" w:hAnsi="宋体" w:cs="宋体"/>
          <w:kern w:val="0"/>
          <w:sz w:val="24"/>
          <w:szCs w:val="24"/>
        </w:rPr>
        <w:t>You have to click “Options” and choose “Enable this content” before using the software</w:t>
      </w:r>
    </w:p>
    <w:p w:rsidR="008A435D" w:rsidRDefault="007B4D14" w:rsidP="009E7CBB">
      <w:pPr>
        <w:outlineLvl w:val="0"/>
      </w:pPr>
      <w:hyperlink r:id="rId31" w:history="1">
        <w:r w:rsidR="00D865F6">
          <w:rPr>
            <w:rStyle w:val="a5"/>
          </w:rPr>
          <w:t>Worksheets for Value at Risk Example</w:t>
        </w:r>
      </w:hyperlink>
      <w:r w:rsidR="00D865F6">
        <w:rPr>
          <w:rFonts w:hint="eastAsia"/>
        </w:rPr>
        <w:t>:</w:t>
      </w:r>
    </w:p>
    <w:p w:rsidR="00D865F6" w:rsidRDefault="00D865F6" w:rsidP="00D865F6">
      <w:pPr>
        <w:pStyle w:val="a6"/>
      </w:pPr>
      <w:r>
        <w:t xml:space="preserve">Click to download worksheets for the four-index </w:t>
      </w:r>
      <w:r>
        <w:rPr>
          <w:rStyle w:val="spelle"/>
        </w:rPr>
        <w:t>VaR</w:t>
      </w:r>
      <w:r>
        <w:t xml:space="preserve"> example:</w:t>
      </w:r>
    </w:p>
    <w:p w:rsidR="00D865F6" w:rsidRDefault="007B4D14" w:rsidP="009E7CBB">
      <w:pPr>
        <w:pStyle w:val="a6"/>
        <w:outlineLvl w:val="0"/>
      </w:pPr>
      <w:hyperlink r:id="rId32" w:history="1">
        <w:r w:rsidR="00D865F6">
          <w:rPr>
            <w:rStyle w:val="a5"/>
          </w:rPr>
          <w:t>Historical simulation approach</w:t>
        </w:r>
      </w:hyperlink>
    </w:p>
    <w:p w:rsidR="00D865F6" w:rsidRDefault="007B4D14" w:rsidP="009E7CBB">
      <w:pPr>
        <w:pStyle w:val="a6"/>
        <w:outlineLvl w:val="0"/>
      </w:pPr>
      <w:hyperlink r:id="rId33" w:history="1">
        <w:r w:rsidR="00D865F6">
          <w:rPr>
            <w:rStyle w:val="a5"/>
          </w:rPr>
          <w:t>Model building approach</w:t>
        </w:r>
      </w:hyperlink>
    </w:p>
    <w:p w:rsidR="006B677F" w:rsidRDefault="006B677F" w:rsidP="009E7CBB">
      <w:pPr>
        <w:pStyle w:val="a6"/>
        <w:outlineLvl w:val="0"/>
      </w:pPr>
      <w:r>
        <w:rPr>
          <w:rFonts w:ascii="Garamond" w:hAnsi="Garamond"/>
          <w:b/>
          <w:sz w:val="36"/>
          <w:szCs w:val="36"/>
        </w:rPr>
        <w:t>Data and Spreadsheets for 9</w:t>
      </w:r>
      <w:r>
        <w:rPr>
          <w:rFonts w:ascii="Garamond" w:hAnsi="Garamond"/>
          <w:b/>
          <w:sz w:val="36"/>
          <w:szCs w:val="36"/>
          <w:vertAlign w:val="superscript"/>
        </w:rPr>
        <w:t>th</w:t>
      </w:r>
      <w:r>
        <w:rPr>
          <w:rFonts w:ascii="Garamond" w:hAnsi="Garamond"/>
          <w:b/>
          <w:sz w:val="36"/>
          <w:szCs w:val="36"/>
        </w:rPr>
        <w:t xml:space="preserve"> edition</w:t>
      </w:r>
    </w:p>
    <w:p w:rsidR="006B677F" w:rsidRDefault="007B4D14" w:rsidP="009E7CBB">
      <w:pPr>
        <w:pStyle w:val="a6"/>
        <w:outlineLvl w:val="0"/>
      </w:pPr>
      <w:hyperlink r:id="rId34" w:history="1">
        <w:r w:rsidR="006B677F">
          <w:rPr>
            <w:rStyle w:val="a5"/>
            <w:rFonts w:ascii="Garamond" w:hAnsi="Garamond"/>
            <w:szCs w:val="48"/>
          </w:rPr>
          <w:t>Excel spreadsheet for GARCH S&amp;P 500 example in Chapter 23</w:t>
        </w:r>
      </w:hyperlink>
    </w:p>
    <w:p w:rsidR="006B677F" w:rsidRDefault="007B4D14" w:rsidP="006B677F">
      <w:pPr>
        <w:pStyle w:val="a6"/>
      </w:pPr>
      <w:hyperlink r:id="rId35" w:history="1">
        <w:r w:rsidR="006B677F">
          <w:rPr>
            <w:rStyle w:val="a5"/>
            <w:rFonts w:ascii="Garamond" w:hAnsi="Garamond"/>
            <w:szCs w:val="48"/>
          </w:rPr>
          <w:t xml:space="preserve">Data on euro-USD exchange rate, July 27, 2005 to July 27, </w:t>
        </w:r>
        <w:r w:rsidR="006B677F">
          <w:rPr>
            <w:rStyle w:val="grame"/>
            <w:rFonts w:ascii="Garamond" w:hAnsi="Garamond"/>
            <w:color w:val="0000FF"/>
            <w:szCs w:val="48"/>
            <w:u w:val="single"/>
          </w:rPr>
          <w:t>201  for</w:t>
        </w:r>
        <w:r w:rsidR="006B677F">
          <w:rPr>
            <w:rStyle w:val="a5"/>
            <w:rFonts w:ascii="Garamond" w:hAnsi="Garamond"/>
            <w:szCs w:val="48"/>
          </w:rPr>
          <w:t xml:space="preserve"> Problem 23.22 at end of  Chapter 23</w:t>
        </w:r>
      </w:hyperlink>
      <w:r w:rsidR="006B677F">
        <w:rPr>
          <w:rFonts w:ascii="Garamond" w:hAnsi="Garamond"/>
          <w:szCs w:val="48"/>
        </w:rPr>
        <w:t xml:space="preserve"> </w:t>
      </w:r>
    </w:p>
    <w:p w:rsidR="006B677F" w:rsidRDefault="007B4D14" w:rsidP="006B677F">
      <w:pPr>
        <w:pStyle w:val="a6"/>
      </w:pPr>
      <w:hyperlink r:id="rId36" w:history="1">
        <w:r w:rsidR="006B677F">
          <w:rPr>
            <w:rStyle w:val="a5"/>
            <w:rFonts w:ascii="Garamond" w:hAnsi="Garamond"/>
            <w:szCs w:val="48"/>
          </w:rPr>
          <w:t>Data on exchange rates and stock indices for problems at end of Chapter 20 and Chapter 23 (Problems 20.22, 20.23, and 23.19</w:t>
        </w:r>
      </w:hyperlink>
    </w:p>
    <w:p w:rsidR="006B677F" w:rsidRDefault="007B4D14" w:rsidP="009E7CBB">
      <w:pPr>
        <w:pStyle w:val="a6"/>
        <w:outlineLvl w:val="0"/>
      </w:pPr>
      <w:hyperlink r:id="rId37" w:history="1">
        <w:r w:rsidR="006B677F">
          <w:rPr>
            <w:rStyle w:val="a5"/>
            <w:rFonts w:ascii="Garamond" w:hAnsi="Garamond"/>
            <w:szCs w:val="48"/>
          </w:rPr>
          <w:t>Futures data for Problem 2.35 at the end of Chapter 2</w:t>
        </w:r>
      </w:hyperlink>
    </w:p>
    <w:p w:rsidR="000F14A7" w:rsidRDefault="000F14A7" w:rsidP="000F14A7">
      <w:pPr>
        <w:pStyle w:val="a6"/>
      </w:pPr>
      <w:r>
        <w:rPr>
          <w:rFonts w:ascii="Garamond" w:hAnsi="Garamond"/>
          <w:b/>
          <w:bCs/>
          <w:sz w:val="36"/>
          <w:szCs w:val="36"/>
        </w:rPr>
        <w:t xml:space="preserve">Options, Futures, and </w:t>
      </w:r>
      <w:r>
        <w:rPr>
          <w:rFonts w:ascii="Garamond" w:hAnsi="Garamond"/>
          <w:b/>
          <w:bCs/>
          <w:sz w:val="36"/>
          <w:szCs w:val="36"/>
        </w:rPr>
        <w:br/>
        <w:t xml:space="preserve">Other Derivatives, </w:t>
      </w:r>
      <w:r>
        <w:rPr>
          <w:rFonts w:ascii="Garamond" w:hAnsi="Garamond"/>
          <w:b/>
          <w:bCs/>
          <w:sz w:val="27"/>
          <w:szCs w:val="27"/>
        </w:rPr>
        <w:t>Eighth Edition</w:t>
      </w:r>
    </w:p>
    <w:p w:rsidR="000F14A7" w:rsidRDefault="000F14A7" w:rsidP="009E7CBB">
      <w:pPr>
        <w:pStyle w:val="a6"/>
        <w:spacing w:line="360" w:lineRule="auto"/>
        <w:outlineLvl w:val="0"/>
      </w:pPr>
      <w:r>
        <w:rPr>
          <w:rFonts w:ascii="Garamond" w:hAnsi="Garamond"/>
          <w:b/>
          <w:bCs/>
          <w:sz w:val="36"/>
          <w:szCs w:val="27"/>
        </w:rPr>
        <w:t>Technical Notes</w:t>
      </w:r>
    </w:p>
    <w:p w:rsidR="000F14A7" w:rsidRDefault="000F14A7" w:rsidP="000F14A7">
      <w:pPr>
        <w:pStyle w:val="a6"/>
      </w:pPr>
      <w:r>
        <w:rPr>
          <w:rFonts w:ascii="Garamond" w:hAnsi="Garamond"/>
          <w:b/>
          <w:bCs/>
          <w:sz w:val="28"/>
          <w:szCs w:val="28"/>
        </w:rPr>
        <w:t xml:space="preserve">The following Technical Notes accompany Options, Futures, and Other Derivatives, 8e.  </w:t>
      </w:r>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lastRenderedPageBreak/>
        <w:t>1.</w:t>
      </w:r>
      <w:r>
        <w:rPr>
          <w:rFonts w:eastAsia="Garamond"/>
          <w:bCs/>
          <w:sz w:val="14"/>
          <w:szCs w:val="14"/>
        </w:rPr>
        <w:t xml:space="preserve">      </w:t>
      </w:r>
      <w:hyperlink r:id="rId38" w:history="1">
        <w:r>
          <w:rPr>
            <w:rStyle w:val="a5"/>
            <w:rFonts w:ascii="Garamond" w:hAnsi="Garamond"/>
            <w:bCs/>
            <w:sz w:val="26"/>
            <w:szCs w:val="26"/>
          </w:rPr>
          <w:t>Convexity Adjustments to Eurodollar Futures</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2.</w:t>
      </w:r>
      <w:r>
        <w:rPr>
          <w:rFonts w:eastAsia="Garamond"/>
          <w:bCs/>
          <w:sz w:val="14"/>
          <w:szCs w:val="14"/>
        </w:rPr>
        <w:t xml:space="preserve">      </w:t>
      </w:r>
      <w:hyperlink r:id="rId39" w:history="1">
        <w:r>
          <w:rPr>
            <w:rStyle w:val="a5"/>
            <w:rFonts w:ascii="Garamond" w:hAnsi="Garamond"/>
            <w:bCs/>
            <w:sz w:val="26"/>
            <w:szCs w:val="26"/>
          </w:rPr>
          <w:t>Properties of the Lognormal Distribution</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3.</w:t>
      </w:r>
      <w:r>
        <w:rPr>
          <w:rFonts w:eastAsia="Garamond"/>
          <w:bCs/>
          <w:sz w:val="14"/>
          <w:szCs w:val="14"/>
        </w:rPr>
        <w:t xml:space="preserve">      </w:t>
      </w:r>
      <w:hyperlink r:id="rId40" w:history="1">
        <w:r>
          <w:rPr>
            <w:rStyle w:val="a5"/>
            <w:rFonts w:ascii="Garamond" w:hAnsi="Garamond"/>
            <w:bCs/>
            <w:sz w:val="26"/>
            <w:szCs w:val="26"/>
          </w:rPr>
          <w:t>Warrant Valuation When Value of Equity plus Warrants Is Lognormal</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4.</w:t>
      </w:r>
      <w:r>
        <w:rPr>
          <w:rFonts w:eastAsia="Garamond"/>
          <w:bCs/>
          <w:sz w:val="14"/>
          <w:szCs w:val="14"/>
        </w:rPr>
        <w:t xml:space="preserve">      </w:t>
      </w:r>
      <w:hyperlink r:id="rId41" w:history="1">
        <w:r>
          <w:rPr>
            <w:rStyle w:val="a5"/>
            <w:rFonts w:ascii="Garamond" w:hAnsi="Garamond"/>
            <w:bCs/>
            <w:sz w:val="26"/>
            <w:szCs w:val="26"/>
          </w:rPr>
          <w:t>Exact Procedure for Valuing American Calls on Stocks Paying a Single Dividend</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5.</w:t>
      </w:r>
      <w:r>
        <w:rPr>
          <w:rFonts w:eastAsia="Garamond"/>
          <w:bCs/>
          <w:sz w:val="14"/>
          <w:szCs w:val="14"/>
        </w:rPr>
        <w:t xml:space="preserve">      </w:t>
      </w:r>
      <w:hyperlink r:id="rId42" w:history="1">
        <w:r>
          <w:rPr>
            <w:rStyle w:val="a5"/>
            <w:rFonts w:ascii="Garamond" w:hAnsi="Garamond"/>
            <w:bCs/>
            <w:sz w:val="26"/>
            <w:szCs w:val="26"/>
          </w:rPr>
          <w:t>Calculation of the Cumulative Probability in a Bivariate Normal Distribution</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6.</w:t>
      </w:r>
      <w:r>
        <w:rPr>
          <w:rFonts w:eastAsia="Garamond"/>
          <w:bCs/>
          <w:sz w:val="14"/>
          <w:szCs w:val="14"/>
        </w:rPr>
        <w:t xml:space="preserve">      </w:t>
      </w:r>
      <w:hyperlink r:id="rId43" w:history="1">
        <w:r>
          <w:rPr>
            <w:rStyle w:val="a5"/>
            <w:rFonts w:ascii="Garamond" w:hAnsi="Garamond"/>
            <w:bCs/>
            <w:sz w:val="26"/>
            <w:szCs w:val="26"/>
          </w:rPr>
          <w:t>Differential Equation for Price of a Derivative on a Stock Paying a Known Dividend Yield</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7.</w:t>
      </w:r>
      <w:r>
        <w:rPr>
          <w:rFonts w:eastAsia="Garamond"/>
          <w:bCs/>
          <w:sz w:val="14"/>
          <w:szCs w:val="14"/>
        </w:rPr>
        <w:t xml:space="preserve">      </w:t>
      </w:r>
      <w:hyperlink r:id="rId44" w:history="1">
        <w:r>
          <w:rPr>
            <w:rStyle w:val="a5"/>
            <w:rFonts w:ascii="Garamond" w:hAnsi="Garamond"/>
            <w:bCs/>
            <w:sz w:val="26"/>
            <w:szCs w:val="26"/>
          </w:rPr>
          <w:t>Differential Equation for Price of a Derivative on a Futures Price</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8.</w:t>
      </w:r>
      <w:r>
        <w:rPr>
          <w:rFonts w:eastAsia="Garamond"/>
          <w:bCs/>
          <w:sz w:val="14"/>
          <w:szCs w:val="14"/>
        </w:rPr>
        <w:t xml:space="preserve">      </w:t>
      </w:r>
      <w:hyperlink r:id="rId45" w:history="1">
        <w:r>
          <w:rPr>
            <w:rStyle w:val="a5"/>
            <w:rFonts w:ascii="Garamond" w:hAnsi="Garamond"/>
            <w:bCs/>
            <w:sz w:val="26"/>
            <w:szCs w:val="26"/>
          </w:rPr>
          <w:t>Analytic Approximation for Valuing American Options</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9.</w:t>
      </w:r>
      <w:r>
        <w:rPr>
          <w:rFonts w:eastAsia="Garamond"/>
          <w:bCs/>
          <w:sz w:val="14"/>
          <w:szCs w:val="14"/>
        </w:rPr>
        <w:t xml:space="preserve">      </w:t>
      </w:r>
      <w:hyperlink r:id="rId46" w:history="1">
        <w:r>
          <w:rPr>
            <w:rStyle w:val="a5"/>
            <w:rFonts w:ascii="Garamond" w:hAnsi="Garamond"/>
            <w:bCs/>
            <w:sz w:val="26"/>
            <w:szCs w:val="26"/>
          </w:rPr>
          <w:t>Generalized Tree Building Procedure</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10.</w:t>
      </w:r>
      <w:r>
        <w:rPr>
          <w:rFonts w:eastAsia="Garamond"/>
          <w:bCs/>
          <w:sz w:val="14"/>
          <w:szCs w:val="14"/>
        </w:rPr>
        <w:t xml:space="preserve">  </w:t>
      </w:r>
      <w:hyperlink r:id="rId47" w:history="1">
        <w:r>
          <w:rPr>
            <w:rStyle w:val="a5"/>
            <w:rFonts w:ascii="Garamond" w:hAnsi="Garamond"/>
            <w:bCs/>
            <w:sz w:val="26"/>
            <w:szCs w:val="26"/>
          </w:rPr>
          <w:t xml:space="preserve">The Cornish-Fisher Expansion to Estimate VaR </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11.</w:t>
      </w:r>
      <w:r>
        <w:rPr>
          <w:rFonts w:eastAsia="Garamond"/>
          <w:bCs/>
          <w:sz w:val="14"/>
          <w:szCs w:val="14"/>
        </w:rPr>
        <w:t xml:space="preserve">  </w:t>
      </w:r>
      <w:hyperlink r:id="rId48" w:history="1">
        <w:r>
          <w:rPr>
            <w:rStyle w:val="a5"/>
            <w:rFonts w:ascii="Garamond" w:hAnsi="Garamond"/>
            <w:bCs/>
            <w:sz w:val="26"/>
            <w:szCs w:val="26"/>
          </w:rPr>
          <w:t>Manipulation of Credit Transition Matrices</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12.</w:t>
      </w:r>
      <w:r>
        <w:rPr>
          <w:rFonts w:eastAsia="Garamond"/>
          <w:bCs/>
          <w:sz w:val="14"/>
          <w:szCs w:val="14"/>
        </w:rPr>
        <w:t xml:space="preserve">  </w:t>
      </w:r>
      <w:hyperlink r:id="rId49" w:history="1">
        <w:r>
          <w:rPr>
            <w:rStyle w:val="a5"/>
            <w:rFonts w:ascii="Garamond" w:hAnsi="Garamond"/>
            <w:bCs/>
            <w:sz w:val="26"/>
            <w:szCs w:val="26"/>
          </w:rPr>
          <w:t>Calculation of Cumulative Non-Central Chi Square Distribution</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13.</w:t>
      </w:r>
      <w:r>
        <w:rPr>
          <w:rFonts w:eastAsia="Garamond"/>
          <w:bCs/>
          <w:sz w:val="14"/>
          <w:szCs w:val="14"/>
        </w:rPr>
        <w:t xml:space="preserve">  </w:t>
      </w:r>
      <w:hyperlink r:id="rId50" w:history="1">
        <w:r>
          <w:rPr>
            <w:rStyle w:val="a5"/>
            <w:rFonts w:ascii="Garamond" w:hAnsi="Garamond"/>
            <w:bCs/>
            <w:sz w:val="26"/>
            <w:szCs w:val="26"/>
          </w:rPr>
          <w:t>Efficient Procedure for Valuing American-Style Lookback Options</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14.</w:t>
      </w:r>
      <w:r>
        <w:rPr>
          <w:rFonts w:eastAsia="Garamond"/>
          <w:bCs/>
          <w:sz w:val="14"/>
          <w:szCs w:val="14"/>
        </w:rPr>
        <w:t xml:space="preserve">  </w:t>
      </w:r>
      <w:hyperlink r:id="rId51" w:history="1">
        <w:r>
          <w:rPr>
            <w:rStyle w:val="a5"/>
            <w:rFonts w:ascii="Garamond" w:hAnsi="Garamond"/>
            <w:bCs/>
            <w:sz w:val="26"/>
            <w:szCs w:val="26"/>
          </w:rPr>
          <w:t>The Hull-White Two-Factor Model</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15.</w:t>
      </w:r>
      <w:r>
        <w:rPr>
          <w:rFonts w:eastAsia="Garamond"/>
          <w:bCs/>
          <w:sz w:val="14"/>
          <w:szCs w:val="14"/>
        </w:rPr>
        <w:t xml:space="preserve">  </w:t>
      </w:r>
      <w:hyperlink r:id="rId52" w:history="1">
        <w:r>
          <w:rPr>
            <w:rStyle w:val="a5"/>
            <w:rFonts w:ascii="Garamond" w:hAnsi="Garamond"/>
            <w:bCs/>
            <w:sz w:val="26"/>
            <w:szCs w:val="26"/>
          </w:rPr>
          <w:t>Valuing Options on Coupon-Bearing Bonds in a One-Factor Interest Rate Model</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lastRenderedPageBreak/>
        <w:t>16.</w:t>
      </w:r>
      <w:r>
        <w:rPr>
          <w:rFonts w:eastAsia="Garamond"/>
          <w:bCs/>
          <w:sz w:val="14"/>
          <w:szCs w:val="14"/>
        </w:rPr>
        <w:t xml:space="preserve">  </w:t>
      </w:r>
      <w:hyperlink r:id="rId53" w:history="1">
        <w:r>
          <w:rPr>
            <w:rStyle w:val="a5"/>
            <w:rFonts w:ascii="Garamond" w:hAnsi="Garamond"/>
            <w:bCs/>
            <w:sz w:val="26"/>
            <w:szCs w:val="26"/>
          </w:rPr>
          <w:t>Construction of an Interest Rate Tree with Nonconstant Time Steps and Nonconstant Parameters</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17.</w:t>
      </w:r>
      <w:r>
        <w:rPr>
          <w:rFonts w:eastAsia="Garamond"/>
          <w:bCs/>
          <w:sz w:val="14"/>
          <w:szCs w:val="14"/>
        </w:rPr>
        <w:t xml:space="preserve">  </w:t>
      </w:r>
      <w:hyperlink r:id="rId54" w:history="1">
        <w:r>
          <w:rPr>
            <w:rStyle w:val="a5"/>
            <w:rFonts w:ascii="Garamond" w:hAnsi="Garamond"/>
            <w:bCs/>
            <w:sz w:val="26"/>
            <w:szCs w:val="26"/>
          </w:rPr>
          <w:t>The Process for the Short Rate in an HJM Term Structure Model</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18.</w:t>
      </w:r>
      <w:r>
        <w:rPr>
          <w:rFonts w:eastAsia="Garamond"/>
          <w:bCs/>
          <w:sz w:val="14"/>
          <w:szCs w:val="14"/>
        </w:rPr>
        <w:t xml:space="preserve">  </w:t>
      </w:r>
      <w:hyperlink r:id="rId55" w:history="1">
        <w:r>
          <w:rPr>
            <w:rStyle w:val="a5"/>
            <w:rFonts w:ascii="Garamond" w:hAnsi="Garamond"/>
            <w:bCs/>
            <w:sz w:val="26"/>
            <w:szCs w:val="26"/>
          </w:rPr>
          <w:t>Valuation of a Compounding Swap</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19.</w:t>
      </w:r>
      <w:r>
        <w:rPr>
          <w:rFonts w:eastAsia="Garamond"/>
          <w:bCs/>
          <w:sz w:val="14"/>
          <w:szCs w:val="14"/>
        </w:rPr>
        <w:t xml:space="preserve">  </w:t>
      </w:r>
      <w:hyperlink r:id="rId56" w:history="1">
        <w:r>
          <w:rPr>
            <w:rStyle w:val="a5"/>
            <w:rFonts w:ascii="Garamond" w:hAnsi="Garamond"/>
            <w:bCs/>
            <w:sz w:val="26"/>
            <w:szCs w:val="26"/>
          </w:rPr>
          <w:t>Valuation of an Equity Swap</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20.</w:t>
      </w:r>
      <w:r>
        <w:rPr>
          <w:rFonts w:eastAsia="Garamond"/>
          <w:bCs/>
          <w:sz w:val="14"/>
          <w:szCs w:val="14"/>
        </w:rPr>
        <w:t xml:space="preserve">  </w:t>
      </w:r>
      <w:hyperlink r:id="rId57" w:history="1">
        <w:r>
          <w:rPr>
            <w:rStyle w:val="a5"/>
            <w:rFonts w:ascii="Garamond" w:hAnsi="Garamond"/>
            <w:bCs/>
            <w:sz w:val="26"/>
            <w:szCs w:val="26"/>
          </w:rPr>
          <w:t>Changing the Market Price of Risk for Variables That Are Not the Prices of Traded Securities</w:t>
        </w:r>
      </w:hyperlink>
      <w:r>
        <w:rPr>
          <w:rFonts w:ascii="Garamond" w:hAnsi="Garamond"/>
          <w:bCs/>
          <w:sz w:val="26"/>
          <w:szCs w:val="26"/>
        </w:rPr>
        <w:t xml:space="preserve"> </w:t>
      </w:r>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21.</w:t>
      </w:r>
      <w:r>
        <w:rPr>
          <w:rFonts w:eastAsia="Garamond"/>
          <w:bCs/>
          <w:sz w:val="14"/>
          <w:szCs w:val="14"/>
        </w:rPr>
        <w:t xml:space="preserve">  </w:t>
      </w:r>
      <w:hyperlink r:id="rId58" w:history="1">
        <w:r>
          <w:rPr>
            <w:rStyle w:val="spelle"/>
            <w:rFonts w:ascii="Garamond" w:hAnsi="Garamond"/>
            <w:bCs/>
            <w:color w:val="0000FF"/>
            <w:sz w:val="26"/>
            <w:szCs w:val="26"/>
            <w:u w:val="single"/>
          </w:rPr>
          <w:t>Hermite</w:t>
        </w:r>
        <w:r>
          <w:rPr>
            <w:rStyle w:val="a5"/>
            <w:rFonts w:ascii="Garamond" w:hAnsi="Garamond"/>
            <w:bCs/>
            <w:sz w:val="26"/>
            <w:szCs w:val="26"/>
          </w:rPr>
          <w:t xml:space="preserve"> Polynomials and Their Use for Integration</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22.</w:t>
      </w:r>
      <w:r>
        <w:rPr>
          <w:rFonts w:eastAsia="Garamond"/>
          <w:bCs/>
          <w:sz w:val="14"/>
          <w:szCs w:val="14"/>
        </w:rPr>
        <w:t xml:space="preserve">  </w:t>
      </w:r>
      <w:hyperlink r:id="rId59" w:history="1">
        <w:r>
          <w:rPr>
            <w:rStyle w:val="a5"/>
            <w:rFonts w:ascii="Garamond" w:hAnsi="Garamond"/>
            <w:bCs/>
            <w:sz w:val="26"/>
            <w:szCs w:val="26"/>
          </w:rPr>
          <w:t>Valuation of a Variance Swap</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23.</w:t>
      </w:r>
      <w:r>
        <w:rPr>
          <w:rFonts w:eastAsia="Garamond"/>
          <w:bCs/>
          <w:sz w:val="14"/>
          <w:szCs w:val="14"/>
        </w:rPr>
        <w:t xml:space="preserve">  </w:t>
      </w:r>
      <w:hyperlink r:id="rId60" w:history="1">
        <w:r>
          <w:rPr>
            <w:rStyle w:val="a5"/>
            <w:rFonts w:ascii="Garamond" w:hAnsi="Garamond"/>
            <w:bCs/>
            <w:sz w:val="26"/>
            <w:szCs w:val="26"/>
          </w:rPr>
          <w:t xml:space="preserve">The Black, </w:t>
        </w:r>
        <w:r>
          <w:rPr>
            <w:rStyle w:val="spelle"/>
            <w:rFonts w:ascii="Garamond" w:hAnsi="Garamond"/>
            <w:bCs/>
            <w:color w:val="0000FF"/>
            <w:sz w:val="26"/>
            <w:szCs w:val="26"/>
            <w:u w:val="single"/>
          </w:rPr>
          <w:t>Derman</w:t>
        </w:r>
        <w:r>
          <w:rPr>
            <w:rStyle w:val="a5"/>
            <w:rFonts w:ascii="Garamond" w:hAnsi="Garamond"/>
            <w:bCs/>
            <w:sz w:val="26"/>
            <w:szCs w:val="26"/>
          </w:rPr>
          <w:t>, Toy Model</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24.</w:t>
      </w:r>
      <w:r>
        <w:rPr>
          <w:rFonts w:eastAsia="Garamond"/>
          <w:bCs/>
          <w:sz w:val="14"/>
          <w:szCs w:val="14"/>
        </w:rPr>
        <w:t xml:space="preserve">  </w:t>
      </w:r>
      <w:hyperlink r:id="rId61" w:history="1">
        <w:r>
          <w:rPr>
            <w:rStyle w:val="a5"/>
            <w:rFonts w:ascii="Garamond" w:hAnsi="Garamond"/>
            <w:bCs/>
            <w:sz w:val="26"/>
            <w:szCs w:val="26"/>
          </w:rPr>
          <w:t>Proof that Forward and Futures Prices Are Equal When Interest Rates Are Constant</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25.</w:t>
      </w:r>
      <w:r>
        <w:rPr>
          <w:rFonts w:eastAsia="Garamond"/>
          <w:bCs/>
          <w:sz w:val="14"/>
          <w:szCs w:val="14"/>
        </w:rPr>
        <w:t xml:space="preserve">  </w:t>
      </w:r>
      <w:hyperlink r:id="rId62" w:history="1">
        <w:r>
          <w:rPr>
            <w:rStyle w:val="a5"/>
            <w:rFonts w:ascii="Garamond" w:hAnsi="Garamond"/>
            <w:bCs/>
            <w:sz w:val="26"/>
            <w:szCs w:val="26"/>
          </w:rPr>
          <w:t>A Cash Flow Mapping Procedure</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26.</w:t>
      </w:r>
      <w:r>
        <w:rPr>
          <w:rFonts w:eastAsia="Garamond"/>
          <w:bCs/>
          <w:sz w:val="14"/>
          <w:szCs w:val="14"/>
        </w:rPr>
        <w:t xml:space="preserve">  </w:t>
      </w:r>
      <w:hyperlink r:id="rId63" w:history="1">
        <w:r>
          <w:rPr>
            <w:rStyle w:val="a5"/>
            <w:rFonts w:ascii="Garamond" w:hAnsi="Garamond"/>
            <w:bCs/>
            <w:sz w:val="26"/>
            <w:szCs w:val="26"/>
          </w:rPr>
          <w:t>A Binomial Measure of Credit Correlation</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27.</w:t>
      </w:r>
      <w:r>
        <w:rPr>
          <w:rFonts w:eastAsia="Garamond"/>
          <w:bCs/>
          <w:sz w:val="14"/>
          <w:szCs w:val="14"/>
        </w:rPr>
        <w:t xml:space="preserve">  </w:t>
      </w:r>
      <w:hyperlink r:id="rId64" w:history="1">
        <w:r>
          <w:rPr>
            <w:rStyle w:val="a5"/>
            <w:rFonts w:ascii="Garamond" w:hAnsi="Garamond"/>
            <w:bCs/>
            <w:sz w:val="26"/>
            <w:szCs w:val="26"/>
          </w:rPr>
          <w:t>Calculation of Moments for Valuing Asian Options</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28.</w:t>
      </w:r>
      <w:r>
        <w:rPr>
          <w:rFonts w:eastAsia="Garamond"/>
          <w:bCs/>
          <w:sz w:val="14"/>
          <w:szCs w:val="14"/>
        </w:rPr>
        <w:t xml:space="preserve">  </w:t>
      </w:r>
      <w:hyperlink r:id="rId65" w:history="1">
        <w:r>
          <w:rPr>
            <w:rStyle w:val="a5"/>
            <w:rFonts w:ascii="Garamond" w:hAnsi="Garamond"/>
            <w:bCs/>
            <w:sz w:val="26"/>
            <w:szCs w:val="26"/>
          </w:rPr>
          <w:t>Calculation of Moments for Valuing Basket Options</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29.</w:t>
      </w:r>
      <w:r>
        <w:rPr>
          <w:rFonts w:eastAsia="Garamond"/>
          <w:bCs/>
          <w:sz w:val="14"/>
          <w:szCs w:val="14"/>
        </w:rPr>
        <w:t xml:space="preserve">  </w:t>
      </w:r>
      <w:hyperlink r:id="rId66" w:history="1">
        <w:r>
          <w:rPr>
            <w:rStyle w:val="a5"/>
            <w:rFonts w:ascii="Garamond" w:hAnsi="Garamond"/>
            <w:bCs/>
            <w:sz w:val="26"/>
            <w:szCs w:val="26"/>
          </w:rPr>
          <w:t>Proof of Extensions to Ito's Lemma</w:t>
        </w:r>
      </w:hyperlink>
    </w:p>
    <w:p w:rsidR="000F14A7" w:rsidRDefault="000F14A7" w:rsidP="000F14A7">
      <w:pPr>
        <w:pStyle w:val="a6"/>
        <w:tabs>
          <w:tab w:val="num" w:pos="720"/>
        </w:tabs>
        <w:spacing w:line="360" w:lineRule="auto"/>
        <w:ind w:left="720" w:hanging="360"/>
      </w:pPr>
      <w:r>
        <w:rPr>
          <w:rFonts w:ascii="Garamond" w:eastAsia="Garamond" w:hAnsi="Garamond" w:cs="Garamond"/>
          <w:bCs/>
          <w:sz w:val="26"/>
          <w:szCs w:val="26"/>
        </w:rPr>
        <w:t>30.</w:t>
      </w:r>
      <w:r>
        <w:rPr>
          <w:rFonts w:eastAsia="Garamond"/>
          <w:bCs/>
          <w:sz w:val="14"/>
          <w:szCs w:val="14"/>
        </w:rPr>
        <w:t xml:space="preserve">  </w:t>
      </w:r>
      <w:hyperlink r:id="rId67" w:history="1">
        <w:r>
          <w:rPr>
            <w:rStyle w:val="a5"/>
            <w:rFonts w:ascii="Garamond" w:hAnsi="Garamond"/>
            <w:bCs/>
            <w:sz w:val="26"/>
            <w:szCs w:val="26"/>
          </w:rPr>
          <w:t>The Return for a Security Dependent on Multiple Sources of Uncertainty</w:t>
        </w:r>
      </w:hyperlink>
    </w:p>
    <w:p w:rsidR="000F14A7" w:rsidRDefault="000F14A7" w:rsidP="000F14A7">
      <w:pPr>
        <w:pStyle w:val="a6"/>
        <w:tabs>
          <w:tab w:val="num" w:pos="720"/>
        </w:tabs>
        <w:spacing w:line="360" w:lineRule="auto"/>
        <w:ind w:left="720" w:hanging="360"/>
      </w:pPr>
      <w:r>
        <w:rPr>
          <w:rFonts w:ascii="Garamond" w:hAnsi="Garamond"/>
          <w:bCs/>
          <w:sz w:val="26"/>
          <w:szCs w:val="26"/>
        </w:rPr>
        <w:t xml:space="preserve">31. </w:t>
      </w:r>
      <w:hyperlink r:id="rId68" w:history="1">
        <w:r>
          <w:rPr>
            <w:rStyle w:val="a5"/>
            <w:rFonts w:ascii="Garamond" w:hAnsi="Garamond"/>
            <w:bCs/>
            <w:sz w:val="26"/>
            <w:szCs w:val="26"/>
          </w:rPr>
          <w:t>Properties of Ho-Lee and Hull-White Interest Rate Models</w:t>
        </w:r>
      </w:hyperlink>
    </w:p>
    <w:p w:rsidR="00D865F6" w:rsidRDefault="007B4D14" w:rsidP="009E7CBB">
      <w:pPr>
        <w:outlineLvl w:val="0"/>
      </w:pPr>
      <w:hyperlink r:id="rId69" w:history="1">
        <w:r w:rsidR="001F685C">
          <w:rPr>
            <w:rStyle w:val="a5"/>
          </w:rPr>
          <w:t>Employee Stock Option Software</w:t>
        </w:r>
      </w:hyperlink>
    </w:p>
    <w:p w:rsidR="001F685C" w:rsidRDefault="001F685C" w:rsidP="001F685C">
      <w:pPr>
        <w:spacing w:before="100" w:beforeAutospacing="1" w:after="100" w:afterAutospacing="1"/>
      </w:pPr>
      <w:r>
        <w:lastRenderedPageBreak/>
        <w:t xml:space="preserve">This software is based on the article: “How to Value Employee Stock Options” (which was published by Financial Analysts Journal in Jan/Feb 2004 and can be downloaded from my web site). To download the software click here. (New Version: Jan 9, 2007) </w:t>
      </w:r>
    </w:p>
    <w:p w:rsidR="001F685C" w:rsidRDefault="007B4D14" w:rsidP="009E7CBB">
      <w:pPr>
        <w:spacing w:before="100" w:beforeAutospacing="1" w:after="100" w:afterAutospacing="1"/>
        <w:outlineLvl w:val="0"/>
      </w:pPr>
      <w:hyperlink r:id="rId70" w:history="1">
        <w:r w:rsidR="001F685C">
          <w:rPr>
            <w:rStyle w:val="a5"/>
          </w:rPr>
          <w:t>Download Software</w:t>
        </w:r>
      </w:hyperlink>
      <w:r w:rsidR="001F685C">
        <w:t xml:space="preserve">  </w:t>
      </w:r>
    </w:p>
    <w:p w:rsidR="001F685C" w:rsidRDefault="001F685C"/>
    <w:sectPr w:rsidR="001F685C" w:rsidSect="007B4D14">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B30" w:rsidRDefault="008E3B30" w:rsidP="008F1E5C">
      <w:r>
        <w:separator/>
      </w:r>
    </w:p>
  </w:endnote>
  <w:endnote w:type="continuationSeparator" w:id="1">
    <w:p w:rsidR="008E3B30" w:rsidRDefault="008E3B30" w:rsidP="008F1E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B30" w:rsidRDefault="008E3B30" w:rsidP="008F1E5C">
      <w:r>
        <w:separator/>
      </w:r>
    </w:p>
  </w:footnote>
  <w:footnote w:type="continuationSeparator" w:id="1">
    <w:p w:rsidR="008E3B30" w:rsidRDefault="008E3B30" w:rsidP="008F1E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C030F4"/>
    <w:multiLevelType w:val="multilevel"/>
    <w:tmpl w:val="97F6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1E5C"/>
    <w:rsid w:val="000F14A7"/>
    <w:rsid w:val="00121960"/>
    <w:rsid w:val="001F685C"/>
    <w:rsid w:val="006A0111"/>
    <w:rsid w:val="006B677F"/>
    <w:rsid w:val="007B4D14"/>
    <w:rsid w:val="007C4A57"/>
    <w:rsid w:val="008A435D"/>
    <w:rsid w:val="008E3B30"/>
    <w:rsid w:val="008F1E5C"/>
    <w:rsid w:val="009E7CBB"/>
    <w:rsid w:val="00B42FD2"/>
    <w:rsid w:val="00D865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4D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1E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1E5C"/>
    <w:rPr>
      <w:sz w:val="18"/>
      <w:szCs w:val="18"/>
    </w:rPr>
  </w:style>
  <w:style w:type="paragraph" w:styleId="a4">
    <w:name w:val="footer"/>
    <w:basedOn w:val="a"/>
    <w:link w:val="Char0"/>
    <w:uiPriority w:val="99"/>
    <w:semiHidden/>
    <w:unhideWhenUsed/>
    <w:rsid w:val="008F1E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1E5C"/>
    <w:rPr>
      <w:sz w:val="18"/>
      <w:szCs w:val="18"/>
    </w:rPr>
  </w:style>
  <w:style w:type="character" w:styleId="a5">
    <w:name w:val="Hyperlink"/>
    <w:basedOn w:val="a0"/>
    <w:uiPriority w:val="99"/>
    <w:semiHidden/>
    <w:unhideWhenUsed/>
    <w:rsid w:val="00B42FD2"/>
    <w:rPr>
      <w:color w:val="0000FF"/>
      <w:u w:val="single"/>
    </w:rPr>
  </w:style>
  <w:style w:type="paragraph" w:styleId="a6">
    <w:name w:val="Normal (Web)"/>
    <w:basedOn w:val="a"/>
    <w:uiPriority w:val="99"/>
    <w:semiHidden/>
    <w:unhideWhenUsed/>
    <w:rsid w:val="00D865F6"/>
    <w:pPr>
      <w:widowControl/>
      <w:spacing w:before="100" w:beforeAutospacing="1" w:after="100" w:afterAutospacing="1"/>
      <w:jc w:val="left"/>
    </w:pPr>
    <w:rPr>
      <w:rFonts w:ascii="宋体" w:eastAsia="宋体" w:hAnsi="宋体" w:cs="宋体"/>
      <w:kern w:val="0"/>
      <w:sz w:val="24"/>
      <w:szCs w:val="24"/>
    </w:rPr>
  </w:style>
  <w:style w:type="character" w:customStyle="1" w:styleId="spelle">
    <w:name w:val="spelle"/>
    <w:basedOn w:val="a0"/>
    <w:rsid w:val="00D865F6"/>
  </w:style>
  <w:style w:type="character" w:customStyle="1" w:styleId="grame">
    <w:name w:val="grame"/>
    <w:basedOn w:val="a0"/>
    <w:rsid w:val="006B677F"/>
  </w:style>
  <w:style w:type="paragraph" w:styleId="a7">
    <w:name w:val="Document Map"/>
    <w:basedOn w:val="a"/>
    <w:link w:val="Char1"/>
    <w:uiPriority w:val="99"/>
    <w:semiHidden/>
    <w:unhideWhenUsed/>
    <w:rsid w:val="009E7CBB"/>
    <w:rPr>
      <w:rFonts w:ascii="宋体" w:eastAsia="宋体"/>
      <w:sz w:val="16"/>
      <w:szCs w:val="16"/>
    </w:rPr>
  </w:style>
  <w:style w:type="character" w:customStyle="1" w:styleId="Char1">
    <w:name w:val="文档结构图 Char"/>
    <w:basedOn w:val="a0"/>
    <w:link w:val="a7"/>
    <w:uiPriority w:val="99"/>
    <w:semiHidden/>
    <w:rsid w:val="009E7CBB"/>
    <w:rPr>
      <w:rFonts w:ascii="宋体" w:eastAsia="宋体"/>
      <w:sz w:val="16"/>
      <w:szCs w:val="16"/>
    </w:rPr>
  </w:style>
</w:styles>
</file>

<file path=word/webSettings.xml><?xml version="1.0" encoding="utf-8"?>
<w:webSettings xmlns:r="http://schemas.openxmlformats.org/officeDocument/2006/relationships" xmlns:w="http://schemas.openxmlformats.org/wordprocessingml/2006/main">
  <w:divs>
    <w:div w:id="294217751">
      <w:bodyDiv w:val="1"/>
      <w:marLeft w:val="0"/>
      <w:marRight w:val="0"/>
      <w:marTop w:val="0"/>
      <w:marBottom w:val="0"/>
      <w:divBdr>
        <w:top w:val="none" w:sz="0" w:space="0" w:color="auto"/>
        <w:left w:val="none" w:sz="0" w:space="0" w:color="auto"/>
        <w:bottom w:val="none" w:sz="0" w:space="0" w:color="auto"/>
        <w:right w:val="none" w:sz="0" w:space="0" w:color="auto"/>
      </w:divBdr>
    </w:div>
    <w:div w:id="366880563">
      <w:bodyDiv w:val="1"/>
      <w:marLeft w:val="0"/>
      <w:marRight w:val="0"/>
      <w:marTop w:val="0"/>
      <w:marBottom w:val="0"/>
      <w:divBdr>
        <w:top w:val="none" w:sz="0" w:space="0" w:color="auto"/>
        <w:left w:val="none" w:sz="0" w:space="0" w:color="auto"/>
        <w:bottom w:val="none" w:sz="0" w:space="0" w:color="auto"/>
        <w:right w:val="none" w:sz="0" w:space="0" w:color="auto"/>
      </w:divBdr>
    </w:div>
    <w:div w:id="371930076">
      <w:bodyDiv w:val="1"/>
      <w:marLeft w:val="0"/>
      <w:marRight w:val="0"/>
      <w:marTop w:val="0"/>
      <w:marBottom w:val="0"/>
      <w:divBdr>
        <w:top w:val="none" w:sz="0" w:space="0" w:color="auto"/>
        <w:left w:val="none" w:sz="0" w:space="0" w:color="auto"/>
        <w:bottom w:val="none" w:sz="0" w:space="0" w:color="auto"/>
        <w:right w:val="none" w:sz="0" w:space="0" w:color="auto"/>
      </w:divBdr>
    </w:div>
    <w:div w:id="918825833">
      <w:bodyDiv w:val="1"/>
      <w:marLeft w:val="0"/>
      <w:marRight w:val="0"/>
      <w:marTop w:val="0"/>
      <w:marBottom w:val="0"/>
      <w:divBdr>
        <w:top w:val="none" w:sz="0" w:space="0" w:color="auto"/>
        <w:left w:val="none" w:sz="0" w:space="0" w:color="auto"/>
        <w:bottom w:val="none" w:sz="0" w:space="0" w:color="auto"/>
        <w:right w:val="none" w:sz="0" w:space="0" w:color="auto"/>
      </w:divBdr>
    </w:div>
    <w:div w:id="1144276476">
      <w:bodyDiv w:val="1"/>
      <w:marLeft w:val="0"/>
      <w:marRight w:val="0"/>
      <w:marTop w:val="0"/>
      <w:marBottom w:val="0"/>
      <w:divBdr>
        <w:top w:val="none" w:sz="0" w:space="0" w:color="auto"/>
        <w:left w:val="none" w:sz="0" w:space="0" w:color="auto"/>
        <w:bottom w:val="none" w:sz="0" w:space="0" w:color="auto"/>
        <w:right w:val="none" w:sz="0" w:space="0" w:color="auto"/>
      </w:divBdr>
    </w:div>
    <w:div w:id="1364210866">
      <w:bodyDiv w:val="1"/>
      <w:marLeft w:val="0"/>
      <w:marRight w:val="0"/>
      <w:marTop w:val="0"/>
      <w:marBottom w:val="0"/>
      <w:divBdr>
        <w:top w:val="none" w:sz="0" w:space="0" w:color="auto"/>
        <w:left w:val="none" w:sz="0" w:space="0" w:color="auto"/>
        <w:bottom w:val="none" w:sz="0" w:space="0" w:color="auto"/>
        <w:right w:val="none" w:sz="0" w:space="0" w:color="auto"/>
      </w:divBdr>
    </w:div>
    <w:div w:id="1653215788">
      <w:bodyDiv w:val="1"/>
      <w:marLeft w:val="0"/>
      <w:marRight w:val="0"/>
      <w:marTop w:val="0"/>
      <w:marBottom w:val="0"/>
      <w:divBdr>
        <w:top w:val="none" w:sz="0" w:space="0" w:color="auto"/>
        <w:left w:val="none" w:sz="0" w:space="0" w:color="auto"/>
        <w:bottom w:val="none" w:sz="0" w:space="0" w:color="auto"/>
        <w:right w:val="none" w:sz="0" w:space="0" w:color="auto"/>
      </w:divBdr>
    </w:div>
    <w:div w:id="1867257729">
      <w:bodyDiv w:val="1"/>
      <w:marLeft w:val="0"/>
      <w:marRight w:val="0"/>
      <w:marTop w:val="0"/>
      <w:marBottom w:val="0"/>
      <w:divBdr>
        <w:top w:val="none" w:sz="0" w:space="0" w:color="auto"/>
        <w:left w:val="none" w:sz="0" w:space="0" w:color="auto"/>
        <w:bottom w:val="none" w:sz="0" w:space="0" w:color="auto"/>
        <w:right w:val="none" w:sz="0" w:space="0" w:color="auto"/>
      </w:divBdr>
    </w:div>
    <w:div w:id="1895311963">
      <w:bodyDiv w:val="1"/>
      <w:marLeft w:val="0"/>
      <w:marRight w:val="0"/>
      <w:marTop w:val="0"/>
      <w:marBottom w:val="0"/>
      <w:divBdr>
        <w:top w:val="none" w:sz="0" w:space="0" w:color="auto"/>
        <w:left w:val="none" w:sz="0" w:space="0" w:color="auto"/>
        <w:bottom w:val="none" w:sz="0" w:space="0" w:color="auto"/>
        <w:right w:val="none" w:sz="0" w:space="0" w:color="auto"/>
      </w:divBdr>
      <w:divsChild>
        <w:div w:id="1337490864">
          <w:marLeft w:val="0"/>
          <w:marRight w:val="0"/>
          <w:marTop w:val="0"/>
          <w:marBottom w:val="0"/>
          <w:divBdr>
            <w:top w:val="none" w:sz="0" w:space="0" w:color="auto"/>
            <w:left w:val="none" w:sz="0" w:space="0" w:color="auto"/>
            <w:bottom w:val="none" w:sz="0" w:space="0" w:color="auto"/>
            <w:right w:val="none" w:sz="0" w:space="0" w:color="auto"/>
          </w:divBdr>
        </w:div>
      </w:divsChild>
    </w:div>
    <w:div w:id="1904557698">
      <w:bodyDiv w:val="1"/>
      <w:marLeft w:val="0"/>
      <w:marRight w:val="0"/>
      <w:marTop w:val="0"/>
      <w:marBottom w:val="0"/>
      <w:divBdr>
        <w:top w:val="none" w:sz="0" w:space="0" w:color="auto"/>
        <w:left w:val="none" w:sz="0" w:space="0" w:color="auto"/>
        <w:bottom w:val="none" w:sz="0" w:space="0" w:color="auto"/>
        <w:right w:val="none" w:sz="0" w:space="0" w:color="auto"/>
      </w:divBdr>
    </w:div>
    <w:div w:id="195690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2.rotman.utoronto.ca/%7Ehull/ofod/VarExample/index.html" TargetMode="External"/><Relationship Id="rId18" Type="http://schemas.openxmlformats.org/officeDocument/2006/relationships/hyperlink" Target="http://www-2.rotman.utoronto.ca/%7Ehull/ofod/Errata9e/index.html" TargetMode="External"/><Relationship Id="rId26" Type="http://schemas.openxmlformats.org/officeDocument/2006/relationships/hyperlink" Target="http://www-2.rotman.utoronto.ca/%7Ehull/ofodcourse/DERIVATIVE%20PRODUCTS%20AND%20RISK%20MANAGEMENT.doc" TargetMode="External"/><Relationship Id="rId39" Type="http://schemas.openxmlformats.org/officeDocument/2006/relationships/hyperlink" Target="http://www-2.rotman.utoronto.ca/%7Ehull/TechnicalNotes/TechnicalNote2.pdf" TargetMode="External"/><Relationship Id="rId21" Type="http://schemas.openxmlformats.org/officeDocument/2006/relationships/hyperlink" Target="http://www-2.rotman.utoronto.ca/%7Ehull/software/bivar.xls" TargetMode="External"/><Relationship Id="rId34" Type="http://schemas.openxmlformats.org/officeDocument/2006/relationships/hyperlink" Target="http://www-2.rotman.utoronto.ca/%7Ehull/data/GARCHCALCSS&amp;P500.xls" TargetMode="External"/><Relationship Id="rId42" Type="http://schemas.openxmlformats.org/officeDocument/2006/relationships/hyperlink" Target="http://www-2.rotman.utoronto.ca/%7Ehull/TechnicalNotes/TechnicalNote5.pdf" TargetMode="External"/><Relationship Id="rId47" Type="http://schemas.openxmlformats.org/officeDocument/2006/relationships/hyperlink" Target="http://www-2.rotman.utoronto.ca/%7Ehull/TechnicalNotes/TechnicalNote10.pdf" TargetMode="External"/><Relationship Id="rId50" Type="http://schemas.openxmlformats.org/officeDocument/2006/relationships/hyperlink" Target="http://www-2.rotman.utoronto.ca/%7Ehull/TechnicalNotes/TechnicalNote13.pdf" TargetMode="External"/><Relationship Id="rId55" Type="http://schemas.openxmlformats.org/officeDocument/2006/relationships/hyperlink" Target="http://www-2.rotman.utoronto.ca/%7Ehull/TechnicalNotes/TechnicalNote18.pdf" TargetMode="External"/><Relationship Id="rId63" Type="http://schemas.openxmlformats.org/officeDocument/2006/relationships/hyperlink" Target="http://www-2.rotman.utoronto.ca/%7Ehull/TechnicalNotes/TechnicalNote26.pdf" TargetMode="External"/><Relationship Id="rId68" Type="http://schemas.openxmlformats.org/officeDocument/2006/relationships/hyperlink" Target="http://www-2.rotman.utoronto.ca/%7Ehull/TechnicalNotes/TechnicalNote31.pdf" TargetMode="External"/><Relationship Id="rId7" Type="http://schemas.openxmlformats.org/officeDocument/2006/relationships/hyperlink" Target="http://www-2.rotman.utoronto.ca/%7Ehull/ofodout/index.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2.rotman.utoronto.ca/%7Ehull/VasicekCIR/index.html" TargetMode="External"/><Relationship Id="rId29" Type="http://schemas.openxmlformats.org/officeDocument/2006/relationships/hyperlink" Target="http://www-2.rotman.utoronto.ca/%7Ehull/software/DerivaGem.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rotman.utoronto.ca/%7Ehull/software/index.html" TargetMode="External"/><Relationship Id="rId24" Type="http://schemas.openxmlformats.org/officeDocument/2006/relationships/hyperlink" Target="http://www-2.rotman.utoronto.ca/%7Ehull/ESOPS/index.htm" TargetMode="External"/><Relationship Id="rId32" Type="http://schemas.openxmlformats.org/officeDocument/2006/relationships/hyperlink" Target="http://www-2.rotman.utoronto.ca/%7Ehull/ofod/VarExample/VaROFOD9eHistoricalSimulExample.xls" TargetMode="External"/><Relationship Id="rId37" Type="http://schemas.openxmlformats.org/officeDocument/2006/relationships/hyperlink" Target="http://www-2.rotman.utoronto.ca/%7Ehull/data/Crude%20Oil%20-%20Gold%20Data.xls" TargetMode="External"/><Relationship Id="rId40" Type="http://schemas.openxmlformats.org/officeDocument/2006/relationships/hyperlink" Target="http://www-2.rotman.utoronto.ca/%7Ehull/TechnicalNotes/TechnicalNote3.pdf" TargetMode="External"/><Relationship Id="rId45" Type="http://schemas.openxmlformats.org/officeDocument/2006/relationships/hyperlink" Target="http://www-2.rotman.utoronto.ca/%7Ehull/TechnicalNotes/TechnicalNote8.pdf" TargetMode="External"/><Relationship Id="rId53" Type="http://schemas.openxmlformats.org/officeDocument/2006/relationships/hyperlink" Target="http://www-2.rotman.utoronto.ca/%7Ehull/TechnicalNotes/TechnicalNote16.pdf" TargetMode="External"/><Relationship Id="rId58" Type="http://schemas.openxmlformats.org/officeDocument/2006/relationships/hyperlink" Target="http://www-2.rotman.utoronto.ca/%7Ehull/TechnicalNotes/TechnicalNote21.pdf" TargetMode="External"/><Relationship Id="rId66" Type="http://schemas.openxmlformats.org/officeDocument/2006/relationships/hyperlink" Target="http://www-2.rotman.utoronto.ca/%7Ehull/TechnicalNotes/TechnicalNote29.pdf" TargetMode="External"/><Relationship Id="rId5" Type="http://schemas.openxmlformats.org/officeDocument/2006/relationships/footnotes" Target="footnotes.xml"/><Relationship Id="rId15" Type="http://schemas.openxmlformats.org/officeDocument/2006/relationships/hyperlink" Target="http://www-2.rotman.utoronto.ca/%7Ehull/data/OFOD8edata.html" TargetMode="External"/><Relationship Id="rId23" Type="http://schemas.openxmlformats.org/officeDocument/2006/relationships/hyperlink" Target="http://www-2.rotman.utoronto.ca/%7Ehull/software/PCA.xls" TargetMode="External"/><Relationship Id="rId28" Type="http://schemas.openxmlformats.org/officeDocument/2006/relationships/hyperlink" Target="http://www.amazon.com/s/ref=nb_sb_noss?url=search-alias%3Dstripbooks&amp;field-keywords=0133456315" TargetMode="External"/><Relationship Id="rId36" Type="http://schemas.openxmlformats.org/officeDocument/2006/relationships/hyperlink" Target="http://www-2.rotman.utoronto.ca/%7Ehull/data/ForEx&amp;IndexData.xls" TargetMode="External"/><Relationship Id="rId49" Type="http://schemas.openxmlformats.org/officeDocument/2006/relationships/hyperlink" Target="http://www-2.rotman.utoronto.ca/%7Ehull/TechnicalNotes/TechnicalNote12.pdf" TargetMode="External"/><Relationship Id="rId57" Type="http://schemas.openxmlformats.org/officeDocument/2006/relationships/hyperlink" Target="http://www-2.rotman.utoronto.ca/%7Ehull/TechnicalNotes/TechnicalNote20.pdf" TargetMode="External"/><Relationship Id="rId61" Type="http://schemas.openxmlformats.org/officeDocument/2006/relationships/hyperlink" Target="http://www-2.rotman.utoronto.ca/%7Ehull/TechnicalNotes/TechnicalNote24.pdf" TargetMode="External"/><Relationship Id="rId10" Type="http://schemas.openxmlformats.org/officeDocument/2006/relationships/hyperlink" Target="http://www-2.rotman.utoronto.ca/%7Ehull/ofodcourse/index.html" TargetMode="External"/><Relationship Id="rId19" Type="http://schemas.openxmlformats.org/officeDocument/2006/relationships/hyperlink" Target="http://www-2.rotman.utoronto.ca/%7Ehull/ofod/olderrataindex.html" TargetMode="External"/><Relationship Id="rId31" Type="http://schemas.openxmlformats.org/officeDocument/2006/relationships/hyperlink" Target="http://www-2.rotman.utoronto.ca/%7Ehull/ofod/VarExample/index.html" TargetMode="External"/><Relationship Id="rId44" Type="http://schemas.openxmlformats.org/officeDocument/2006/relationships/hyperlink" Target="http://www-2.rotman.utoronto.ca/%7Ehull/TechnicalNotes/TechnicalNote7.pdf" TargetMode="External"/><Relationship Id="rId52" Type="http://schemas.openxmlformats.org/officeDocument/2006/relationships/hyperlink" Target="http://www-2.rotman.utoronto.ca/%7Ehull/TechnicalNotes/TechnicalNote15.pdf" TargetMode="External"/><Relationship Id="rId60" Type="http://schemas.openxmlformats.org/officeDocument/2006/relationships/hyperlink" Target="http://www-2.rotman.utoronto.ca/%7Ehull/TechnicalNotes/TechnicalNote23.pdf" TargetMode="External"/><Relationship Id="rId65" Type="http://schemas.openxmlformats.org/officeDocument/2006/relationships/hyperlink" Target="http://www-2.rotman.utoronto.ca/%7Ehull/TechnicalNotes/TechnicalNote28.pdf" TargetMode="External"/><Relationship Id="rId4" Type="http://schemas.openxmlformats.org/officeDocument/2006/relationships/webSettings" Target="webSettings.xml"/><Relationship Id="rId9" Type="http://schemas.openxmlformats.org/officeDocument/2006/relationships/hyperlink" Target="http://www-2.rotman.utoronto.ca/%7Ehull/ofodslides/index.html" TargetMode="External"/><Relationship Id="rId14" Type="http://schemas.openxmlformats.org/officeDocument/2006/relationships/hyperlink" Target="http://www-2.rotman.utoronto.ca/%7Ehull/ofod/GarchExample/index.html" TargetMode="External"/><Relationship Id="rId22" Type="http://schemas.openxmlformats.org/officeDocument/2006/relationships/hyperlink" Target="http://www-2.rotman.utoronto.ca/%7Ehull/Table%20for%20Hermite%20Gauss%20Integration.xls" TargetMode="External"/><Relationship Id="rId27" Type="http://schemas.openxmlformats.org/officeDocument/2006/relationships/hyperlink" Target="http://www-2.rotman.utoronto.ca/%7Ehull/ofodcourse/ADVANCED%20DERIVATIVES.doc" TargetMode="External"/><Relationship Id="rId30" Type="http://schemas.openxmlformats.org/officeDocument/2006/relationships/hyperlink" Target="http://www.screencast.com/t/fcD5cs2y" TargetMode="External"/><Relationship Id="rId35" Type="http://schemas.openxmlformats.org/officeDocument/2006/relationships/hyperlink" Target="http://www-2.rotman.utoronto.ca/%7Ehull/data/EURUSDExchangerates.xls" TargetMode="External"/><Relationship Id="rId43" Type="http://schemas.openxmlformats.org/officeDocument/2006/relationships/hyperlink" Target="http://www-2.rotman.utoronto.ca/%7Ehull/TechnicalNotes/TechnicalNote6.pdf" TargetMode="External"/><Relationship Id="rId48" Type="http://schemas.openxmlformats.org/officeDocument/2006/relationships/hyperlink" Target="http://www-2.rotman.utoronto.ca/%7Ehull/TechnicalNotes/TechnicalNote11.pdf" TargetMode="External"/><Relationship Id="rId56" Type="http://schemas.openxmlformats.org/officeDocument/2006/relationships/hyperlink" Target="http://www-2.rotman.utoronto.ca/%7Ehull/TechnicalNotes/TechnicalNote19.pdf" TargetMode="External"/><Relationship Id="rId64" Type="http://schemas.openxmlformats.org/officeDocument/2006/relationships/hyperlink" Target="http://www-2.rotman.utoronto.ca/%7Ehull/TechnicalNotes/TechnicalNote27.pdf" TargetMode="External"/><Relationship Id="rId69" Type="http://schemas.openxmlformats.org/officeDocument/2006/relationships/hyperlink" Target="http://www-2.rotman.utoronto.ca/%7Ehull/ESOPS/index.htm" TargetMode="External"/><Relationship Id="rId8" Type="http://schemas.openxmlformats.org/officeDocument/2006/relationships/hyperlink" Target="http://www-2.rotman.utoronto.ca/%7Ehull/ofodnew/index.html" TargetMode="External"/><Relationship Id="rId51" Type="http://schemas.openxmlformats.org/officeDocument/2006/relationships/hyperlink" Target="http://www-2.rotman.utoronto.ca/%7Ehull/TechnicalNotes/TechnicalNote14.pdf"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2.rotman.utoronto.ca/%7Ehull/AmazonPage.htm" TargetMode="External"/><Relationship Id="rId17" Type="http://schemas.openxmlformats.org/officeDocument/2006/relationships/hyperlink" Target="http://www-2.rotman.utoronto.ca/%7Ehull/ofod/Example%2024_2.xlsx" TargetMode="External"/><Relationship Id="rId25" Type="http://schemas.openxmlformats.org/officeDocument/2006/relationships/hyperlink" Target="http://www-2.rotman.utoronto.ca/%7Ehull/ofodcourse/OPTIONS%20AND%20FUTURES%20MARKETS.doc" TargetMode="External"/><Relationship Id="rId33" Type="http://schemas.openxmlformats.org/officeDocument/2006/relationships/hyperlink" Target="http://www-2.rotman.utoronto.ca/%7Ehull/ofod/VarExample/VaROFOD9eModelBuildingExample.xls" TargetMode="External"/><Relationship Id="rId38" Type="http://schemas.openxmlformats.org/officeDocument/2006/relationships/hyperlink" Target="http://www-2.rotman.utoronto.ca/%7Ehull/TechnicalNotes/TechnicalNote1.pdf" TargetMode="External"/><Relationship Id="rId46" Type="http://schemas.openxmlformats.org/officeDocument/2006/relationships/hyperlink" Target="http://www-2.rotman.utoronto.ca/%7Ehull/TechnicalNotes/TechnicalNote9.pdf" TargetMode="External"/><Relationship Id="rId59" Type="http://schemas.openxmlformats.org/officeDocument/2006/relationships/hyperlink" Target="http://www-2.rotman.utoronto.ca/%7Ehull/TechnicalNotes/TechnicalNote22.pdf" TargetMode="External"/><Relationship Id="rId67" Type="http://schemas.openxmlformats.org/officeDocument/2006/relationships/hyperlink" Target="http://www-2.rotman.utoronto.ca/%7Ehull/TechnicalNotes/TechnicalNote30.pdf" TargetMode="External"/><Relationship Id="rId20" Type="http://schemas.openxmlformats.org/officeDocument/2006/relationships/hyperlink" Target="http://www-2.rotman.utoronto.ca/%7Ehull/TechnicalNotes/index.html" TargetMode="External"/><Relationship Id="rId41" Type="http://schemas.openxmlformats.org/officeDocument/2006/relationships/hyperlink" Target="http://www-2.rotman.utoronto.ca/%7Ehull/TechnicalNotes/TechnicalNote4.pdf" TargetMode="External"/><Relationship Id="rId54" Type="http://schemas.openxmlformats.org/officeDocument/2006/relationships/hyperlink" Target="http://www-2.rotman.utoronto.ca/%7Ehull/TechnicalNotes/TechnicalNote17.pdf" TargetMode="External"/><Relationship Id="rId62" Type="http://schemas.openxmlformats.org/officeDocument/2006/relationships/hyperlink" Target="http://www-2.rotman.utoronto.ca/%7Ehull/TechnicalNotes/TechnicalNote25.pdf" TargetMode="External"/><Relationship Id="rId70" Type="http://schemas.openxmlformats.org/officeDocument/2006/relationships/hyperlink" Target="http://www-2.rotman.utoronto.ca/%7Ehull/ESOPS/ESOPVal%20v2.x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1668</Words>
  <Characters>9511</Characters>
  <Application>Microsoft Office Word</Application>
  <DocSecurity>0</DocSecurity>
  <Lines>79</Lines>
  <Paragraphs>22</Paragraphs>
  <ScaleCrop>false</ScaleCrop>
  <Company>Microsoft</Company>
  <LinksUpToDate>false</LinksUpToDate>
  <CharactersWithSpaces>11157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dc:creator>
  <cp:keywords/>
  <dc:description/>
  <cp:lastModifiedBy>vei</cp:lastModifiedBy>
  <cp:revision>12</cp:revision>
  <dcterms:created xsi:type="dcterms:W3CDTF">2015-12-03T12:03:00Z</dcterms:created>
  <dcterms:modified xsi:type="dcterms:W3CDTF">2015-12-03T12:38:00Z</dcterms:modified>
</cp:coreProperties>
</file>