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600"/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 w:val="0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"1-4" \h 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表1-1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关键线路周报纠偏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图1-1　施工现场全景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422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图1-2　质量控制验收程序流程图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《建设工程监理规范》GB/T 50319-2013。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图2-1　现场水准测量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66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6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图2-2　监理工作程序流程图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表3-1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B9C4D8"/>
          <w:left w:val="single" w:sz="6" w:color="B9C4D8"/>
          <w:bottom w:val="single" w:sz="6" w:color="B9C4D8"/>
          <w:right w:val="single" w:sz="6" w:color="B9C4D8"/>
          <w:insideH w:val="single" w:sz="6" w:color="B9C4D8"/>
          <w:insideV w:val="single" w:sz="6" w:color="B9C4D8"/>
        </w:tblBorders>
      </w:tblPr>
      <w:tblGrid>
        <w:gridCol w:w="8300"/>
      </w:tblGrid>
      <w:tr>
        <w:tc>
          <w:tcPr>
            <w:tcW w:type="dxa" w:w="8300"/>
            <w:shd w:val="clear" w:color="auto" w:fill="F4F7FB"/>
          </w:tcPr>
          <w:p>
            <w:r/>
            <w:r>
              <w:rPr>
                <w:rFonts w:ascii="Times New Roman" w:hAnsi="Times New Roman" w:eastAsia="仿宋"/>
                <w:sz w:val="21"/>
              </w:rPr>
              <w:t>监理信息化管理平台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图3-1　监理例会图纸会审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 - </w:t>
    </w: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  <w:r>
      <w:rPr>
        <w:rFonts w:ascii="Times New Roman" w:hAnsi="Times New Roman" w:eastAsia="宋体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仿宋"/>
        <w:color w:val="1B2C52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