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1600"/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72"/>
        </w:rPr>
        <w:t>投标技术标（监理大纲）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/>
          <w:color w:val="FFFFFF"/>
          <w:sz w:val="44"/>
        </w:rPr>
        <w:t>预览项目</w:t>
      </w:r>
    </w:p>
    <w:p>
      <w:pPr>
        <w:jc w:val="center"/>
        <w:shd w:val="clear" w:color="auto" w:fill="1B2C52"/>
      </w:pPr>
      <w:r>
        <w:rPr>
          <w:rFonts w:ascii="Times New Roman" w:hAnsi="Times New Roman" w:eastAsia="黑体"/>
          <w:b w:val="0"/>
          <w:color w:val="FFFFFF"/>
          <w:sz w:val="28"/>
        </w:rPr>
        <w:t>预览企业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r>
        <w:fldChar w:fldCharType="begin"/>
        <w:instrText xml:space="preserve">TOC \o "1-4" \h  \u</w:instrText>
        <w:fldChar w:fldCharType="separate"/>
      </w:r>
      <w:r>
        <w:rPr>
          <w:sz w:val="24"/>
        </w:rPr>
        <w:t>TOC 目录（打开文档后按 F9 或 Ctrl+A → F9 更新）</w:t>
      </w:r>
      <w:r>
        <w:fldChar w:fldCharType="end"/>
      </w:r>
    </w:p>
    <w:p>
      <w:r>
        <w:br w:type="page"/>
      </w:r>
    </w:p>
    <w:p>
      <w:pPr>
        <w:pageBreakBefore/>
        <w:spacing w:before="1080" w:after="280"/>
        <w:jc w:val="center"/>
        <w:outlineLvl w:val="0"/>
        <w:pBdr>
          <w:bottom w:val="single" w:sz="14" w:color="243B6B"/>
        </w:pBdr>
      </w:pPr>
      <w:r>
        <w:rPr>
          <w:rFonts w:ascii="Times New Roman" w:hAnsi="Times New Roman" w:eastAsia="黑体"/>
          <w:b/>
          <w:color w:val="1B2C52"/>
          <w:sz w:val="44"/>
        </w:rPr>
        <w:t>第一章 工程概况与监理工作范围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一、工程概况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预览项目为框架剪力墙结构公共建筑，总建筑面积约 8.6 万平方米，地上十层、地下两层。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（一）项目理解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本项目监理工作覆盖质量、进度、投资、安全环保与合同信息管理五大目标。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质量控制：材料进场验收与旁站监理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进度控制：总控计划动态纠偏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表1-1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序号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控制目标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主要措施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质量目标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三检制、样板引路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2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进度目标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关键线路周报纠偏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施工现场全景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图1-1　施工现场全景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422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质量控制程序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42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图1-2　质量控制验收程序流程图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监理工作范围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施工阶段监理，含土建、安装、装饰、智能化、室外工程等全部专业。</w:t>
      </w:r>
    </w:p>
    <w:p>
      <w:pPr>
        <w:pageBreakBefore/>
        <w:spacing w:before="1080" w:after="280"/>
        <w:jc w:val="center"/>
        <w:outlineLvl w:val="0"/>
        <w:pBdr>
          <w:bottom w:val="single" w:sz="14" w:color="243B6B"/>
        </w:pBdr>
      </w:pPr>
      <w:r>
        <w:rPr>
          <w:rFonts w:ascii="Times New Roman" w:hAnsi="Times New Roman" w:eastAsia="黑体"/>
          <w:b/>
          <w:color w:val="1B2C52"/>
          <w:sz w:val="44"/>
        </w:rPr>
        <w:t>第二章 监理工作依据、目标与内容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一、监理工作依据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国家和地方有关工程建设的法律、法规与规章；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《建设工程监理规范》GB/T 50319-2013。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水准测量放线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图2-1　现场水准测量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06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监理工作程序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6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图2-2　监理工作程序流程图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（一）监理工作目标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质量达到一次性验收合格标准；进度满足合同节点要求；投资控制在批准概算内。</w:t>
      </w:r>
    </w:p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监理工作制度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建立监理例会、旁站监理、见证取样、巡视检查、资料管理制度。</w:t>
      </w:r>
    </w:p>
    <w:p>
      <w:pPr>
        <w:pageBreakBefore/>
        <w:spacing w:before="1080" w:after="280"/>
        <w:jc w:val="center"/>
        <w:outlineLvl w:val="0"/>
        <w:pBdr>
          <w:bottom w:val="single" w:sz="14" w:color="243B6B"/>
        </w:pBdr>
      </w:pPr>
      <w:r>
        <w:rPr>
          <w:rFonts w:ascii="Times New Roman" w:hAnsi="Times New Roman" w:eastAsia="黑体"/>
          <w:b/>
          <w:color w:val="1B2C52"/>
          <w:sz w:val="44"/>
        </w:rPr>
        <w:t>第三章 项目监理机构及人员配备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0"/>
      </w:pPr>
      <w:r>
        <w:rPr>
          <w:rFonts w:ascii="Times New Roman" w:hAnsi="Times New Roman" w:eastAsia="黑体"/>
          <w:b w:val="0"/>
          <w:color w:val="1B2C52"/>
          <w:sz w:val="24"/>
        </w:rPr>
        <w:t>一、项目监理机构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实行总监理工程师负责制，设总监理工程师 1 名、专业监理工程师 5 名、监理员 4 名。</w:t>
      </w:r>
    </w:p>
    <w:p>
      <w:pPr>
        <w:keepNext/>
        <w:spacing w:before="120" w:after="80" w:line="288" w:lineRule="auto"/>
        <w:pBdr>
          <w:bottom w:val="single" w:sz="6" w:color="243B6B"/>
        </w:pBdr>
        <w:outlineLvl w:val="1"/>
      </w:pPr>
      <w:r>
        <w:rPr>
          <w:rFonts w:ascii="Times New Roman" w:hAnsi="Times New Roman" w:eastAsia="黑体"/>
          <w:b w:val="0"/>
          <w:color w:val="1B2C52"/>
          <w:sz w:val="24"/>
        </w:rPr>
        <w:t>（一）人员配备</w:t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表3-1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one" w:sz="0"/>
          <w:right w:val="none" w:sz="0"/>
          <w:insideV w:val="none" w:sz="0"/>
          <w:insideH w:val="none" w:sz="4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岗位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人数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b/>
                <w:sz w:val="21"/>
              </w:rPr>
              <w:t>资格要求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总监理工程师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1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注册监理工程师、高级职称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专业监理工程师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5</w:t>
            </w:r>
          </w:p>
        </w:tc>
        <w:tc>
          <w:tcPr>
            <w:tcW w:type="dxa" w:w="2767"/>
          </w:tcPr>
          <w:p>
            <w:r/>
            <w:r>
              <w:rPr>
                <w:rFonts w:ascii="Times New Roman" w:hAnsi="Times New Roman" w:eastAsia="仿宋"/>
                <w:sz w:val="21"/>
              </w:rPr>
              <w:t>中级及以上职称</w:t>
            </w:r>
          </w:p>
        </w:tc>
      </w:tr>
    </w:tbl>
    <w:p>
      <w:pPr>
        <w:keepNext/>
        <w:spacing w:before="60" w:after="40" w:line="288" w:lineRule="auto"/>
        <w:pBdr>
          <w:bottom w:val="single" w:sz="6" w:color="243B6B"/>
        </w:pBdr>
        <w:outlineLvl w:val="2"/>
      </w:pPr>
      <w:r>
        <w:rPr>
          <w:rFonts w:ascii="Times New Roman" w:hAnsi="Times New Roman" w:eastAsia="黑体"/>
          <w:b w:val="0"/>
          <w:color w:val="1B2C52"/>
          <w:sz w:val="24"/>
        </w:rPr>
        <w:t>1. 仪器设备配置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sz w:val="24"/>
        </w:rPr>
        <w:t>配备全站仪、水准仪、回弹仪等常规检测仪器及监理信息化管理平台。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全站仪、水准仪、回弹仪等常规检测仪器</w:t>
      </w:r>
    </w:p>
    <w:p>
      <w:pPr>
        <w:pStyle w:val="ListBullet"/>
        <w:spacing w:line="360" w:lineRule="auto"/>
      </w:pPr>
      <w:r>
        <w:rPr>
          <w:rFonts w:ascii="Times New Roman" w:hAnsi="Times New Roman" w:eastAsia="仿宋"/>
          <w:sz w:val="24"/>
        </w:rPr>
        <w:t>监理信息化管理平台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18229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样张_图纸会审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822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Times New Roman" w:hAnsi="Times New Roman" w:eastAsia="仿宋"/>
          <w:sz w:val="18"/>
        </w:rPr>
        <w:t>图3-1　监理例会图纸会审</w:t>
      </w:r>
    </w:p>
    <w:sectPr w:rsidR="00FC693F" w:rsidRPr="0006063C" w:rsidSect="00034616">
      <w:footerReference w:type="default" r:id="rId14"/>
      <w:headerReference w:type="default" r:id="rId15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 - </w:t>
    </w:r>
    <w:r>
      <w:fldChar w:fldCharType="begin"/>
      <w:instrText xml:space="preserve">PAGE</w:instrText>
      <w:fldChar w:fldCharType="end"/>
    </w:r>
    <w:r>
      <w:rPr>
        <w:sz w:val="18"/>
      </w:rPr>
      <w:t xml:space="preserve"> - </w:t>
    </w:r>
    <w:r>
      <w:rPr>
        <w:rFonts w:ascii="Times New Roman" w:hAnsi="Times New Roman" w:eastAsia="宋体"/>
        <w:sz w:val="18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808080"/>
      </w:pBdr>
    </w:pPr>
    <w:r>
      <w:rPr>
        <w:rFonts w:ascii="Times New Roman" w:hAnsi="Times New Roman" w:eastAsia="仿宋"/>
        <w:color w:val="1B2C52"/>
        <w:sz w:val="18"/>
      </w:rPr>
      <w:t>预览企业　|　投标技术标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