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6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 w:val="0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00"/>
      </w:tblGrid>
      <w:tr>
        <w:tc>
          <w:tcPr>
            <w:tcW w:type="dxa" w:w="83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182294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样张_施工现场全景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8229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300"/>
          </w:tcPr>
          <w:p>
            <w:pPr>
              <w:jc w:val="center"/>
            </w:pPr>
            <w:r>
              <w:rPr>
                <w:rFonts w:ascii="Times New Roman" w:hAnsi="Times New Roman" w:eastAsia="仿宋"/>
                <w:sz w:val="18"/>
              </w:rPr>
              <w:t>图1-1　施工现场全景</w:t>
            </w:r>
          </w:p>
          <w:p>
            <w:r>
              <w:rPr>
                <w:rFonts w:ascii="Times New Roman" w:hAnsi="Times New Roman" w:eastAsia="仿宋"/>
                <w:sz w:val="24"/>
              </w:rPr>
              <w:t>现场主体结构已施工至十层，安全防护与绿色施工措施同步落实。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00"/>
      </w:tblGrid>
      <w:tr>
        <w:tc>
          <w:tcPr>
            <w:tcW w:type="dxa" w:w="83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142243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样张_质量控制程序流程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422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300"/>
          </w:tcPr>
          <w:p>
            <w:pPr>
              <w:jc w:val="center"/>
            </w:pPr>
            <w:r>
              <w:rPr>
                <w:rFonts w:ascii="Times New Roman" w:hAnsi="Times New Roman" w:eastAsia="仿宋"/>
                <w:sz w:val="18"/>
              </w:rPr>
              <w:t>图1-2　质量控制验收程序流程图</w:t>
            </w:r>
          </w:p>
          <w:p>
            <w:r>
              <w:rPr>
                <w:rFonts w:ascii="Times New Roman" w:hAnsi="Times New Roman" w:eastAsia="仿宋"/>
                <w:sz w:val="24"/>
              </w:rPr>
              <w:t>质量控制执行报验制与旁站制，不合格项限期整改后重新报验，合格后方可进入下道工序。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00"/>
      </w:tblGrid>
      <w:tr>
        <w:tc>
          <w:tcPr>
            <w:tcW w:type="dxa" w:w="83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182294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样张_水准测量放线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8229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300"/>
          </w:tcPr>
          <w:p>
            <w:pPr>
              <w:jc w:val="center"/>
            </w:pPr>
            <w:r>
              <w:rPr>
                <w:rFonts w:ascii="Times New Roman" w:hAnsi="Times New Roman" w:eastAsia="仿宋"/>
                <w:sz w:val="18"/>
              </w:rPr>
              <w:t>图2-1　现场水准测量</w:t>
            </w:r>
          </w:p>
          <w:p>
            <w:r>
              <w:rPr>
                <w:rFonts w:ascii="Times New Roman" w:hAnsi="Times New Roman" w:eastAsia="仿宋"/>
                <w:sz w:val="24"/>
              </w:rPr>
              <w:t>现场监理人员正在开展水准测量放线复核，实测实量数据同步录入监理台账。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00"/>
      </w:tblGrid>
      <w:tr>
        <w:tc>
          <w:tcPr>
            <w:tcW w:type="dxa" w:w="83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106682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样张_监理工作程序流程图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066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300"/>
          </w:tcPr>
          <w:p>
            <w:pPr>
              <w:jc w:val="center"/>
            </w:pPr>
            <w:r>
              <w:rPr>
                <w:rFonts w:ascii="Times New Roman" w:hAnsi="Times New Roman" w:eastAsia="仿宋"/>
                <w:sz w:val="18"/>
              </w:rPr>
              <w:t>图2-2　监理工作程序流程图</w:t>
            </w:r>
          </w:p>
          <w:p>
            <w:r>
              <w:rPr>
                <w:rFonts w:ascii="Times New Roman" w:hAnsi="Times New Roman" w:eastAsia="仿宋"/>
                <w:sz w:val="24"/>
              </w:rPr>
              <w:t>项目监理机构按照既定工作程序有序推进三控两管一协调，竣工验收合格后签发工程移交证书。</w:t>
            </w:r>
          </w:p>
        </w:tc>
      </w:tr>
    </w:tbl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00"/>
      </w:tblGrid>
      <w:tr>
        <w:tc>
          <w:tcPr>
            <w:tcW w:type="dxa" w:w="83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182294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样张_图纸会审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8229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300"/>
          </w:tcPr>
          <w:p>
            <w:pPr>
              <w:jc w:val="center"/>
            </w:pPr>
            <w:r>
              <w:rPr>
                <w:rFonts w:ascii="Times New Roman" w:hAnsi="Times New Roman" w:eastAsia="仿宋"/>
                <w:sz w:val="18"/>
              </w:rPr>
              <w:t>图3-1　监理例会图纸会审</w:t>
            </w:r>
          </w:p>
          <w:p>
            <w:r>
              <w:rPr>
                <w:rFonts w:ascii="Times New Roman" w:hAnsi="Times New Roman" w:eastAsia="仿宋"/>
                <w:sz w:val="24"/>
              </w:rPr>
              <w:t>监理例会与图纸会审制度保障参建各方信息畅通，重大问题及时协调解决。</w:t>
            </w:r>
          </w:p>
        </w:tc>
      </w:tr>
    </w:tbl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