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9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49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质量控制执行报验制与旁站制，不合格项限期整改后重新报验，合格后方可进入下道工序。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9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37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项目监理机构按照既定工作程序有序推进三控两管一协调，竣工验收合格后签发工程移交证书。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9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