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before="1080" w:after="280"/>
        <w:jc w:val="center"/>
        <w:outlineLvl w:val="0"/>
        <w:pBdr>
          <w:bottom w:val="single" w:sz="14" w:color="243B6B"/>
        </w:pBdr>
      </w:pPr>
      <w:r>
        <w:rPr>
          <w:rFonts w:ascii="Times New Roman" w:hAnsi="Times New Roman" w:eastAsia="黑体"/>
          <w:b/>
          <w:color w:val="1B2C52"/>
          <w:sz w:val="44"/>
        </w:rPr>
        <w:t>第一章 工程概况与监理工作范围</w:t>
      </w:r>
    </w:p>
    <w:p>
      <w:pPr>
        <w:keepNext/>
        <w:spacing w:before="120" w:after="80" w:line="288" w:lineRule="auto"/>
        <w:shd w:val="clear" w:color="auto" w:fill="243B6B"/>
        <w:outlineLvl w:val="0"/>
      </w:pPr>
      <w:r>
        <w:rPr>
          <w:rFonts w:ascii="Times New Roman" w:hAnsi="Times New Roman" w:eastAsia="黑体"/>
          <w:b w:val="0"/>
          <w:color w:val="FFFFFF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before="1080" w:after="280"/>
        <w:jc w:val="center"/>
        <w:outlineLvl w:val="0"/>
        <w:pBdr>
          <w:bottom w:val="single" w:sz="14" w:color="243B6B"/>
        </w:pBdr>
      </w:pPr>
      <w:r>
        <w:rPr>
          <w:rFonts w:ascii="Times New Roman" w:hAnsi="Times New Roman" w:eastAsia="黑体"/>
          <w:b/>
          <w:color w:val="1B2C52"/>
          <w:sz w:val="44"/>
        </w:rPr>
        <w:t>第二章 监理工作依据、目标与内容</w:t>
      </w:r>
    </w:p>
    <w:p>
      <w:pPr>
        <w:keepNext/>
        <w:spacing w:before="120" w:after="80" w:line="288" w:lineRule="auto"/>
        <w:shd w:val="clear" w:color="auto" w:fill="243B6B"/>
        <w:outlineLvl w:val="0"/>
      </w:pPr>
      <w:r>
        <w:rPr>
          <w:rFonts w:ascii="Times New Roman" w:hAnsi="Times New Roman" w:eastAsia="黑体"/>
          <w:b w:val="0"/>
          <w:color w:val="FFFFFF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before="1080" w:after="280"/>
        <w:jc w:val="center"/>
        <w:outlineLvl w:val="0"/>
        <w:pBdr>
          <w:bottom w:val="single" w:sz="14" w:color="243B6B"/>
        </w:pBdr>
      </w:pPr>
      <w:r>
        <w:rPr>
          <w:rFonts w:ascii="Times New Roman" w:hAnsi="Times New Roman" w:eastAsia="黑体"/>
          <w:b/>
          <w:color w:val="1B2C52"/>
          <w:sz w:val="44"/>
        </w:rPr>
        <w:t>第三章 项目监理机构及人员配备</w:t>
      </w:r>
    </w:p>
    <w:p>
      <w:pPr>
        <w:keepNext/>
        <w:spacing w:before="120" w:after="80" w:line="288" w:lineRule="auto"/>
        <w:shd w:val="clear" w:color="auto" w:fill="243B6B"/>
        <w:outlineLvl w:val="0"/>
      </w:pPr>
      <w:r>
        <w:rPr>
          <w:rFonts w:ascii="Times New Roman" w:hAnsi="Times New Roman" w:eastAsia="黑体"/>
          <w:b w:val="0"/>
          <w:color w:val="FFFFFF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