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  <w:shd w:val="clear" w:color="auto" w:fill="1B2C52"/>
      </w:pPr>
      <w:r>
        <w:rPr>
          <w:rFonts w:ascii="Times New Roman" w:hAnsi="Times New Roman" w:eastAsia="黑体"/>
          <w:b/>
          <w:color w:val="FFFFFF"/>
          <w:sz w:val="72"/>
        </w:rPr>
        <w:t>投标技术标（监理大纲）</w:t>
      </w:r>
    </w:p>
    <w:p>
      <w:pPr>
        <w:jc w:val="center"/>
        <w:shd w:val="clear" w:color="auto" w:fill="1B2C52"/>
      </w:pPr>
      <w:r>
        <w:rPr>
          <w:rFonts w:ascii="Times New Roman" w:hAnsi="Times New Roman" w:eastAsia="黑体"/>
          <w:b/>
          <w:color w:val="FFFFFF"/>
          <w:sz w:val="44"/>
        </w:rPr>
        <w:t>预览项目</w:t>
      </w:r>
    </w:p>
    <w:p>
      <w:pPr>
        <w:jc w:val="center"/>
        <w:shd w:val="clear" w:color="auto" w:fill="1B2C52"/>
      </w:pPr>
      <w:r>
        <w:rPr>
          <w:rFonts w:ascii="Times New Roman" w:hAnsi="Times New Roman" w:eastAsia="黑体"/>
          <w:color w:val="FFFFFF"/>
          <w:sz w:val="28"/>
        </w:rPr>
        <w:t>预览企业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sz w:val="32"/>
        </w:rPr>
        <w:t>目　录</w:t>
      </w:r>
    </w:p>
    <w:p>
      <w:r>
        <w:fldChar w:fldCharType="begin"/>
        <w:instrText xml:space="preserve">TOC \o "1-3" \h \z \u</w:instrText>
        <w:fldChar w:fldCharType="separate"/>
      </w:r>
      <w:r>
        <w:rPr>
          <w:sz w:val="24"/>
        </w:rPr>
        <w:t>TOC 目录（打开文档后按 F9 或 Ctrl+A → F9 更新）</w:t>
      </w:r>
      <w:r>
        <w:fldChar w:fldCharType="end"/>
      </w:r>
    </w:p>
    <w:p>
      <w:r>
        <w:br w:type="page"/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第一章 工程概况与监理工作范围</w:t>
      </w:r>
    </w:p>
    <w:p>
      <w:pPr>
        <w:keepNext/>
        <w:spacing w:before="120" w:after="80" w:line="288" w:lineRule="auto"/>
        <w:outlineLvl w:val="0"/>
      </w:pPr>
      <w:r>
        <w:rPr>
          <w:rFonts w:ascii="Times New Roman" w:hAnsi="Times New Roman" w:eastAsia="黑体"/>
          <w:b/>
          <w:color w:val="1B2C52"/>
          <w:sz w:val="24"/>
        </w:rPr>
        <w:t>一、工程概况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预览项目为框架剪力墙结构公共建筑，总建筑面积约 8.6 万平方米，地上十层、地下两层。</w:t>
      </w:r>
    </w:p>
    <w:p>
      <w:pPr>
        <w:keepNext/>
        <w:spacing w:before="120" w:after="80" w:line="288" w:lineRule="auto"/>
        <w:outlineLvl w:val="1"/>
      </w:pPr>
      <w:r>
        <w:rPr>
          <w:rFonts w:ascii="Times New Roman" w:hAnsi="Times New Roman" w:eastAsia="黑体"/>
          <w:b/>
          <w:color w:val="1B2C52"/>
          <w:sz w:val="24"/>
        </w:rPr>
        <w:t>（一）项目理解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本项目监理工作覆盖质量、进度、投资、安全环保与合同信息管理五大目标。</w:t>
      </w:r>
    </w:p>
    <w:p>
      <w:pPr>
        <w:spacing w:before="120" w:after="40"/>
        <w:jc w:val="center"/>
      </w:pPr>
      <w:r>
        <w:rPr>
          <w:rFonts w:ascii="Times New Roman" w:hAnsi="Times New Roman" w:eastAsia="宋体"/>
          <w:sz w:val="18"/>
        </w:rPr>
        <w:t>表 1　序号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/>
          <w:right w:val="none" w:sz="0"/>
          <w:insideV w:val="none" w:sz="0"/>
          <w:insideH w:val="none" w:sz="4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  <w:shd w:val="clear" w:color="auto" w:fill="E8ECF4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2767"/>
            <w:shd w:val="clear" w:color="auto" w:fill="E8ECF4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控制目标</w:t>
            </w:r>
          </w:p>
        </w:tc>
        <w:tc>
          <w:tcPr>
            <w:tcW w:type="dxa" w:w="2767"/>
            <w:shd w:val="clear" w:color="auto" w:fill="E8ECF4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主要措施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质量目标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三检制、样板引路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2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进度目标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关键线路周报纠偏</w:t>
            </w:r>
          </w:p>
        </w:tc>
      </w:tr>
    </w:tbl>
    <w:p>
      <w:pPr>
        <w:keepNext/>
        <w:spacing w:before="60" w:after="40" w:line="288" w:lineRule="auto"/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监理工作范围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施工阶段监理，含土建、安装、装饰、智能化、室外工程等全部专业。</w:t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第二章 监理工作依据、目标与内容</w:t>
      </w:r>
    </w:p>
    <w:p>
      <w:pPr>
        <w:keepNext/>
        <w:spacing w:before="120" w:after="80" w:line="288" w:lineRule="auto"/>
        <w:outlineLvl w:val="0"/>
      </w:pPr>
      <w:r>
        <w:rPr>
          <w:rFonts w:ascii="Times New Roman" w:hAnsi="Times New Roman" w:eastAsia="黑体"/>
          <w:b/>
          <w:color w:val="1B2C52"/>
          <w:sz w:val="24"/>
        </w:rPr>
        <w:t>一、监理工作依据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1. 国家和地方有关工程建设的法律、法规与规章；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2. 《建设工程监理规范》GB/T 50319-2013。</w:t>
      </w:r>
    </w:p>
    <w:p>
      <w:pPr>
        <w:keepNext/>
        <w:spacing w:before="120" w:after="80" w:line="288" w:lineRule="auto"/>
        <w:outlineLvl w:val="1"/>
      </w:pPr>
      <w:r>
        <w:rPr>
          <w:rFonts w:ascii="Times New Roman" w:hAnsi="Times New Roman" w:eastAsia="黑体"/>
          <w:b/>
          <w:color w:val="1B2C52"/>
          <w:sz w:val="24"/>
        </w:rPr>
        <w:t>（一）监理工作目标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质量达到一次性验收合格标准；进度满足合同节点要求；投资控制在批准概算内。</w:t>
      </w:r>
    </w:p>
    <w:p>
      <w:pPr>
        <w:keepNext/>
        <w:spacing w:before="60" w:after="40" w:line="288" w:lineRule="auto"/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监理工作制度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建立监理例会、旁站监理、见证取样、巡视检查、资料管理制度。</w:t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第三章 项目监理机构及人员配备</w:t>
      </w:r>
    </w:p>
    <w:p>
      <w:pPr>
        <w:keepNext/>
        <w:spacing w:before="120" w:after="80" w:line="288" w:lineRule="auto"/>
        <w:outlineLvl w:val="0"/>
      </w:pPr>
      <w:r>
        <w:rPr>
          <w:rFonts w:ascii="Times New Roman" w:hAnsi="Times New Roman" w:eastAsia="黑体"/>
          <w:b/>
          <w:color w:val="1B2C52"/>
          <w:sz w:val="24"/>
        </w:rPr>
        <w:t>一、项目监理机构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实行总监理工程师负责制，设总监理工程师 1 名、专业监理工程师 5 名、监理员 4 名。</w:t>
      </w:r>
    </w:p>
    <w:p>
      <w:pPr>
        <w:keepNext/>
        <w:spacing w:before="120" w:after="80" w:line="288" w:lineRule="auto"/>
        <w:outlineLvl w:val="1"/>
      </w:pPr>
      <w:r>
        <w:rPr>
          <w:rFonts w:ascii="Times New Roman" w:hAnsi="Times New Roman" w:eastAsia="黑体"/>
          <w:b/>
          <w:color w:val="1B2C52"/>
          <w:sz w:val="24"/>
        </w:rPr>
        <w:t>（一）人员配备</w:t>
      </w:r>
    </w:p>
    <w:p>
      <w:pPr>
        <w:spacing w:before="120" w:after="40"/>
        <w:jc w:val="center"/>
      </w:pPr>
      <w:r>
        <w:rPr>
          <w:rFonts w:ascii="Times New Roman" w:hAnsi="Times New Roman" w:eastAsia="宋体"/>
          <w:sz w:val="18"/>
        </w:rPr>
        <w:t>表 2　岗位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/>
          <w:right w:val="none" w:sz="0"/>
          <w:insideV w:val="none" w:sz="0"/>
          <w:insideH w:val="none" w:sz="4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  <w:shd w:val="clear" w:color="auto" w:fill="E8ECF4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岗位</w:t>
            </w:r>
          </w:p>
        </w:tc>
        <w:tc>
          <w:tcPr>
            <w:tcW w:type="dxa" w:w="2767"/>
            <w:shd w:val="clear" w:color="auto" w:fill="E8ECF4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人数</w:t>
            </w:r>
          </w:p>
        </w:tc>
        <w:tc>
          <w:tcPr>
            <w:tcW w:type="dxa" w:w="2767"/>
            <w:shd w:val="clear" w:color="auto" w:fill="E8ECF4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资格要求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总监理工程师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注册监理工程师、高级职称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专业监理工程师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5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中级及以上职称</w:t>
            </w:r>
          </w:p>
        </w:tc>
      </w:tr>
    </w:tbl>
    <w:p>
      <w:pPr>
        <w:keepNext/>
        <w:spacing w:before="60" w:after="40" w:line="288" w:lineRule="auto"/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仪器设备配置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配备全站仪、水准仪、回弹仪等常规检测仪器及监理信息化管理平台。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  <w:r>
      <w:rPr>
        <w:sz w:val="18"/>
      </w:rPr>
      <w:t xml:space="preserve"> -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color="808080"/>
      </w:pBdr>
    </w:pPr>
    <w:r>
      <w:rPr>
        <w:rFonts w:ascii="Times New Roman" w:hAnsi="Times New Roman" w:eastAsia="宋体"/>
        <w:sz w:val="18"/>
      </w:rPr>
      <w:t>预览企业　|　投标技术标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