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"1-3" \h \z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本项目监理工作覆盖质量、进度、投资、安全环保与合同信息管理五大目标。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1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质量控制：材料进场验收与旁站监理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2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进度控制：总控计划动态纠偏</w:t>
            </w:r>
          </w:p>
        </w:tc>
      </w:tr>
    </w:tbl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1　序号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控制目标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关键线路周报纠偏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1　施工现场全景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现场主体结构已施工至十层，安全防护与绿色施工措施同步落实。</w:t>
      </w:r>
    </w:p>
    <w:p>
      <w:r>
        <w:drawing>
          <wp:inline xmlns:a="http://schemas.openxmlformats.org/drawingml/2006/main" xmlns:pic="http://schemas.openxmlformats.org/drawingml/2006/picture">
            <wp:extent cx="4680000" cy="2054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2　质量控制验收程序流程图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质量控制执行报验制与旁站制，不合格项限期整改后重新报验，合格后方可进入下道工序。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一、监理工作依据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1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国家和地方有关工程建设的法律、法规与规章；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2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《建设工程监理规范》GB/T 50319-2013。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3　现场水准测量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现场监理人员正在开展水准测量放线复核，实测实量数据同步录入监理台账。</w:t>
      </w:r>
    </w:p>
    <w:p>
      <w:r>
        <w:drawing>
          <wp:inline xmlns:a="http://schemas.openxmlformats.org/drawingml/2006/main" xmlns:pic="http://schemas.openxmlformats.org/drawingml/2006/picture">
            <wp:extent cx="4680000" cy="1540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40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4　监理工作程序流程图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项目监理机构按照既定工作程序有序推进三控两管一协调，竣工验收合格后签发工程移交证书。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宋体"/>
          <w:sz w:val="18"/>
        </w:rPr>
        <w:t>表 2　岗位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岗位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人数</w:t>
            </w:r>
          </w:p>
        </w:tc>
        <w:tc>
          <w:tcPr>
            <w:tcW w:type="dxa" w:w="2767"/>
            <w:shd w:val="clear" w:color="auto" w:fill="E8ECF4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宋体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配备全站仪、水准仪、回弹仪等常规检测仪器及监理信息化管理平台。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1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全站仪、水准仪、回弹仪等常规检测仪器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color="B9C4D8"/>
          <w:left w:val="single" w:sz="3" w:color="B9C4D8"/>
          <w:bottom w:val="single" w:sz="3" w:color="B9C4D8"/>
          <w:right w:val="single" w:sz="3" w:color="B9C4D8"/>
          <w:insideH w:val="single" w:sz="3" w:color="B9C4D8"/>
          <w:insideV w:val="single" w:sz="3" w:color="B9C4D8"/>
        </w:tblBorders>
      </w:tblPr>
      <w:tblGrid>
        <w:gridCol w:w="624"/>
        <w:gridCol w:w="7540"/>
      </w:tblGrid>
      <w:tr>
        <w:tc>
          <w:tcPr>
            <w:tcW w:type="dxa" w:w="4150"/>
            <w:shd w:val="clear" w:color="auto" w:fill="243B6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2</w:t>
            </w:r>
          </w:p>
        </w:tc>
        <w:tc>
          <w:tcPr>
            <w:tcW w:type="dxa" w:w="4150"/>
            <w:shd w:val="clear" w:color="auto" w:fill="EFF3F9"/>
          </w:tcPr>
          <w:p>
            <w:r/>
            <w:r>
              <w:rPr>
                <w:rFonts w:ascii="Times New Roman" w:hAnsi="Times New Roman" w:eastAsia="宋体"/>
                <w:sz w:val="21"/>
              </w:rPr>
              <w:t>监理信息化管理平台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680000" cy="2633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33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 5　监理例会图纸会审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仿宋"/>
          <w:sz w:val="24"/>
        </w:rPr>
        <w:t>监理例会与图纸会审制度保障参建各方信息畅通，重大问题及时协调解决。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宋体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