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ind w:left="240"/>
        <w:pBdr>
          <w:left w:val="single" w:sz="12" w:color="243B6B"/>
        </w:pBdr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ind w:left="240"/>
        <w:pBdr>
          <w:left w:val="single" w:sz="12" w:color="243B6B"/>
        </w:pBdr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spacing w:line="360" w:lineRule="auto"/>
        <w:ind w:left="480"/>
      </w:pPr>
      <w:r>
        <w:rPr>
          <w:rFonts w:ascii="Times New Roman" w:hAnsi="Times New Roman" w:eastAsia="宋体"/>
          <w:color w:val="243B6B"/>
          <w:sz w:val="21"/>
        </w:rPr>
        <w:t xml:space="preserve">•  </w:t>
      </w: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spacing w:line="360" w:lineRule="auto"/>
        <w:ind w:left="480"/>
      </w:pPr>
      <w:r>
        <w:rPr>
          <w:rFonts w:ascii="Times New Roman" w:hAnsi="Times New Roman" w:eastAsia="宋体"/>
          <w:color w:val="243B6B"/>
          <w:sz w:val="21"/>
        </w:rPr>
        <w:t xml:space="preserve">•  </w:t>
      </w: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1　施工现场全景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现场主体结构已施工至十层，安全防护与绿色施工措施同步落实。</w:t>
      </w:r>
    </w:p>
    <w:p>
      <w:r>
        <w:drawing>
          <wp:inline xmlns:a="http://schemas.openxmlformats.org/drawingml/2006/main" xmlns:pic="http://schemas.openxmlformats.org/drawingml/2006/picture">
            <wp:extent cx="4680000" cy="2054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2　质量控制验收程序流程图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质量控制执行报验制与旁站制，不合格项限期整改后重新报验，合格后方可进入下道工序。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ind w:left="240"/>
        <w:pBdr>
          <w:left w:val="single" w:sz="12" w:color="243B6B"/>
        </w:pBdr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spacing w:line="360" w:lineRule="auto"/>
        <w:ind w:left="480"/>
      </w:pPr>
      <w:r>
        <w:rPr>
          <w:rFonts w:ascii="Times New Roman" w:hAnsi="Times New Roman" w:eastAsia="宋体"/>
          <w:color w:val="243B6B"/>
          <w:sz w:val="21"/>
        </w:rPr>
        <w:t xml:space="preserve">•  </w:t>
      </w: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spacing w:line="360" w:lineRule="auto"/>
        <w:ind w:left="480"/>
      </w:pPr>
      <w:r>
        <w:rPr>
          <w:rFonts w:ascii="Times New Roman" w:hAnsi="Times New Roman" w:eastAsia="宋体"/>
          <w:color w:val="243B6B"/>
          <w:sz w:val="21"/>
        </w:rPr>
        <w:t xml:space="preserve">•  </w:t>
      </w:r>
      <w:r>
        <w:rPr>
          <w:rFonts w:ascii="Times New Roman" w:hAnsi="Times New Roman" w:eastAsia="仿宋"/>
          <w:sz w:val="24"/>
        </w:rPr>
        <w:t>《建设工程监理规范》GB/T 50319-2013。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3　现场水准测量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现场监理人员正在开展水准测量放线复核，实测实量数据同步录入监理台账。</w:t>
      </w:r>
    </w:p>
    <w:p>
      <w:r>
        <w:drawing>
          <wp:inline xmlns:a="http://schemas.openxmlformats.org/drawingml/2006/main" xmlns:pic="http://schemas.openxmlformats.org/drawingml/2006/picture">
            <wp:extent cx="4680000" cy="15409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4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4　监理工作程序流程图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项目监理机构按照既定工作程序有序推进三控两管一协调，竣工验收合格后签发工程移交证书。</w:t>
      </w:r>
    </w:p>
    <w:p>
      <w:pPr>
        <w:keepNext/>
        <w:spacing w:before="120" w:after="80" w:line="288" w:lineRule="auto"/>
        <w:ind w:left="240"/>
        <w:pBdr>
          <w:left w:val="single" w:sz="12" w:color="243B6B"/>
        </w:pBdr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ind w:left="240"/>
        <w:pBdr>
          <w:left w:val="single" w:sz="12" w:color="243B6B"/>
        </w:pBdr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ind w:left="240"/>
        <w:pBdr>
          <w:left w:val="single" w:sz="12" w:color="243B6B"/>
        </w:pBdr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spacing w:line="360" w:lineRule="auto"/>
        <w:ind w:left="480"/>
      </w:pPr>
      <w:r>
        <w:rPr>
          <w:rFonts w:ascii="Times New Roman" w:hAnsi="Times New Roman" w:eastAsia="宋体"/>
          <w:color w:val="243B6B"/>
          <w:sz w:val="21"/>
        </w:rPr>
        <w:t xml:space="preserve">•  </w:t>
      </w: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spacing w:line="360" w:lineRule="auto"/>
        <w:ind w:left="480"/>
      </w:pPr>
      <w:r>
        <w:rPr>
          <w:rFonts w:ascii="Times New Roman" w:hAnsi="Times New Roman" w:eastAsia="宋体"/>
          <w:color w:val="243B6B"/>
          <w:sz w:val="21"/>
        </w:rPr>
        <w:t xml:space="preserve">•  </w:t>
      </w:r>
      <w:r>
        <w:rPr>
          <w:rFonts w:ascii="Times New Roman" w:hAnsi="Times New Roman" w:eastAsia="仿宋"/>
          <w:sz w:val="24"/>
        </w:rPr>
        <w:t>监理信息化管理平台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5　监理例会图纸会审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监理例会与图纸会审制度保障参建各方信息畅通，重大问题及时协调解决。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